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-方正超大字符集"/>
          <w:bCs/>
          <w:kern w:val="2"/>
          <w:sz w:val="40"/>
          <w:szCs w:val="36"/>
          <w:lang w:val="en-US" w:eastAsia="zh-CN" w:bidi="ar"/>
        </w:rPr>
      </w:pPr>
      <w:r>
        <w:rPr>
          <w:rFonts w:hint="eastAsia" w:ascii="黑体" w:hAnsi="宋体" w:eastAsia="黑体" w:cs="宋体-方正超大字符集"/>
          <w:bCs/>
          <w:kern w:val="2"/>
          <w:sz w:val="40"/>
          <w:szCs w:val="36"/>
          <w:lang w:val="en-US" w:eastAsia="zh-CN" w:bidi="ar"/>
        </w:rPr>
        <w:t>平乡县科学技术协会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Cs/>
          <w:sz w:val="48"/>
          <w:szCs w:val="44"/>
          <w:lang w:val="en-US"/>
        </w:rPr>
      </w:pPr>
      <w:r>
        <w:rPr>
          <w:rFonts w:hint="eastAsia" w:ascii="黑体" w:hAnsi="宋体" w:eastAsia="黑体" w:cs="宋体-方正超大字符集"/>
          <w:bCs/>
          <w:kern w:val="2"/>
          <w:sz w:val="40"/>
          <w:szCs w:val="36"/>
          <w:lang w:val="en-US" w:eastAsia="zh-CN" w:bidi="ar"/>
        </w:rPr>
        <w:t>2019年部门预算信息公开目录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一、2019年部门预算公开表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部门预算收支总表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部门预算收入总表</w:t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部门预算支出总表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部门预算财政拨款收支总表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部门预算一般公共预算财政拨款支出表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部门预算一般公共预算财政拨款基本支出表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部门预算政府基金预算财政拨款支出表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部门预算国有资本经营预算财政拨款支出表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部门预算财政拨款“三公”经费支出表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二、2019年部门预算公开情况说明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部门职责及机构设置情况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2、部门预算安排的总体情况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3、机关运行经费安排情况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4、财政拨款“三公”经费预算情况及增减变化原因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5、绩效预算信息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6、政府采购预算情况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7、国有资产信息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8、名词解释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D0C0"/>
    <w:multiLevelType w:val="multilevel"/>
    <w:tmpl w:val="5C63D0C0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C63D0CB"/>
    <w:multiLevelType w:val="multilevel"/>
    <w:tmpl w:val="5C63D0CB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66E9D"/>
    <w:rsid w:val="46242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2019-02-13T08:24:23Z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