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A1" w:rsidRDefault="00BF021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平乡县人民检察院</w:t>
      </w:r>
    </w:p>
    <w:p w:rsidR="002C74A1" w:rsidRDefault="00BF021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rsidR="002C74A1" w:rsidRDefault="002C74A1">
      <w:pPr>
        <w:ind w:firstLine="640"/>
        <w:rPr>
          <w:rFonts w:ascii="Times New Roman" w:eastAsia="方正仿宋_GBK" w:hAnsi="Times New Roman" w:cs="Times New Roman"/>
          <w:sz w:val="32"/>
          <w:szCs w:val="32"/>
        </w:rPr>
      </w:pP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w:t>
      </w:r>
      <w:r w:rsidR="00706325">
        <w:rPr>
          <w:rFonts w:ascii="Times New Roman" w:eastAsia="方正仿宋_GBK" w:hAnsi="Times New Roman" w:cs="Times New Roman" w:hint="eastAsia"/>
          <w:sz w:val="32"/>
          <w:szCs w:val="32"/>
        </w:rPr>
        <w:t>等相关</w:t>
      </w:r>
      <w:r>
        <w:rPr>
          <w:rFonts w:ascii="Times New Roman" w:eastAsia="方正仿宋_GBK" w:hAnsi="Times New Roman" w:cs="Times New Roman" w:hint="eastAsia"/>
          <w:sz w:val="32"/>
          <w:szCs w:val="32"/>
        </w:rPr>
        <w:t>规定，现将平乡县</w:t>
      </w:r>
      <w:r w:rsidR="00706325">
        <w:rPr>
          <w:rFonts w:ascii="Times New Roman" w:eastAsia="方正仿宋_GBK" w:hAnsi="Times New Roman" w:cs="Times New Roman" w:hint="eastAsia"/>
          <w:sz w:val="32"/>
          <w:szCs w:val="32"/>
        </w:rPr>
        <w:t>人民检察院</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rsidR="002C74A1" w:rsidRDefault="00BF021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2C74A1" w:rsidRDefault="00BF021A" w:rsidP="00DB7E84">
      <w:pPr>
        <w:ind w:firstLineChars="200" w:firstLine="640"/>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2C74A1" w:rsidRDefault="00706325"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BF021A">
        <w:rPr>
          <w:rFonts w:ascii="Times New Roman" w:eastAsia="方正仿宋_GBK" w:hAnsi="Times New Roman" w:cs="Times New Roman" w:hint="eastAsia"/>
          <w:sz w:val="32"/>
          <w:szCs w:val="32"/>
        </w:rPr>
        <w:t>(</w:t>
      </w:r>
      <w:r w:rsidR="00BF021A">
        <w:rPr>
          <w:rFonts w:ascii="Times New Roman" w:eastAsia="方正仿宋_GBK" w:hAnsi="Times New Roman" w:cs="Times New Roman" w:hint="eastAsia"/>
          <w:sz w:val="32"/>
          <w:szCs w:val="32"/>
        </w:rPr>
        <w:t>一</w:t>
      </w:r>
      <w:r w:rsidR="00BF021A">
        <w:rPr>
          <w:rFonts w:ascii="Times New Roman" w:eastAsia="方正仿宋_GBK" w:hAnsi="Times New Roman" w:cs="Times New Roman" w:hint="eastAsia"/>
          <w:sz w:val="32"/>
          <w:szCs w:val="32"/>
        </w:rPr>
        <w:t>)</w:t>
      </w:r>
      <w:r w:rsidR="00BF021A">
        <w:rPr>
          <w:rFonts w:ascii="Times New Roman" w:eastAsia="方正仿宋_GBK" w:hAnsi="Times New Roman" w:cs="Times New Roman" w:hint="eastAsia"/>
          <w:sz w:val="32"/>
          <w:szCs w:val="32"/>
        </w:rPr>
        <w:t>深入贯彻习近平新时代中国特色社会主义思想，深入贯彻党的路线方针和决策部署，坚持党对检察工作的绝对领导，坚决维护习近平总书记的核心地位，坚决维护党中央权威和集中统一领导。</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依法向县人民代表大会及其常务委员会提出议案。</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贯彻落实检察工作方针、总体规划，研究制定检察工作计划并组织实施。</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四</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依照法律规定对直接受理的刑事案件行使侦查权。</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五</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负责对管辖的各类刑事案件依法审查批准逮捕、决定逮捕、提起公诉。</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六</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负责应由本院承办的刑事、民事、行政诉讼活动及刑事、民事、行政判决和裁定等生效法律文书执行的法律监督工作。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负责应由本院承办的提起公益诉讼工作。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八</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依法受理核准追诉案件，审查是否上报。</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负责应由本院承办的对看守所、社区矫正等执法活动的法</w:t>
      </w:r>
      <w:r>
        <w:rPr>
          <w:rFonts w:ascii="Times New Roman" w:eastAsia="方正仿宋_GBK" w:hAnsi="Times New Roman" w:cs="Times New Roman" w:hint="eastAsia"/>
          <w:sz w:val="32"/>
          <w:szCs w:val="32"/>
        </w:rPr>
        <w:lastRenderedPageBreak/>
        <w:t>律监督工作。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受理向本院的控告申诉。</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组织检察工作中法律政策具体应用问题的研究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组织开展检察理论研究工作。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负责检察人员思想政治教育和业务培训工作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按照权限管理检察官和其他工作人员。</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十三</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负责本院检务督察工作。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十四</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负责本院检务保障以及检察技术、信息化建设工作。</w:t>
      </w:r>
    </w:p>
    <w:p w:rsidR="002C74A1" w:rsidRDefault="00BF021A" w:rsidP="0070632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十五</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完成其他应当由本院负责的工作。</w:t>
      </w:r>
    </w:p>
    <w:p w:rsidR="002C74A1" w:rsidRDefault="00BF021A" w:rsidP="00246403">
      <w:pPr>
        <w:ind w:firstLineChars="200" w:firstLine="640"/>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2C74A1" w:rsidRDefault="00BF021A">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2C74A1">
        <w:trPr>
          <w:trHeight w:val="600"/>
          <w:tblHeader/>
          <w:jc w:val="center"/>
        </w:trPr>
        <w:tc>
          <w:tcPr>
            <w:tcW w:w="4417" w:type="dxa"/>
            <w:vMerge w:val="restart"/>
            <w:vAlign w:val="center"/>
          </w:tcPr>
          <w:p w:rsidR="002C74A1" w:rsidRDefault="00BF021A">
            <w:pPr>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单位名称</w:t>
            </w:r>
          </w:p>
        </w:tc>
        <w:tc>
          <w:tcPr>
            <w:tcW w:w="1134" w:type="dxa"/>
            <w:vMerge w:val="restart"/>
            <w:vAlign w:val="center"/>
          </w:tcPr>
          <w:p w:rsidR="002C74A1" w:rsidRDefault="00BF021A">
            <w:pPr>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单位性质</w:t>
            </w:r>
          </w:p>
        </w:tc>
        <w:tc>
          <w:tcPr>
            <w:tcW w:w="1276" w:type="dxa"/>
            <w:vMerge w:val="restart"/>
            <w:vAlign w:val="center"/>
          </w:tcPr>
          <w:p w:rsidR="002C74A1" w:rsidRDefault="00BF021A">
            <w:pPr>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单位规格</w:t>
            </w:r>
          </w:p>
        </w:tc>
        <w:tc>
          <w:tcPr>
            <w:tcW w:w="2902" w:type="dxa"/>
            <w:vMerge w:val="restart"/>
            <w:vAlign w:val="center"/>
          </w:tcPr>
          <w:p w:rsidR="002C74A1" w:rsidRDefault="00BF021A">
            <w:pPr>
              <w:spacing w:line="6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经费保障形式</w:t>
            </w:r>
          </w:p>
        </w:tc>
      </w:tr>
      <w:tr w:rsidR="002C74A1">
        <w:trPr>
          <w:trHeight w:val="600"/>
          <w:tblHeader/>
          <w:jc w:val="center"/>
        </w:trPr>
        <w:tc>
          <w:tcPr>
            <w:tcW w:w="4417" w:type="dxa"/>
            <w:vMerge/>
            <w:vAlign w:val="center"/>
          </w:tcPr>
          <w:p w:rsidR="002C74A1" w:rsidRDefault="002C74A1">
            <w:pPr>
              <w:spacing w:line="600" w:lineRule="exact"/>
              <w:jc w:val="left"/>
              <w:outlineLvl w:val="0"/>
              <w:rPr>
                <w:rFonts w:ascii="仿宋_GB2312" w:eastAsia="仿宋_GB2312" w:hAnsi="仿宋_GB2312" w:cs="仿宋_GB2312"/>
                <w:sz w:val="32"/>
                <w:szCs w:val="32"/>
              </w:rPr>
            </w:pPr>
          </w:p>
        </w:tc>
        <w:tc>
          <w:tcPr>
            <w:tcW w:w="1134" w:type="dxa"/>
            <w:vMerge/>
            <w:vAlign w:val="center"/>
          </w:tcPr>
          <w:p w:rsidR="002C74A1" w:rsidRDefault="002C74A1">
            <w:pPr>
              <w:spacing w:line="600" w:lineRule="exact"/>
              <w:jc w:val="left"/>
              <w:outlineLvl w:val="0"/>
              <w:rPr>
                <w:rFonts w:ascii="仿宋_GB2312" w:eastAsia="仿宋_GB2312" w:hAnsi="仿宋_GB2312" w:cs="仿宋_GB2312"/>
                <w:sz w:val="32"/>
                <w:szCs w:val="32"/>
              </w:rPr>
            </w:pPr>
          </w:p>
        </w:tc>
        <w:tc>
          <w:tcPr>
            <w:tcW w:w="1276" w:type="dxa"/>
            <w:vMerge/>
            <w:vAlign w:val="center"/>
          </w:tcPr>
          <w:p w:rsidR="002C74A1" w:rsidRDefault="002C74A1">
            <w:pPr>
              <w:spacing w:line="600" w:lineRule="exact"/>
              <w:jc w:val="left"/>
              <w:outlineLvl w:val="0"/>
              <w:rPr>
                <w:rFonts w:ascii="仿宋_GB2312" w:eastAsia="仿宋_GB2312" w:hAnsi="仿宋_GB2312" w:cs="仿宋_GB2312"/>
                <w:sz w:val="32"/>
                <w:szCs w:val="32"/>
              </w:rPr>
            </w:pPr>
          </w:p>
        </w:tc>
        <w:tc>
          <w:tcPr>
            <w:tcW w:w="2902" w:type="dxa"/>
            <w:vMerge/>
            <w:vAlign w:val="center"/>
          </w:tcPr>
          <w:p w:rsidR="002C74A1" w:rsidRDefault="002C74A1">
            <w:pPr>
              <w:spacing w:line="600" w:lineRule="exact"/>
              <w:jc w:val="left"/>
              <w:outlineLvl w:val="0"/>
              <w:rPr>
                <w:rFonts w:ascii="仿宋_GB2312" w:eastAsia="仿宋_GB2312" w:hAnsi="仿宋_GB2312" w:cs="仿宋_GB2312"/>
                <w:sz w:val="32"/>
                <w:szCs w:val="32"/>
              </w:rPr>
            </w:pPr>
          </w:p>
        </w:tc>
      </w:tr>
      <w:tr w:rsidR="002C74A1">
        <w:trPr>
          <w:trHeight w:val="227"/>
          <w:jc w:val="center"/>
        </w:trPr>
        <w:tc>
          <w:tcPr>
            <w:tcW w:w="4417" w:type="dxa"/>
            <w:vAlign w:val="center"/>
          </w:tcPr>
          <w:p w:rsidR="002C74A1" w:rsidRDefault="00BF021A">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平乡县人民检察院</w:t>
            </w:r>
          </w:p>
        </w:tc>
        <w:tc>
          <w:tcPr>
            <w:tcW w:w="1134" w:type="dxa"/>
            <w:vAlign w:val="center"/>
          </w:tcPr>
          <w:p w:rsidR="002C74A1" w:rsidRDefault="00BF021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行政</w:t>
            </w:r>
          </w:p>
        </w:tc>
        <w:tc>
          <w:tcPr>
            <w:tcW w:w="1276" w:type="dxa"/>
            <w:vAlign w:val="center"/>
          </w:tcPr>
          <w:p w:rsidR="002C74A1" w:rsidRDefault="00BF021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副处级</w:t>
            </w:r>
          </w:p>
        </w:tc>
        <w:tc>
          <w:tcPr>
            <w:tcW w:w="2902" w:type="dxa"/>
            <w:vAlign w:val="center"/>
          </w:tcPr>
          <w:p w:rsidR="002C74A1" w:rsidRDefault="00BF021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w:t>
            </w:r>
          </w:p>
        </w:tc>
      </w:tr>
    </w:tbl>
    <w:p w:rsidR="002C74A1" w:rsidRDefault="002C74A1"/>
    <w:p w:rsidR="002C74A1" w:rsidRDefault="00BF021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Pr>
          <w:rFonts w:ascii="Times New Roman" w:eastAsia="方正仿宋_GBK" w:hAnsi="Times New Roman" w:cs="Times New Roman" w:hint="eastAsia"/>
          <w:sz w:val="32"/>
          <w:szCs w:val="32"/>
        </w:rPr>
        <w:t>平乡县人民检察院</w:t>
      </w:r>
      <w:r>
        <w:rPr>
          <w:rFonts w:ascii="Times New Roman" w:eastAsia="方正仿宋_GBK" w:hAnsi="Times New Roman" w:cs="Times New Roman"/>
          <w:sz w:val="32"/>
          <w:szCs w:val="32"/>
        </w:rPr>
        <w:t>的收支包含在部门预算中。</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rsidR="002C74A1" w:rsidRDefault="00BF021A">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Pr>
          <w:rFonts w:ascii="Times New Roman" w:eastAsia="方正仿宋_GBK" w:hAnsi="Times New Roman" w:cs="Times New Roman" w:hint="eastAsia"/>
          <w:sz w:val="32"/>
          <w:szCs w:val="32"/>
        </w:rPr>
        <w:t>1169.84</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hint="eastAsia"/>
          <w:sz w:val="32"/>
          <w:szCs w:val="32"/>
        </w:rPr>
        <w:t>1169.84</w:t>
      </w:r>
      <w:r>
        <w:rPr>
          <w:rFonts w:ascii="Times New Roman" w:eastAsia="方正仿宋_GBK" w:hAnsi="Times New Roman" w:cs="Times New Roman" w:hint="eastAsia"/>
          <w:sz w:val="32"/>
          <w:szCs w:val="32"/>
        </w:rPr>
        <w:t>万元，基金预算收入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万元，财政</w:t>
      </w:r>
      <w:r>
        <w:rPr>
          <w:rFonts w:ascii="Times New Roman" w:eastAsia="方正仿宋_GBK" w:hAnsi="Times New Roman" w:cs="Times New Roman" w:hint="eastAsia"/>
          <w:sz w:val="32"/>
          <w:szCs w:val="32"/>
        </w:rPr>
        <w:lastRenderedPageBreak/>
        <w:t>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themeColor="text1"/>
          <w:sz w:val="32"/>
          <w:szCs w:val="32"/>
        </w:rPr>
        <w:t>上年结转</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hint="eastAsia"/>
          <w:color w:val="000000" w:themeColor="text1"/>
          <w:sz w:val="32"/>
          <w:szCs w:val="32"/>
        </w:rPr>
        <w:t>万元。</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收支预算总表支出栏、基本支出表、项目支出表按经济分类和支出功能分类科目编制，反映平乡县人民检察院年度部门预算中支出预算的总体情况。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Pr>
          <w:rFonts w:ascii="Times New Roman" w:eastAsia="方正仿宋_GBK" w:hAnsi="Times New Roman" w:cs="Times New Roman" w:hint="eastAsia"/>
          <w:sz w:val="32"/>
          <w:szCs w:val="32"/>
        </w:rPr>
        <w:t>1169.84</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663.82</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hint="eastAsia"/>
          <w:sz w:val="32"/>
          <w:szCs w:val="32"/>
        </w:rPr>
        <w:t>539.84</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hint="eastAsia"/>
          <w:sz w:val="32"/>
          <w:szCs w:val="32"/>
        </w:rPr>
        <w:t>123.98</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hint="eastAsia"/>
          <w:sz w:val="32"/>
          <w:szCs w:val="32"/>
        </w:rPr>
        <w:t>506.02</w:t>
      </w:r>
      <w:r>
        <w:rPr>
          <w:rFonts w:ascii="Times New Roman" w:eastAsia="方正仿宋_GBK" w:hAnsi="Times New Roman" w:cs="Times New Roman" w:hint="eastAsia"/>
          <w:sz w:val="32"/>
          <w:szCs w:val="32"/>
        </w:rPr>
        <w:t>万元，主要为中央空调更换项目、听证室建设项目、法定节假日加班补贴项目、物业费安保费项目等。</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比上年增减情况</w:t>
      </w:r>
    </w:p>
    <w:p w:rsidR="002C74A1" w:rsidRDefault="00BF021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2021</w:t>
      </w:r>
      <w:r>
        <w:rPr>
          <w:rFonts w:ascii="Times New Roman" w:eastAsia="方正仿宋_GBK" w:hAnsi="Times New Roman" w:cs="Times New Roman" w:hint="eastAsia"/>
          <w:color w:val="000000"/>
          <w:sz w:val="32"/>
          <w:szCs w:val="32"/>
        </w:rPr>
        <w:t>年部门预算收支安排</w:t>
      </w:r>
      <w:r>
        <w:rPr>
          <w:rFonts w:ascii="Times New Roman" w:eastAsia="方正仿宋_GBK" w:hAnsi="Times New Roman" w:cs="Times New Roman" w:hint="eastAsia"/>
          <w:sz w:val="32"/>
          <w:szCs w:val="32"/>
        </w:rPr>
        <w:t>1169.84</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年增加</w:t>
      </w:r>
      <w:r>
        <w:rPr>
          <w:rFonts w:ascii="Times New Roman" w:eastAsia="方正仿宋_GBK" w:hAnsi="Times New Roman" w:cs="Times New Roman" w:hint="eastAsia"/>
          <w:sz w:val="32"/>
          <w:szCs w:val="32"/>
        </w:rPr>
        <w:t>182.82</w:t>
      </w:r>
      <w:r>
        <w:rPr>
          <w:rFonts w:ascii="Times New Roman" w:eastAsia="方正仿宋_GBK" w:hAnsi="Times New Roman" w:cs="Times New Roman" w:hint="eastAsia"/>
          <w:sz w:val="32"/>
          <w:szCs w:val="32"/>
        </w:rPr>
        <w:t>万元，其中：基本支出减少</w:t>
      </w:r>
      <w:r>
        <w:rPr>
          <w:rFonts w:ascii="Times New Roman" w:eastAsia="方正仿宋_GBK" w:hAnsi="Times New Roman" w:cs="Times New Roman" w:hint="eastAsia"/>
          <w:sz w:val="32"/>
          <w:szCs w:val="32"/>
        </w:rPr>
        <w:t>8.11</w:t>
      </w:r>
      <w:r>
        <w:rPr>
          <w:rFonts w:ascii="Times New Roman" w:eastAsia="方正仿宋_GBK" w:hAnsi="Times New Roman" w:cs="Times New Roman" w:hint="eastAsia"/>
          <w:sz w:val="32"/>
          <w:szCs w:val="32"/>
        </w:rPr>
        <w:t>万元，主要是人员减少，相应减少人员经费和日常公用经费；项目支出增加</w:t>
      </w:r>
      <w:r>
        <w:rPr>
          <w:rFonts w:ascii="Times New Roman" w:eastAsia="方正仿宋_GBK" w:hAnsi="Times New Roman" w:cs="Times New Roman" w:hint="eastAsia"/>
          <w:sz w:val="32"/>
          <w:szCs w:val="32"/>
        </w:rPr>
        <w:t>190.92</w:t>
      </w:r>
      <w:r>
        <w:rPr>
          <w:rFonts w:ascii="Times New Roman" w:eastAsia="方正仿宋_GBK" w:hAnsi="Times New Roman" w:cs="Times New Roman" w:hint="eastAsia"/>
          <w:sz w:val="32"/>
          <w:szCs w:val="32"/>
        </w:rPr>
        <w:t>万元，主要是项目资金安排增加。</w:t>
      </w:r>
    </w:p>
    <w:p w:rsidR="002C74A1" w:rsidRDefault="00BF021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2C74A1" w:rsidRDefault="00BF021A">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年，我部门机关运行经费共计安排</w:t>
      </w:r>
      <w:r>
        <w:rPr>
          <w:rFonts w:ascii="Times New Roman" w:eastAsia="方正仿宋_GBK" w:hAnsi="Times New Roman" w:cs="Times New Roman" w:hint="eastAsia"/>
          <w:sz w:val="32"/>
          <w:szCs w:val="32"/>
        </w:rPr>
        <w:t>123.82</w:t>
      </w:r>
      <w:r>
        <w:rPr>
          <w:rFonts w:ascii="Times New Roman" w:eastAsia="方正仿宋_GBK" w:hAnsi="Times New Roman" w:cs="Times New Roman" w:hint="eastAsia"/>
          <w:sz w:val="32"/>
          <w:szCs w:val="32"/>
        </w:rPr>
        <w:t>万元，主要用于保证机关正常运转的办公费、邮电费、公务车运行维护费、车补等支出。</w:t>
      </w:r>
    </w:p>
    <w:p w:rsidR="002C74A1" w:rsidRDefault="00BF021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2C74A1" w:rsidRDefault="00BF021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年，我部门财政拨款“三公”经费预算安排</w:t>
      </w:r>
      <w:r>
        <w:rPr>
          <w:rFonts w:ascii="Times New Roman" w:eastAsia="方正仿宋_GBK" w:hAnsi="Times New Roman" w:cs="Times New Roman" w:hint="eastAsia"/>
          <w:sz w:val="32"/>
          <w:szCs w:val="32"/>
        </w:rPr>
        <w:t>10.2</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万元（其中：公务用车购置费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万元，公务用车运行维护费</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；公务接</w:t>
      </w:r>
      <w:r>
        <w:rPr>
          <w:rFonts w:ascii="Times New Roman" w:eastAsia="方正仿宋_GBK" w:hAnsi="Times New Roman" w:cs="Times New Roman" w:hint="eastAsia"/>
          <w:sz w:val="32"/>
          <w:szCs w:val="32"/>
        </w:rPr>
        <w:lastRenderedPageBreak/>
        <w:t>待费</w:t>
      </w:r>
      <w:r>
        <w:rPr>
          <w:rFonts w:ascii="Times New Roman" w:eastAsia="方正仿宋_GBK" w:hAnsi="Times New Roman" w:cs="Times New Roman" w:hint="eastAsia"/>
          <w:sz w:val="32"/>
          <w:szCs w:val="32"/>
        </w:rPr>
        <w:t>0.2</w:t>
      </w:r>
      <w:r>
        <w:rPr>
          <w:rFonts w:ascii="Times New Roman" w:eastAsia="方正仿宋_GBK" w:hAnsi="Times New Roman" w:cs="Times New Roman" w:hint="eastAsia"/>
          <w:sz w:val="32"/>
          <w:szCs w:val="32"/>
        </w:rPr>
        <w:t>万元。“三公”经费比上年减少</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万元，原因是厉行节约，严格控制三公经费支出。</w:t>
      </w:r>
    </w:p>
    <w:p w:rsidR="002C74A1" w:rsidRDefault="00BF021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2C74A1" w:rsidRDefault="00BF021A" w:rsidP="00246403">
      <w:pPr>
        <w:ind w:firstLineChars="246" w:firstLine="787"/>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2C74A1" w:rsidRDefault="00BF021A">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sidR="00246403" w:rsidRPr="00246403">
        <w:rPr>
          <w:rFonts w:hint="eastAsia"/>
        </w:rPr>
        <w:fldChar w:fldCharType="begin"/>
      </w:r>
      <w:r>
        <w:rPr>
          <w:rFonts w:ascii="仿宋" w:eastAsia="仿宋" w:hAnsi="仿宋" w:cs="仿宋" w:hint="eastAsia"/>
          <w:sz w:val="32"/>
          <w:szCs w:val="32"/>
        </w:rPr>
        <w:instrText xml:space="preserve"> TC 总体绩效目标 \f A \l 1 </w:instrText>
      </w:r>
      <w:r w:rsidR="00246403">
        <w:rPr>
          <w:rFonts w:ascii="仿宋" w:eastAsia="仿宋" w:hAnsi="仿宋" w:cs="仿宋" w:hint="eastAsia"/>
          <w:sz w:val="32"/>
          <w:szCs w:val="32"/>
        </w:rPr>
        <w:fldChar w:fldCharType="end"/>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在上级检察机关和县委的坚强领导下，继续以习近平新时代中国特色社会主义思想为指导，全面贯彻落实“讲政治、顾大局、谋发展、重自强”的检察工作总要求和各级检察长会议精神，紧紧围绕经济发展大局，不断深入推进刑事、民事、行政、公益诉讼“四大检察”工作开展</w:t>
      </w:r>
      <w:r>
        <w:rPr>
          <w:rFonts w:ascii="Times New Roman" w:eastAsia="方正仿宋_GBK" w:hAnsi="Times New Roman" w:cs="Times New Roman" w:hint="eastAsia"/>
          <w:sz w:val="32"/>
          <w:szCs w:val="32"/>
        </w:rPr>
        <w:t>.</w:t>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通过“小红伞护航”送法进校园活动、集中开展扫黑除恶宣传活动，加强群众对犯罪行为的辨别及提高防范意识；全面开展为企业提供法律服务、</w:t>
      </w:r>
      <w:r>
        <w:rPr>
          <w:rFonts w:ascii="Times New Roman" w:eastAsia="方正仿宋_GBK" w:hAnsi="Times New Roman" w:cs="Times New Roman" w:hint="eastAsia"/>
          <w:sz w:val="32"/>
          <w:szCs w:val="32"/>
        </w:rPr>
        <w:t>12309</w:t>
      </w:r>
      <w:r>
        <w:rPr>
          <w:rFonts w:ascii="Times New Roman" w:eastAsia="方正仿宋_GBK" w:hAnsi="Times New Roman" w:cs="Times New Roman" w:hint="eastAsia"/>
          <w:sz w:val="32"/>
          <w:szCs w:val="32"/>
        </w:rPr>
        <w:t>检察便民服务，提高民众的满意度。坚决打击严重影响社会治安稳定和人民群众安全感的黑恶势力犯罪、严重暴力犯罪和多发性侵财犯罪，加强审判活动监督，对漏捕、漏犯进行追诉，确保批捕准确率、起诉有罪判决率为</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。健全检察官联席会议、案件评查及业绩考核等机制，同步加强对办案的监督制约。多渠道、多角度，全面深化检务公开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及时公开检察工作动态，正向引导社会舆论监督，确保检察权依法公正行使。</w:t>
      </w:r>
      <w:r>
        <w:rPr>
          <w:rFonts w:ascii="Times New Roman" w:eastAsia="方正仿宋_GBK" w:hAnsi="Times New Roman" w:cs="Times New Roman" w:hint="eastAsia"/>
          <w:sz w:val="32"/>
          <w:szCs w:val="32"/>
        </w:rPr>
        <w:t xml:space="preserve">  </w:t>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保障干警合法权益，及时发放人民警察及检察工作人员的加班补贴，提高干警满意度</w:t>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通过更换中央空调、建设听证室等工程实施，提升检察机关办</w:t>
      </w:r>
      <w:r>
        <w:rPr>
          <w:rFonts w:ascii="Times New Roman" w:eastAsia="方正仿宋_GBK" w:hAnsi="Times New Roman" w:cs="Times New Roman" w:hint="eastAsia"/>
          <w:sz w:val="32"/>
          <w:szCs w:val="32"/>
        </w:rPr>
        <w:lastRenderedPageBreak/>
        <w:t>案区硬件水平，规范司法行为、提升检察办案质量、防范办案安全事故</w:t>
      </w:r>
      <w:r>
        <w:rPr>
          <w:rFonts w:ascii="Times New Roman" w:eastAsia="方正仿宋_GBK" w:hAnsi="Times New Roman" w:cs="Times New Roman" w:hint="eastAsia"/>
          <w:sz w:val="32"/>
          <w:szCs w:val="32"/>
        </w:rPr>
        <w:t>.</w:t>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通过物业安保等项目的实施，保障机关合同区域内工作环境安全，及时排除安全隐患。</w:t>
      </w:r>
    </w:p>
    <w:p w:rsidR="002C74A1" w:rsidRDefault="00BF021A">
      <w:pPr>
        <w:spacing w:line="60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牢固树立监督者更要接受监督的理念，将检察权置于人大法律监督和政协的民主监督之下，维护人民监督员合法权益，强化和完善对人民检察院的外部监督工作，防止和减少检察院工作中执法不公等问题出现次数。</w:t>
      </w:r>
    </w:p>
    <w:p w:rsidR="002C74A1" w:rsidRDefault="00BF021A" w:rsidP="00706325">
      <w:pPr>
        <w:spacing w:line="600" w:lineRule="exact"/>
        <w:ind w:firstLineChars="150" w:firstLine="480"/>
        <w:jc w:val="left"/>
        <w:outlineLvl w:val="1"/>
        <w:rPr>
          <w:rFonts w:ascii="黑体" w:eastAsia="黑体" w:hAnsi="黑体"/>
          <w:sz w:val="32"/>
          <w:szCs w:val="32"/>
        </w:rPr>
      </w:pPr>
      <w:r>
        <w:rPr>
          <w:rFonts w:ascii="黑体" w:eastAsia="黑体" w:hAnsi="黑体" w:hint="eastAsia"/>
          <w:sz w:val="32"/>
          <w:szCs w:val="32"/>
        </w:rPr>
        <w:t>（二）分项绩效目标</w:t>
      </w:r>
      <w:r w:rsidR="00246403" w:rsidRPr="00246403">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sidR="00246403">
        <w:rPr>
          <w:rFonts w:ascii="黑体" w:eastAsia="黑体" w:hAnsi="黑体" w:hint="eastAsia"/>
          <w:sz w:val="32"/>
          <w:szCs w:val="32"/>
        </w:rPr>
        <w:fldChar w:fldCharType="end"/>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 xml:space="preserve"> 1.</w:t>
      </w:r>
      <w:r>
        <w:rPr>
          <w:rFonts w:eastAsia="方正仿宋_GBK" w:hint="eastAsia"/>
          <w:sz w:val="32"/>
          <w:szCs w:val="32"/>
        </w:rPr>
        <w:t>保障项目实施，提高办公效率，提升群众及干警满意度</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绩效目标：通过更换中央空调，包括对非使用地下水空调机组、楼道布置管道、室内风机拆除及安装工程的实施，提高检察机关办公区域的办公环境，及时排除安全隐患。</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绩效指标：工程验收合格率达到</w:t>
      </w:r>
      <w:r>
        <w:rPr>
          <w:rFonts w:eastAsia="方正仿宋_GBK" w:hint="eastAsia"/>
          <w:sz w:val="32"/>
          <w:szCs w:val="32"/>
        </w:rPr>
        <w:t>90%</w:t>
      </w:r>
      <w:r>
        <w:rPr>
          <w:rFonts w:eastAsia="方正仿宋_GBK" w:hint="eastAsia"/>
          <w:sz w:val="32"/>
          <w:szCs w:val="32"/>
        </w:rPr>
        <w:t>以上，工程按期完成率达到</w:t>
      </w:r>
      <w:r>
        <w:rPr>
          <w:rFonts w:eastAsia="方正仿宋_GBK" w:hint="eastAsia"/>
          <w:sz w:val="32"/>
          <w:szCs w:val="32"/>
        </w:rPr>
        <w:t>90%</w:t>
      </w:r>
      <w:r>
        <w:rPr>
          <w:rFonts w:eastAsia="方正仿宋_GBK" w:hint="eastAsia"/>
          <w:sz w:val="32"/>
          <w:szCs w:val="32"/>
        </w:rPr>
        <w:t>以上，财政资金预算支出完成率</w:t>
      </w:r>
      <w:r>
        <w:rPr>
          <w:rFonts w:eastAsia="方正仿宋_GBK" w:hint="eastAsia"/>
          <w:sz w:val="32"/>
          <w:szCs w:val="32"/>
        </w:rPr>
        <w:t>95%</w:t>
      </w:r>
      <w:r>
        <w:rPr>
          <w:rFonts w:eastAsia="方正仿宋_GBK" w:hint="eastAsia"/>
          <w:sz w:val="32"/>
          <w:szCs w:val="32"/>
        </w:rPr>
        <w:t>，配套设施完成率达到</w:t>
      </w:r>
      <w:r>
        <w:rPr>
          <w:rFonts w:eastAsia="方正仿宋_GBK" w:hint="eastAsia"/>
          <w:sz w:val="32"/>
          <w:szCs w:val="32"/>
        </w:rPr>
        <w:t>90%</w:t>
      </w:r>
      <w:r>
        <w:rPr>
          <w:rFonts w:eastAsia="方正仿宋_GBK" w:hint="eastAsia"/>
          <w:sz w:val="32"/>
          <w:szCs w:val="32"/>
        </w:rPr>
        <w:t>以上，合同违规率小于</w:t>
      </w:r>
      <w:r>
        <w:rPr>
          <w:rFonts w:eastAsia="方正仿宋_GBK" w:hint="eastAsia"/>
          <w:sz w:val="32"/>
          <w:szCs w:val="32"/>
        </w:rPr>
        <w:t>1%</w:t>
      </w:r>
      <w:r>
        <w:rPr>
          <w:rFonts w:eastAsia="方正仿宋_GBK" w:hint="eastAsia"/>
          <w:sz w:val="32"/>
          <w:szCs w:val="32"/>
        </w:rPr>
        <w:t>，维护面积不低于</w:t>
      </w:r>
      <w:r>
        <w:rPr>
          <w:rFonts w:eastAsia="方正仿宋_GBK" w:hint="eastAsia"/>
          <w:sz w:val="32"/>
          <w:szCs w:val="32"/>
        </w:rPr>
        <w:t>7000</w:t>
      </w:r>
      <w:r>
        <w:rPr>
          <w:rFonts w:eastAsia="方正仿宋_GBK" w:hint="eastAsia"/>
          <w:sz w:val="32"/>
          <w:szCs w:val="32"/>
        </w:rPr>
        <w:t>平，日常巡查维修及时率不低于</w:t>
      </w:r>
      <w:r>
        <w:rPr>
          <w:rFonts w:eastAsia="方正仿宋_GBK" w:hint="eastAsia"/>
          <w:sz w:val="32"/>
          <w:szCs w:val="32"/>
        </w:rPr>
        <w:t>90%</w:t>
      </w:r>
      <w:r>
        <w:rPr>
          <w:rFonts w:eastAsia="方正仿宋_GBK" w:hint="eastAsia"/>
          <w:sz w:val="32"/>
          <w:szCs w:val="32"/>
        </w:rPr>
        <w:t>异常处理能力不低于</w:t>
      </w:r>
      <w:r>
        <w:rPr>
          <w:rFonts w:eastAsia="方正仿宋_GBK" w:hint="eastAsia"/>
          <w:sz w:val="32"/>
          <w:szCs w:val="32"/>
        </w:rPr>
        <w:t>90%</w:t>
      </w:r>
      <w:r>
        <w:rPr>
          <w:rFonts w:eastAsia="方正仿宋_GBK" w:hint="eastAsia"/>
          <w:sz w:val="32"/>
          <w:szCs w:val="32"/>
        </w:rPr>
        <w:t>，工程量完成不低于</w:t>
      </w:r>
      <w:r>
        <w:rPr>
          <w:rFonts w:eastAsia="方正仿宋_GBK" w:hint="eastAsia"/>
          <w:sz w:val="32"/>
          <w:szCs w:val="32"/>
        </w:rPr>
        <w:t>90%</w:t>
      </w:r>
      <w:r>
        <w:rPr>
          <w:rFonts w:eastAsia="方正仿宋_GBK" w:hint="eastAsia"/>
          <w:sz w:val="32"/>
          <w:szCs w:val="32"/>
        </w:rPr>
        <w:t>。</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2.</w:t>
      </w:r>
      <w:r>
        <w:rPr>
          <w:rFonts w:eastAsia="方正仿宋_GBK" w:hint="eastAsia"/>
          <w:sz w:val="32"/>
          <w:szCs w:val="32"/>
        </w:rPr>
        <w:t>有效规范司法行为、提升检察办案质量</w:t>
      </w:r>
      <w:r>
        <w:rPr>
          <w:rFonts w:eastAsia="方正仿宋_GBK" w:hint="eastAsia"/>
          <w:sz w:val="32"/>
          <w:szCs w:val="32"/>
        </w:rPr>
        <w:tab/>
      </w:r>
      <w:r>
        <w:rPr>
          <w:rFonts w:eastAsia="方正仿宋_GBK" w:hint="eastAsia"/>
          <w:sz w:val="32"/>
          <w:szCs w:val="32"/>
        </w:rPr>
        <w:tab/>
        <w:t xml:space="preserve"> </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绩效目标：建设听证室一体化，包含了“场所基础环境、听证设备配置、设备管控系统、业务应用系统、互联网直播扩展、远程视频接入扩展”等六大部分。通过听证室一体化建设并购置相关功</w:t>
      </w:r>
      <w:r>
        <w:rPr>
          <w:rFonts w:eastAsia="方正仿宋_GBK" w:hint="eastAsia"/>
          <w:sz w:val="32"/>
          <w:szCs w:val="32"/>
        </w:rPr>
        <w:lastRenderedPageBreak/>
        <w:t>能设备，提升检察机关办案区硬件水平、规范司法行为、提升检察办案质量。</w:t>
      </w:r>
      <w:r>
        <w:rPr>
          <w:rFonts w:eastAsia="方正仿宋_GBK" w:hint="eastAsia"/>
          <w:sz w:val="32"/>
          <w:szCs w:val="32"/>
        </w:rPr>
        <w:tab/>
      </w:r>
      <w:r>
        <w:rPr>
          <w:rFonts w:eastAsia="方正仿宋_GBK" w:hint="eastAsia"/>
          <w:sz w:val="32"/>
          <w:szCs w:val="32"/>
        </w:rPr>
        <w:tab/>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绩效指标：工程验收合格率达到</w:t>
      </w:r>
      <w:r>
        <w:rPr>
          <w:rFonts w:eastAsia="方正仿宋_GBK" w:hint="eastAsia"/>
          <w:sz w:val="32"/>
          <w:szCs w:val="32"/>
        </w:rPr>
        <w:t>95%</w:t>
      </w:r>
      <w:r>
        <w:rPr>
          <w:rFonts w:eastAsia="方正仿宋_GBK" w:hint="eastAsia"/>
          <w:sz w:val="32"/>
          <w:szCs w:val="32"/>
        </w:rPr>
        <w:t>以上，工程按期完成率达到</w:t>
      </w:r>
      <w:r>
        <w:rPr>
          <w:rFonts w:eastAsia="方正仿宋_GBK" w:hint="eastAsia"/>
          <w:sz w:val="32"/>
          <w:szCs w:val="32"/>
        </w:rPr>
        <w:t>90%</w:t>
      </w:r>
      <w:r>
        <w:rPr>
          <w:rFonts w:eastAsia="方正仿宋_GBK" w:hint="eastAsia"/>
          <w:sz w:val="32"/>
          <w:szCs w:val="32"/>
        </w:rPr>
        <w:t>以上，工程改造面积高于</w:t>
      </w:r>
      <w:r>
        <w:rPr>
          <w:rFonts w:eastAsia="方正仿宋_GBK" w:hint="eastAsia"/>
          <w:sz w:val="32"/>
          <w:szCs w:val="32"/>
        </w:rPr>
        <w:t>270</w:t>
      </w:r>
      <w:r>
        <w:rPr>
          <w:rFonts w:eastAsia="方正仿宋_GBK" w:hint="eastAsia"/>
          <w:sz w:val="32"/>
          <w:szCs w:val="32"/>
        </w:rPr>
        <w:t>平方米，每平方米投入成本平均达到</w:t>
      </w:r>
      <w:r>
        <w:rPr>
          <w:rFonts w:eastAsia="方正仿宋_GBK" w:hint="eastAsia"/>
          <w:sz w:val="32"/>
          <w:szCs w:val="32"/>
        </w:rPr>
        <w:t>40000</w:t>
      </w:r>
      <w:r>
        <w:rPr>
          <w:rFonts w:eastAsia="方正仿宋_GBK" w:hint="eastAsia"/>
          <w:sz w:val="32"/>
          <w:szCs w:val="32"/>
        </w:rPr>
        <w:t>元。</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3.</w:t>
      </w:r>
      <w:r>
        <w:rPr>
          <w:rFonts w:eastAsia="方正仿宋_GBK" w:hint="eastAsia"/>
          <w:sz w:val="32"/>
          <w:szCs w:val="32"/>
        </w:rPr>
        <w:t>强化外部监督，保障人民监督员合法权益</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目标：根据往年签订物业管理合同、安保合同，实现包括树木、绿化等养护内容；门卫日常巡视、监控执勤；日常不涉及更换硬件的上下水维护、排污管道畅通；服务区域内用电设施运行正常；服务区域内的大厅、走廊、楼梯、墙面、卫生间、水房会议等卫生清洁干净等内容及安全隐患的排除。</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绩效指标：日常巡查维修及时率不小于</w:t>
      </w:r>
      <w:r>
        <w:rPr>
          <w:rFonts w:eastAsia="方正仿宋_GBK" w:hint="eastAsia"/>
          <w:sz w:val="32"/>
          <w:szCs w:val="32"/>
        </w:rPr>
        <w:t>95%</w:t>
      </w:r>
      <w:r>
        <w:rPr>
          <w:rFonts w:eastAsia="方正仿宋_GBK" w:hint="eastAsia"/>
          <w:sz w:val="32"/>
          <w:szCs w:val="32"/>
        </w:rPr>
        <w:t>，工程验收合格率达到</w:t>
      </w:r>
      <w:r>
        <w:rPr>
          <w:rFonts w:eastAsia="方正仿宋_GBK" w:hint="eastAsia"/>
          <w:sz w:val="32"/>
          <w:szCs w:val="32"/>
        </w:rPr>
        <w:t>90%</w:t>
      </w:r>
      <w:r>
        <w:rPr>
          <w:rFonts w:eastAsia="方正仿宋_GBK" w:hint="eastAsia"/>
          <w:sz w:val="32"/>
          <w:szCs w:val="32"/>
        </w:rPr>
        <w:t>以上，合同金额追加</w:t>
      </w:r>
      <w:r>
        <w:rPr>
          <w:rFonts w:eastAsia="方正仿宋_GBK" w:hint="eastAsia"/>
          <w:sz w:val="32"/>
          <w:szCs w:val="32"/>
        </w:rPr>
        <w:t>10000</w:t>
      </w:r>
      <w:r>
        <w:rPr>
          <w:rFonts w:eastAsia="方正仿宋_GBK" w:hint="eastAsia"/>
          <w:sz w:val="32"/>
          <w:szCs w:val="32"/>
        </w:rPr>
        <w:t>元，维护建筑面积</w:t>
      </w:r>
      <w:r>
        <w:rPr>
          <w:rFonts w:eastAsia="方正仿宋_GBK" w:hint="eastAsia"/>
          <w:sz w:val="32"/>
          <w:szCs w:val="32"/>
        </w:rPr>
        <w:t>6970%</w:t>
      </w:r>
      <w:r>
        <w:rPr>
          <w:rFonts w:eastAsia="方正仿宋_GBK" w:hint="eastAsia"/>
          <w:sz w:val="32"/>
          <w:szCs w:val="32"/>
        </w:rPr>
        <w:t>，保障正常工作开展率达到</w:t>
      </w:r>
      <w:r>
        <w:rPr>
          <w:rFonts w:eastAsia="方正仿宋_GBK" w:hint="eastAsia"/>
          <w:sz w:val="32"/>
          <w:szCs w:val="32"/>
        </w:rPr>
        <w:t>90%</w:t>
      </w:r>
      <w:r>
        <w:rPr>
          <w:rFonts w:eastAsia="方正仿宋_GBK" w:hint="eastAsia"/>
          <w:sz w:val="32"/>
          <w:szCs w:val="32"/>
        </w:rPr>
        <w:t>以上，隐患消除及时率达到</w:t>
      </w:r>
      <w:r>
        <w:rPr>
          <w:rFonts w:eastAsia="方正仿宋_GBK" w:hint="eastAsia"/>
          <w:sz w:val="32"/>
          <w:szCs w:val="32"/>
        </w:rPr>
        <w:t>90%</w:t>
      </w:r>
      <w:r>
        <w:rPr>
          <w:rFonts w:eastAsia="方正仿宋_GBK" w:hint="eastAsia"/>
          <w:sz w:val="32"/>
          <w:szCs w:val="32"/>
        </w:rPr>
        <w:t>以上，卫生情况良好率达到</w:t>
      </w:r>
      <w:r>
        <w:rPr>
          <w:rFonts w:eastAsia="方正仿宋_GBK" w:hint="eastAsia"/>
          <w:sz w:val="32"/>
          <w:szCs w:val="32"/>
        </w:rPr>
        <w:t>90%</w:t>
      </w:r>
      <w:r>
        <w:rPr>
          <w:rFonts w:eastAsia="方正仿宋_GBK" w:hint="eastAsia"/>
          <w:sz w:val="32"/>
          <w:szCs w:val="32"/>
        </w:rPr>
        <w:t>以上，安保情况良好率达到</w:t>
      </w:r>
      <w:r>
        <w:rPr>
          <w:rFonts w:eastAsia="方正仿宋_GBK" w:hint="eastAsia"/>
          <w:sz w:val="32"/>
          <w:szCs w:val="32"/>
        </w:rPr>
        <w:t>90%</w:t>
      </w:r>
      <w:r>
        <w:rPr>
          <w:rFonts w:eastAsia="方正仿宋_GBK" w:hint="eastAsia"/>
          <w:sz w:val="32"/>
          <w:szCs w:val="32"/>
        </w:rPr>
        <w:t>以上。</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 xml:space="preserve">4. </w:t>
      </w:r>
      <w:r>
        <w:rPr>
          <w:rFonts w:eastAsia="方正仿宋_GBK" w:hint="eastAsia"/>
          <w:sz w:val="32"/>
          <w:szCs w:val="32"/>
        </w:rPr>
        <w:t>保障干警合法权益，提高干警满意度</w:t>
      </w:r>
      <w:r>
        <w:rPr>
          <w:rFonts w:eastAsia="方正仿宋_GBK" w:hint="eastAsia"/>
          <w:sz w:val="32"/>
          <w:szCs w:val="32"/>
        </w:rPr>
        <w:t xml:space="preserve">  </w:t>
      </w:r>
      <w:r>
        <w:rPr>
          <w:rFonts w:eastAsia="方正仿宋_GBK" w:hint="eastAsia"/>
          <w:sz w:val="32"/>
          <w:szCs w:val="32"/>
        </w:rPr>
        <w:t>物业费</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绩效目标：人社部门、财政部门等有关文件按照考勤记录等对符合列入政法专项编制且执行公务员工资制度的人民警察和工作人员按月分别发放不高于</w:t>
      </w:r>
      <w:r>
        <w:rPr>
          <w:rFonts w:eastAsia="方正仿宋_GBK" w:hint="eastAsia"/>
          <w:sz w:val="32"/>
          <w:szCs w:val="32"/>
        </w:rPr>
        <w:t>710</w:t>
      </w:r>
      <w:r>
        <w:rPr>
          <w:rFonts w:eastAsia="方正仿宋_GBK" w:hint="eastAsia"/>
          <w:sz w:val="32"/>
          <w:szCs w:val="32"/>
        </w:rPr>
        <w:t>和</w:t>
      </w:r>
      <w:r>
        <w:rPr>
          <w:rFonts w:eastAsia="方正仿宋_GBK" w:hint="eastAsia"/>
          <w:sz w:val="32"/>
          <w:szCs w:val="32"/>
        </w:rPr>
        <w:t>300</w:t>
      </w:r>
      <w:r>
        <w:rPr>
          <w:rFonts w:eastAsia="方正仿宋_GBK" w:hint="eastAsia"/>
          <w:sz w:val="32"/>
          <w:szCs w:val="32"/>
        </w:rPr>
        <w:t>元的加班补贴的发放、提高干警满意度，激发工作热情。</w:t>
      </w:r>
    </w:p>
    <w:p w:rsidR="002C74A1" w:rsidRDefault="00BF021A">
      <w:pPr>
        <w:spacing w:line="600" w:lineRule="exact"/>
        <w:ind w:firstLineChars="200" w:firstLine="640"/>
        <w:jc w:val="left"/>
        <w:outlineLvl w:val="1"/>
        <w:rPr>
          <w:rFonts w:eastAsia="方正仿宋_GBK"/>
          <w:sz w:val="32"/>
          <w:szCs w:val="32"/>
        </w:rPr>
      </w:pPr>
      <w:r>
        <w:rPr>
          <w:rFonts w:eastAsia="方正仿宋_GBK" w:hint="eastAsia"/>
          <w:sz w:val="32"/>
          <w:szCs w:val="32"/>
        </w:rPr>
        <w:t>绩效指标：机关公务员考核完成率不小于</w:t>
      </w:r>
      <w:r>
        <w:rPr>
          <w:rFonts w:eastAsia="方正仿宋_GBK" w:hint="eastAsia"/>
          <w:sz w:val="32"/>
          <w:szCs w:val="32"/>
        </w:rPr>
        <w:t>90%</w:t>
      </w:r>
      <w:r>
        <w:rPr>
          <w:rFonts w:eastAsia="方正仿宋_GBK" w:hint="eastAsia"/>
          <w:sz w:val="32"/>
          <w:szCs w:val="32"/>
        </w:rPr>
        <w:t>，资金发放到位率不小于</w:t>
      </w:r>
      <w:r>
        <w:rPr>
          <w:rFonts w:eastAsia="方正仿宋_GBK" w:hint="eastAsia"/>
          <w:sz w:val="32"/>
          <w:szCs w:val="32"/>
        </w:rPr>
        <w:t>90%</w:t>
      </w:r>
      <w:r>
        <w:rPr>
          <w:rFonts w:eastAsia="方正仿宋_GBK" w:hint="eastAsia"/>
          <w:sz w:val="32"/>
          <w:szCs w:val="32"/>
        </w:rPr>
        <w:t>，检察人员人员补助标准不低于</w:t>
      </w:r>
      <w:r>
        <w:rPr>
          <w:rFonts w:eastAsia="方正仿宋_GBK" w:hint="eastAsia"/>
          <w:sz w:val="32"/>
          <w:szCs w:val="32"/>
        </w:rPr>
        <w:t>270</w:t>
      </w:r>
      <w:r>
        <w:rPr>
          <w:rFonts w:eastAsia="方正仿宋_GBK" w:hint="eastAsia"/>
          <w:sz w:val="32"/>
          <w:szCs w:val="32"/>
        </w:rPr>
        <w:t>元，补助金发放</w:t>
      </w:r>
      <w:r>
        <w:rPr>
          <w:rFonts w:eastAsia="方正仿宋_GBK" w:hint="eastAsia"/>
          <w:sz w:val="32"/>
          <w:szCs w:val="32"/>
        </w:rPr>
        <w:lastRenderedPageBreak/>
        <w:t>率不小于</w:t>
      </w:r>
      <w:r>
        <w:rPr>
          <w:rFonts w:eastAsia="方正仿宋_GBK" w:hint="eastAsia"/>
          <w:sz w:val="32"/>
          <w:szCs w:val="32"/>
        </w:rPr>
        <w:t>90%</w:t>
      </w:r>
      <w:r>
        <w:rPr>
          <w:rFonts w:eastAsia="方正仿宋_GBK" w:hint="eastAsia"/>
          <w:sz w:val="32"/>
          <w:szCs w:val="32"/>
        </w:rPr>
        <w:t>。</w:t>
      </w:r>
      <w:r>
        <w:rPr>
          <w:rFonts w:eastAsia="方正仿宋_GBK" w:hint="eastAsia"/>
          <w:sz w:val="32"/>
          <w:szCs w:val="32"/>
        </w:rPr>
        <w:t xml:space="preserve">     </w:t>
      </w:r>
    </w:p>
    <w:p w:rsidR="002C74A1" w:rsidRDefault="00BF021A">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rsidR="00246403" w:rsidRPr="00246403">
        <w:fldChar w:fldCharType="begin"/>
      </w:r>
      <w:r>
        <w:rPr>
          <w:rFonts w:eastAsia="仿宋"/>
          <w:sz w:val="32"/>
          <w:szCs w:val="32"/>
        </w:rPr>
        <w:instrText xml:space="preserve"> TC </w:instrText>
      </w:r>
      <w:bookmarkStart w:id="3" w:name="_Toc29547416"/>
      <w:r>
        <w:rPr>
          <w:rFonts w:eastAsia="仿宋"/>
          <w:sz w:val="32"/>
          <w:szCs w:val="32"/>
        </w:rPr>
        <w:instrText>工作保障措施</w:instrText>
      </w:r>
      <w:bookmarkEnd w:id="3"/>
      <w:r>
        <w:rPr>
          <w:rFonts w:eastAsia="仿宋"/>
          <w:sz w:val="32"/>
          <w:szCs w:val="32"/>
        </w:rPr>
        <w:instrText xml:space="preserve"> \f A \l 1 </w:instrText>
      </w:r>
      <w:r w:rsidR="00246403">
        <w:rPr>
          <w:rFonts w:eastAsia="仿宋"/>
          <w:sz w:val="32"/>
          <w:szCs w:val="32"/>
        </w:rPr>
        <w:fldChar w:fldCharType="end"/>
      </w:r>
    </w:p>
    <w:p w:rsidR="002C74A1" w:rsidRDefault="00706325" w:rsidP="00706325">
      <w:pPr>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00BF021A">
        <w:rPr>
          <w:rFonts w:eastAsia="方正仿宋_GBK" w:hint="eastAsia"/>
          <w:sz w:val="32"/>
          <w:szCs w:val="32"/>
        </w:rPr>
        <w:t>服务全县经济社会发展大局。围绕全县中心工作，持续开展对重大项目建设和非公经济发展的服务力度，积极提供涉企法律服务，充分发挥检察职能作用，精准服务“防范化解重大风险、精准扶贫、污染防治”三大攻坚战。严厉打击合同诈骗、非法吸收公众存款、职务侵占等犯罪，积极营造公平竞争、诚信有序的法治环境。</w:t>
      </w:r>
    </w:p>
    <w:p w:rsidR="002C74A1" w:rsidRDefault="00706325" w:rsidP="00706325">
      <w:pPr>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sidR="00BF021A">
        <w:rPr>
          <w:rFonts w:eastAsia="方正仿宋_GBK" w:hint="eastAsia"/>
          <w:sz w:val="32"/>
          <w:szCs w:val="32"/>
        </w:rPr>
        <w:t>全力维护社会和谐稳定。持续深入开展扫黑除恶专项斗争，始终把案件质量放在首位，坚持把“破网打伞”作为主攻方向，深化“一案三查”，深挖案件线索。坚持创新发展“枫桥经验”，打造共建共治共享的社会治理格局。正确适用认罪认罚从宽、简易程序、量刑建议以及不批捕、不起诉、附条件不起诉等机制措施，积极把化解矛盾纠纷贯穿司法办案始终。</w:t>
      </w:r>
    </w:p>
    <w:p w:rsidR="002C74A1" w:rsidRDefault="00706325" w:rsidP="00706325">
      <w:pPr>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w:t>
      </w:r>
      <w:r w:rsidR="00BF021A">
        <w:rPr>
          <w:rFonts w:eastAsia="方正仿宋_GBK" w:hint="eastAsia"/>
          <w:sz w:val="32"/>
          <w:szCs w:val="32"/>
        </w:rPr>
        <w:t>推动“四大检察”协调充分发展。以捕诉一体改革为契机，进一步提升办案质效，做优刑事检察工作；深入践行民事检察五大理念，加大工作力度，做强民事检察工作；进一步提升认识，办好办精行政监督案件，做强行政检察工作；聚焦公益这个核心，认真履行检察官作为公众利益代表的职责使命，提升工作精准度，做好公益诉讼检察工作。</w:t>
      </w:r>
    </w:p>
    <w:p w:rsidR="002C74A1" w:rsidRDefault="00706325" w:rsidP="00706325">
      <w:pPr>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w:t>
      </w:r>
      <w:r w:rsidR="00BF021A">
        <w:rPr>
          <w:rFonts w:eastAsia="方正仿宋_GBK" w:hint="eastAsia"/>
          <w:sz w:val="32"/>
          <w:szCs w:val="32"/>
        </w:rPr>
        <w:t>努力加强检察队伍建设。坚持把队伍的政治思想建设放在首位，引导干警深入理解和积极践行社会主义法治理念，牢固树立“立检为公、执法为民”的宗旨意识。坚持从严治检，深入开展纠正“四</w:t>
      </w:r>
      <w:r w:rsidR="00BF021A">
        <w:rPr>
          <w:rFonts w:eastAsia="方正仿宋_GBK" w:hint="eastAsia"/>
          <w:sz w:val="32"/>
          <w:szCs w:val="32"/>
        </w:rPr>
        <w:lastRenderedPageBreak/>
        <w:t>风”和作风纪律专项整治，强化监督问责。聚焦检察工作实际需要，提升职业素养，提高监督能力，努力建设一支信念坚定、执法为民、敢于担当、清正廉洁的检察队伍。</w:t>
      </w:r>
    </w:p>
    <w:p w:rsidR="002C74A1" w:rsidRDefault="00706325" w:rsidP="00706325">
      <w:pPr>
        <w:ind w:firstLineChars="200" w:firstLine="640"/>
        <w:jc w:val="left"/>
        <w:rPr>
          <w:rFonts w:eastAsia="方正仿宋_GBK"/>
          <w:sz w:val="32"/>
          <w:szCs w:val="32"/>
        </w:rPr>
      </w:pPr>
      <w:r>
        <w:rPr>
          <w:rFonts w:eastAsia="方正仿宋_GBK" w:hint="eastAsia"/>
          <w:sz w:val="32"/>
          <w:szCs w:val="32"/>
        </w:rPr>
        <w:t>5</w:t>
      </w:r>
      <w:r>
        <w:rPr>
          <w:rFonts w:eastAsia="方正仿宋_GBK" w:hint="eastAsia"/>
          <w:sz w:val="32"/>
          <w:szCs w:val="32"/>
        </w:rPr>
        <w:t>、</w:t>
      </w:r>
      <w:r w:rsidR="00BF021A">
        <w:rPr>
          <w:rFonts w:eastAsia="方正仿宋_GBK" w:hint="eastAsia"/>
          <w:sz w:val="32"/>
          <w:szCs w:val="32"/>
        </w:rPr>
        <w:t>积极争取资金，保障人员经费、日常公用经费及时足额到位，保障检察各项工作的顺利开展。</w:t>
      </w:r>
    </w:p>
    <w:p w:rsidR="002C74A1" w:rsidRDefault="002C74A1" w:rsidP="00246403">
      <w:pPr>
        <w:ind w:firstLineChars="200" w:firstLine="640"/>
        <w:jc w:val="left"/>
        <w:rPr>
          <w:rFonts w:ascii="Times New Roman" w:eastAsia="方正仿宋_GBK" w:hAnsi="Times New Roman" w:cs="Times New Roman"/>
          <w:b/>
          <w:sz w:val="32"/>
          <w:szCs w:val="32"/>
        </w:rPr>
      </w:pPr>
    </w:p>
    <w:p w:rsidR="002C74A1" w:rsidRDefault="00BF021A" w:rsidP="00246403">
      <w:pPr>
        <w:ind w:firstLineChars="200" w:firstLine="640"/>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2C74A1" w:rsidRDefault="002C74A1">
      <w:pPr>
        <w:spacing w:line="300" w:lineRule="exact"/>
        <w:ind w:firstLineChars="200" w:firstLine="420"/>
        <w:jc w:val="left"/>
      </w:pPr>
    </w:p>
    <w:p w:rsidR="002C74A1" w:rsidRDefault="00BF021A" w:rsidP="00246403">
      <w:pPr>
        <w:ind w:firstLineChars="200" w:firstLine="560"/>
        <w:jc w:val="left"/>
        <w:outlineLvl w:val="3"/>
        <w:rPr>
          <w:rFonts w:ascii="Times New Roman" w:hAnsi="宋体"/>
          <w:b/>
          <w:sz w:val="28"/>
        </w:rPr>
      </w:pPr>
      <w:bookmarkStart w:id="4" w:name="_Toc67663756"/>
      <w:bookmarkStart w:id="5" w:name="_Toc60388188"/>
      <w:r>
        <w:rPr>
          <w:rFonts w:ascii="方正仿宋_GBK" w:eastAsia="方正仿宋_GBK" w:hint="eastAsia"/>
          <w:b/>
          <w:sz w:val="28"/>
        </w:rPr>
        <w:t>1.冀财政法[2020]71号关于提前下达基层公检法司转移支付省级配套资金的通知项目绩效目标表</w:t>
      </w:r>
      <w:bookmarkEnd w:id="4"/>
      <w:r w:rsidR="00246403" w:rsidRPr="00246403">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sidR="0024640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办案业务经费全部用于县检察院办理各类案件所需的经费开支，确保专款专用；购买业务装备以满足检察机关职能变更这新形式下的需要。</w:t>
            </w:r>
          </w:p>
          <w:p w:rsidR="002C74A1" w:rsidRDefault="00BF021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购买业务装备以满足检察机关职能变更这新形式下的需要。</w:t>
            </w:r>
          </w:p>
        </w:tc>
      </w:tr>
    </w:tbl>
    <w:p w:rsidR="002C74A1" w:rsidRDefault="00BF021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2C74A1">
        <w:trPr>
          <w:cantSplit/>
          <w:trHeight w:val="397"/>
          <w:tblHeader/>
          <w:jc w:val="center"/>
        </w:trPr>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指标值确定依据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办理案件数</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当年实际办理案件数</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≥120件</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购买设备数量</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使用此项经费购买设备数量</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≥50件</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党组会会议纪要</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诉讼期限内审结案件占全部案件比例</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诉讼期限内审结案件占全部案件比例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购买设备总成本</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全年购买设备总成本</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≥50万元</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350</w:t>
            </w:r>
            <w:r>
              <w:rPr>
                <w:rFonts w:ascii="方正书宋_GBK" w:eastAsia="方正书宋_GBK" w:hint="eastAsia"/>
              </w:rPr>
              <w:t>天</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合同、评审报告、中标通知书、验收报告、审计报告、购置验收合格率</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检察建议采纳率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被采纳的检察建议占全部检察建议的比例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出庭意见采纳率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出庭意见被采纳案件占全部案件比例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购买设备为以后工作提供便利</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购买设备为以后工作提供便利，提高办案人员工作效率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服务对像满意度指标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当事人对当年检察工作的满意度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bl>
    <w:p w:rsidR="002C74A1" w:rsidRDefault="002C74A1">
      <w:pPr>
        <w:spacing w:line="300" w:lineRule="exact"/>
        <w:jc w:val="left"/>
        <w:sectPr w:rsidR="002C74A1">
          <w:footerReference w:type="default" r:id="rId7"/>
          <w:pgSz w:w="11907" w:h="16839"/>
          <w:pgMar w:top="1984" w:right="1304" w:bottom="1134" w:left="1304" w:header="851" w:footer="992" w:gutter="0"/>
          <w:cols w:space="425"/>
          <w:docGrid w:type="lines" w:linePitch="312"/>
        </w:sectPr>
      </w:pPr>
    </w:p>
    <w:p w:rsidR="002C74A1" w:rsidRDefault="002C74A1">
      <w:pPr>
        <w:spacing w:line="300" w:lineRule="exact"/>
        <w:jc w:val="left"/>
      </w:pPr>
    </w:p>
    <w:bookmarkEnd w:id="5"/>
    <w:p w:rsidR="002C74A1" w:rsidRDefault="00BF021A" w:rsidP="00246403">
      <w:pPr>
        <w:ind w:firstLineChars="200" w:firstLine="560"/>
        <w:jc w:val="left"/>
        <w:outlineLvl w:val="3"/>
        <w:rPr>
          <w:rFonts w:ascii="Times New Roman" w:hAnsi="宋体"/>
          <w:b/>
          <w:sz w:val="28"/>
        </w:rPr>
      </w:pPr>
      <w:r>
        <w:rPr>
          <w:rFonts w:ascii="方正仿宋_GBK" w:eastAsia="方正仿宋_GBK" w:hint="eastAsia"/>
          <w:b/>
          <w:sz w:val="28"/>
        </w:rPr>
        <w:t>2.冀财政法[2020]70号关于提前下达中央政法纪检监察转移支付资金的通知项目绩效目标表</w:t>
      </w:r>
      <w:r w:rsidR="00246403" w:rsidRPr="00246403">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sidR="0024640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办案业务经费全部用于县检察院办理各类案件所需的经费开支，确保专款专用；购买业务装备以满足检察机关职能变更这新形式下的需要。</w:t>
            </w:r>
          </w:p>
          <w:p w:rsidR="002C74A1" w:rsidRDefault="00BF021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购买业务装备以满足检察机关职能变更这新形式下的需要。</w:t>
            </w:r>
          </w:p>
        </w:tc>
      </w:tr>
    </w:tbl>
    <w:p w:rsidR="002C74A1" w:rsidRDefault="00BF021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2C74A1">
        <w:trPr>
          <w:cantSplit/>
          <w:trHeight w:val="397"/>
          <w:tblHeader/>
          <w:jc w:val="center"/>
        </w:trPr>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指标值确定依据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办理案件数</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当年实际办理案件数</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≥120件</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购买设备数量</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使用此项经费购买设备数量</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≥50件</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党组会会议纪要</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诉讼期限内审结案件占全部案件比例</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诉讼期限内审结案件占全部案件比例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购买设备总成本</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全年购买设备总成本</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≥50万元</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350</w:t>
            </w:r>
            <w:r>
              <w:rPr>
                <w:rFonts w:ascii="方正书宋_GBK" w:eastAsia="方正书宋_GBK" w:hint="eastAsia"/>
              </w:rPr>
              <w:t>天</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合同、评审报告、中标通知书、验收报告、审计报告、购置验收合格率</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检察建议采纳率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被采纳的检察建议占全部检察建议的比例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出庭意见采纳率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出庭意见被采纳案件占全部案件比例</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购买设备为以后工作提供便利</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购买设备为以后工作提供便利，提高办案人员工作效率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服务对像满意度指标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当事人对当年检察工作的满意度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bl>
    <w:p w:rsidR="002C74A1" w:rsidRDefault="002C74A1">
      <w:pPr>
        <w:autoSpaceDE w:val="0"/>
        <w:autoSpaceDN w:val="0"/>
        <w:adjustRightInd w:val="0"/>
        <w:jc w:val="left"/>
        <w:rPr>
          <w:rFonts w:ascii="黑体" w:eastAsia="黑体" w:hAnsi="黑体" w:cs="Times New Roman"/>
          <w:sz w:val="32"/>
          <w:szCs w:val="32"/>
        </w:rPr>
      </w:pPr>
    </w:p>
    <w:p w:rsidR="002C74A1" w:rsidRDefault="002C74A1">
      <w:pPr>
        <w:autoSpaceDE w:val="0"/>
        <w:autoSpaceDN w:val="0"/>
        <w:adjustRightInd w:val="0"/>
        <w:jc w:val="left"/>
        <w:rPr>
          <w:rFonts w:ascii="黑体" w:eastAsia="黑体" w:hAnsi="黑体" w:cs="Times New Roman"/>
          <w:sz w:val="32"/>
          <w:szCs w:val="32"/>
        </w:rPr>
      </w:pPr>
    </w:p>
    <w:p w:rsidR="002C74A1" w:rsidRDefault="002C74A1">
      <w:pPr>
        <w:autoSpaceDE w:val="0"/>
        <w:autoSpaceDN w:val="0"/>
        <w:adjustRightInd w:val="0"/>
        <w:jc w:val="left"/>
        <w:rPr>
          <w:rFonts w:ascii="黑体" w:eastAsia="黑体" w:hAnsi="黑体" w:cs="Times New Roman"/>
          <w:sz w:val="32"/>
          <w:szCs w:val="32"/>
        </w:rPr>
      </w:pPr>
    </w:p>
    <w:p w:rsidR="00F56359" w:rsidRDefault="00F56359" w:rsidP="00246403">
      <w:pPr>
        <w:ind w:firstLineChars="200" w:firstLine="560"/>
        <w:jc w:val="left"/>
        <w:outlineLvl w:val="3"/>
        <w:rPr>
          <w:rFonts w:ascii="方正仿宋_GBK" w:eastAsia="方正仿宋_GBK" w:hint="eastAsia"/>
          <w:b/>
          <w:sz w:val="28"/>
        </w:rPr>
      </w:pPr>
    </w:p>
    <w:p w:rsidR="002C74A1" w:rsidRDefault="00BF021A" w:rsidP="00246403">
      <w:pPr>
        <w:ind w:firstLineChars="200" w:firstLine="560"/>
        <w:jc w:val="left"/>
        <w:outlineLvl w:val="3"/>
        <w:rPr>
          <w:rFonts w:ascii="Times New Roman" w:hAnsi="宋体"/>
          <w:b/>
          <w:sz w:val="28"/>
        </w:rPr>
      </w:pPr>
      <w:r>
        <w:rPr>
          <w:rFonts w:ascii="方正仿宋_GBK" w:eastAsia="方正仿宋_GBK" w:hint="eastAsia"/>
          <w:b/>
          <w:sz w:val="28"/>
        </w:rPr>
        <w:t>3.中央空调更换项目绩效目标表</w:t>
      </w:r>
      <w:r w:rsidR="00246403" w:rsidRPr="00246403">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sidR="0024640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1.通过更换中央空调，排除安全隐患</w:t>
            </w:r>
          </w:p>
          <w:p w:rsidR="002C74A1" w:rsidRDefault="00BF021A">
            <w:pPr>
              <w:spacing w:line="300" w:lineRule="exact"/>
              <w:jc w:val="left"/>
              <w:rPr>
                <w:rFonts w:ascii="方正书宋_GBK" w:eastAsia="方正书宋_GBK"/>
              </w:rPr>
            </w:pPr>
            <w:r>
              <w:rPr>
                <w:rFonts w:ascii="方正书宋_GBK" w:eastAsia="方正书宋_GBK" w:hint="eastAsia"/>
              </w:rPr>
              <w:t>2.在方便各位干警的同时，优化办公环境</w:t>
            </w:r>
          </w:p>
        </w:tc>
      </w:tr>
    </w:tbl>
    <w:tbl>
      <w:tblPr>
        <w:tblpPr w:leftFromText="180" w:rightFromText="180" w:vertAnchor="text" w:horzAnchor="margin" w:tblpXSpec="center" w:tblpY="92"/>
        <w:tblOverlap w:val="nev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2C74A1" w:rsidTr="00706325">
        <w:trPr>
          <w:cantSplit/>
          <w:trHeight w:val="397"/>
          <w:tblHeader/>
        </w:trPr>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一级指标</w:t>
            </w: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二级指标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三级指标</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绩效指标描述</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指标值</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指标值确定依据</w:t>
            </w:r>
          </w:p>
        </w:tc>
      </w:tr>
      <w:tr w:rsidR="002C74A1" w:rsidTr="00706325">
        <w:trPr>
          <w:cantSplit/>
          <w:trHeight w:val="369"/>
        </w:trPr>
        <w:tc>
          <w:tcPr>
            <w:tcW w:w="1134" w:type="dxa"/>
            <w:vMerge w:val="restart"/>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工程按期完成</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本项工程竣工完成时间</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≤11月</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合同、评审报告、验收报告、审计报告</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此工程改造面积</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 xml:space="preserve">本次工程改造受益的面积数 </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=7000平方米</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竣工验收报告</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每平方米投入成本</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项目改造平均每平方米投入成本</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≤285元</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评审报告</w:t>
            </w:r>
          </w:p>
        </w:tc>
      </w:tr>
      <w:tr w:rsidR="002C74A1" w:rsidTr="00706325">
        <w:trPr>
          <w:cantSplit/>
          <w:trHeight w:val="369"/>
        </w:trPr>
        <w:tc>
          <w:tcPr>
            <w:tcW w:w="1134" w:type="dxa"/>
            <w:vMerge w:val="restart"/>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综合利用率</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基础设施建成后的利用、使用情况</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质保时间</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验收合格后不出现质量问题时间</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≥2年</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使用过程中考核情况</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投入使用的年限</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项目改造完成后投入使用的年限</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≥15年</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实地考察</w:t>
            </w:r>
          </w:p>
        </w:tc>
      </w:tr>
      <w:tr w:rsidR="002C74A1" w:rsidTr="00706325">
        <w:trPr>
          <w:cantSplit/>
          <w:trHeight w:val="369"/>
        </w:trPr>
        <w:tc>
          <w:tcPr>
            <w:tcW w:w="1134" w:type="dxa"/>
            <w:vMerge w:val="restart"/>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调查问卷</w:t>
            </w:r>
          </w:p>
        </w:tc>
      </w:tr>
      <w:tr w:rsidR="002C74A1" w:rsidTr="00706325">
        <w:trPr>
          <w:cantSplit/>
          <w:trHeight w:val="369"/>
        </w:trPr>
        <w:tc>
          <w:tcPr>
            <w:tcW w:w="1134" w:type="dxa"/>
            <w:vMerge/>
            <w:shd w:val="clear" w:color="auto" w:fill="auto"/>
            <w:vAlign w:val="center"/>
          </w:tcPr>
          <w:p w:rsidR="002C74A1" w:rsidRDefault="002C74A1" w:rsidP="00706325">
            <w:pPr>
              <w:spacing w:line="300" w:lineRule="exact"/>
              <w:jc w:val="left"/>
              <w:rPr>
                <w:rFonts w:ascii="方正书宋_GBK" w:eastAsia="方正书宋_GBK"/>
              </w:rPr>
            </w:pPr>
          </w:p>
        </w:tc>
        <w:tc>
          <w:tcPr>
            <w:tcW w:w="1134"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 xml:space="preserve">提供服务机构对签署合同的执行情况满意率 </w:t>
            </w:r>
          </w:p>
        </w:tc>
        <w:tc>
          <w:tcPr>
            <w:tcW w:w="289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严格按照甲乙双方签订合同履行合同内容</w:t>
            </w:r>
          </w:p>
        </w:tc>
        <w:tc>
          <w:tcPr>
            <w:tcW w:w="1276" w:type="dxa"/>
            <w:shd w:val="clear" w:color="auto" w:fill="auto"/>
          </w:tcPr>
          <w:p w:rsidR="002C74A1" w:rsidRDefault="00BF021A" w:rsidP="00706325">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2C74A1" w:rsidRDefault="00BF021A" w:rsidP="00706325">
            <w:pPr>
              <w:spacing w:line="300" w:lineRule="exact"/>
              <w:jc w:val="left"/>
              <w:rPr>
                <w:rFonts w:ascii="方正书宋_GBK" w:eastAsia="方正书宋_GBK"/>
              </w:rPr>
            </w:pPr>
            <w:r>
              <w:rPr>
                <w:rFonts w:ascii="方正书宋_GBK" w:eastAsia="方正书宋_GBK" w:hint="eastAsia"/>
              </w:rPr>
              <w:t>调查问卷</w:t>
            </w:r>
          </w:p>
        </w:tc>
      </w:tr>
    </w:tbl>
    <w:p w:rsidR="002C74A1" w:rsidRDefault="00BF021A">
      <w:pPr>
        <w:spacing w:line="300" w:lineRule="exact"/>
        <w:jc w:val="left"/>
        <w:rPr>
          <w:rFonts w:ascii="方正书宋_GBK" w:eastAsia="方正书宋_GBK"/>
        </w:rPr>
      </w:pPr>
      <w:r>
        <w:rPr>
          <w:rFonts w:ascii="方正书宋_GBK" w:eastAsia="方正书宋_GBK" w:hint="eastAsia"/>
        </w:rPr>
        <w:t xml:space="preserve"> </w:t>
      </w:r>
    </w:p>
    <w:p w:rsidR="002C74A1" w:rsidRDefault="002C74A1">
      <w:pPr>
        <w:autoSpaceDE w:val="0"/>
        <w:autoSpaceDN w:val="0"/>
        <w:adjustRightInd w:val="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121C22" w:rsidRDefault="00121C22" w:rsidP="00F56359">
      <w:pPr>
        <w:jc w:val="left"/>
        <w:outlineLvl w:val="3"/>
        <w:rPr>
          <w:rFonts w:ascii="方正仿宋_GBK" w:eastAsia="方正仿宋_GBK"/>
          <w:b/>
          <w:sz w:val="28"/>
        </w:rPr>
      </w:pPr>
    </w:p>
    <w:p w:rsidR="003632E2" w:rsidRDefault="003632E2" w:rsidP="00246403">
      <w:pPr>
        <w:ind w:firstLineChars="200" w:firstLine="560"/>
        <w:jc w:val="left"/>
        <w:outlineLvl w:val="3"/>
        <w:rPr>
          <w:rFonts w:ascii="方正仿宋_GBK" w:eastAsia="方正仿宋_GBK" w:hint="eastAsia"/>
          <w:b/>
          <w:sz w:val="28"/>
        </w:rPr>
      </w:pPr>
    </w:p>
    <w:p w:rsidR="002C74A1" w:rsidRPr="00121C22" w:rsidRDefault="00BF021A" w:rsidP="00246403">
      <w:pPr>
        <w:ind w:firstLineChars="200" w:firstLine="560"/>
        <w:jc w:val="left"/>
        <w:outlineLvl w:val="3"/>
        <w:rPr>
          <w:rFonts w:ascii="方正仿宋_GBK" w:eastAsia="方正仿宋_GBK"/>
          <w:b/>
          <w:sz w:val="28"/>
        </w:rPr>
      </w:pPr>
      <w:r>
        <w:rPr>
          <w:rFonts w:ascii="方正仿宋_GBK" w:eastAsia="方正仿宋_GBK" w:hint="eastAsia"/>
          <w:b/>
          <w:sz w:val="28"/>
        </w:rPr>
        <w:t>4.听证室建设项目绩效目标表</w:t>
      </w:r>
      <w:r w:rsidR="00246403" w:rsidRPr="00246403">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sidR="0024640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实现各级检察院直播音频内容的集约化管理和资源共享</w:t>
            </w:r>
          </w:p>
          <w:p w:rsidR="002C74A1" w:rsidRDefault="00BF021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让更多人民群众参与并了解检察工作，增强公众对司法权威和司法公信的信任感和认同感，进而培养和提高整个社会的法治信仰</w:t>
            </w:r>
          </w:p>
        </w:tc>
      </w:tr>
    </w:tbl>
    <w:p w:rsidR="002C74A1" w:rsidRDefault="00BF021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2C74A1">
        <w:trPr>
          <w:cantSplit/>
          <w:trHeight w:val="397"/>
          <w:tblHeader/>
          <w:jc w:val="center"/>
        </w:trPr>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指标值确定依据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通过验收的工程量占建设、改造、修缮总量的比率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工程按期完成</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本项工程按工作计划竣工时间</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≥12月</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党组会会议纪要</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每平方米投入成本</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此项工程每平方米投入平均成本</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≤5000元</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改造面积</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此项工程改造面积数量</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≥200㎡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购买设备设备数量</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此项工程购买网络配套设备数量</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≥20件</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合同、评审报告、中标通知书、验收报告、审计报告、购置验收合格率</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综合利用率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基础设施建成后的利用、使用情况</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业务保障能力提升情况</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购置对听证业务保障能力的提升情况</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显著提升</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案件评查系统数据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质保时间</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验收合格后不出现质量问题时间</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合同、评审报告、中标通知书、验收报告、审计报告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听证室使用人员</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bl>
    <w:p w:rsidR="002C74A1" w:rsidRDefault="002C74A1">
      <w:pPr>
        <w:autoSpaceDE w:val="0"/>
        <w:autoSpaceDN w:val="0"/>
        <w:adjustRightInd w:val="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sz w:val="32"/>
          <w:szCs w:val="32"/>
        </w:rPr>
      </w:pPr>
    </w:p>
    <w:p w:rsidR="002C74A1" w:rsidRDefault="002C74A1">
      <w:pPr>
        <w:autoSpaceDE w:val="0"/>
        <w:autoSpaceDN w:val="0"/>
        <w:adjustRightInd w:val="0"/>
        <w:ind w:firstLineChars="250" w:firstLine="800"/>
        <w:jc w:val="left"/>
        <w:rPr>
          <w:rFonts w:ascii="黑体" w:eastAsia="黑体" w:hAnsi="黑体" w:cs="Times New Roman" w:hint="eastAsia"/>
          <w:sz w:val="32"/>
          <w:szCs w:val="32"/>
        </w:rPr>
      </w:pPr>
    </w:p>
    <w:p w:rsidR="00F56359" w:rsidRDefault="00F56359">
      <w:pPr>
        <w:autoSpaceDE w:val="0"/>
        <w:autoSpaceDN w:val="0"/>
        <w:adjustRightInd w:val="0"/>
        <w:ind w:firstLineChars="250" w:firstLine="800"/>
        <w:jc w:val="left"/>
        <w:rPr>
          <w:rFonts w:ascii="黑体" w:eastAsia="黑体" w:hAnsi="黑体" w:cs="Times New Roman"/>
          <w:sz w:val="32"/>
          <w:szCs w:val="3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BF021A" w:rsidP="00F56359">
            <w:pPr>
              <w:ind w:firstLineChars="200" w:firstLine="560"/>
              <w:jc w:val="left"/>
              <w:outlineLvl w:val="3"/>
              <w:rPr>
                <w:rFonts w:ascii="方正仿宋_GBK" w:eastAsia="方正仿宋_GBK" w:hint="eastAsia"/>
                <w:b/>
                <w:sz w:val="28"/>
              </w:rPr>
            </w:pPr>
            <w:r>
              <w:rPr>
                <w:rFonts w:ascii="方正仿宋_GBK" w:eastAsia="方正仿宋_GBK" w:hint="eastAsia"/>
                <w:b/>
                <w:sz w:val="28"/>
              </w:rPr>
              <w:t>5.物业费安保费f项目绩效目标表</w:t>
            </w:r>
          </w:p>
          <w:p w:rsidR="00F56359" w:rsidRDefault="00F56359" w:rsidP="00F56359">
            <w:pPr>
              <w:ind w:firstLineChars="200" w:firstLine="422"/>
              <w:jc w:val="left"/>
              <w:outlineLvl w:val="3"/>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保障合同规定服务区域内的大厅、走廊、楼梯、墙面、卫生间、水房会议等卫生清洁干净、保障合同区域内用水、用电设施运行正常、保障院落树木、草坪正常生长消防水池等设施。</w:t>
            </w:r>
          </w:p>
          <w:p w:rsidR="002C74A1" w:rsidRDefault="00BF021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保障合同区域内工作环境安全，及时排除安全</w:t>
            </w:r>
          </w:p>
        </w:tc>
      </w:tr>
    </w:tbl>
    <w:p w:rsidR="002C74A1" w:rsidRDefault="00BF021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2C74A1">
        <w:trPr>
          <w:cantSplit/>
          <w:trHeight w:val="397"/>
          <w:tblHeader/>
          <w:jc w:val="center"/>
        </w:trPr>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指标值确定依据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按照工作计划完成全部工作任务</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提供服务人员按照工作计划要求按时完成全部任务</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按照工作计划完成全部工作任务</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≥12月</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通过验收的工程量占建设、改造、修缮总量的比率</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每平方米成本</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平均每年每平方米的费用支出</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每平方米成本</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≤45元</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1020"/>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维护建筑面积</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实际维护建筑面积</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维护建筑面积</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=6900㎡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业务保障能力</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保障相关业务、工作等开展的情况</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业务保障能力</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＜次</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隐患消除情况</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通过维护改造，消除安全隐患的项数或情况</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隐患消除情况</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≤20次</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合同规定、验收</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提升工作环境</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提升来访群众对我院工作环境的体验感</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提升工作环境</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显著提升</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来访人员</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 xml:space="preserve">提供服务机构对签署合同的执行情况满意率 </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严格按照甲乙双方签订合同履行合同内容</w:t>
            </w:r>
          </w:p>
        </w:tc>
        <w:tc>
          <w:tcPr>
            <w:tcW w:w="289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 xml:space="preserve">提供服务机构对签署合同的执行情况满意率 </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bl>
    <w:p w:rsidR="002C74A1" w:rsidRDefault="002C74A1">
      <w:pPr>
        <w:autoSpaceDE w:val="0"/>
        <w:autoSpaceDN w:val="0"/>
        <w:adjustRightInd w:val="0"/>
        <w:jc w:val="left"/>
        <w:rPr>
          <w:rFonts w:ascii="黑体" w:eastAsia="黑体" w:hAnsi="黑体" w:cs="Times New Roman"/>
          <w:sz w:val="32"/>
          <w:szCs w:val="32"/>
        </w:rPr>
      </w:pPr>
    </w:p>
    <w:p w:rsidR="00F56359" w:rsidRDefault="00F56359" w:rsidP="00246403">
      <w:pPr>
        <w:ind w:firstLineChars="200" w:firstLine="560"/>
        <w:jc w:val="left"/>
        <w:outlineLvl w:val="3"/>
        <w:rPr>
          <w:rFonts w:ascii="方正仿宋_GBK" w:eastAsia="方正仿宋_GBK" w:hint="eastAsia"/>
          <w:b/>
          <w:sz w:val="28"/>
        </w:rPr>
      </w:pPr>
    </w:p>
    <w:p w:rsidR="002C74A1" w:rsidRDefault="00BF021A" w:rsidP="00246403">
      <w:pPr>
        <w:ind w:firstLineChars="200" w:firstLine="560"/>
        <w:jc w:val="left"/>
        <w:outlineLvl w:val="3"/>
        <w:rPr>
          <w:rFonts w:ascii="Times New Roman" w:hAnsi="宋体"/>
          <w:b/>
          <w:sz w:val="28"/>
        </w:rPr>
      </w:pPr>
      <w:r>
        <w:rPr>
          <w:rFonts w:ascii="方正仿宋_GBK" w:eastAsia="方正仿宋_GBK" w:hint="eastAsia"/>
          <w:b/>
          <w:sz w:val="28"/>
        </w:rPr>
        <w:t>6.法定节假日外加班补贴项目绩效目标表</w:t>
      </w:r>
      <w:r w:rsidR="00246403" w:rsidRPr="00246403">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sidR="0024640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6577"/>
        <w:gridCol w:w="1701"/>
      </w:tblGrid>
      <w:tr w:rsidR="002C74A1">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2C74A1" w:rsidRDefault="002C74A1">
            <w:pPr>
              <w:spacing w:line="300" w:lineRule="exact"/>
              <w:jc w:val="right"/>
              <w:rPr>
                <w:rFonts w:ascii="方正书宋_GBK" w:eastAsia="方正书宋_GBK"/>
              </w:rPr>
            </w:pPr>
          </w:p>
        </w:tc>
      </w:tr>
      <w:tr w:rsidR="002C74A1">
        <w:trPr>
          <w:trHeight w:val="369"/>
          <w:jc w:val="center"/>
        </w:trPr>
        <w:tc>
          <w:tcPr>
            <w:tcW w:w="1134" w:type="dxa"/>
            <w:tcBorders>
              <w:bottom w:val="nil"/>
            </w:tcBorders>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实现各级检察院直播音频内容的集约化管理和资源共享</w:t>
            </w:r>
          </w:p>
          <w:p w:rsidR="002C74A1" w:rsidRDefault="00BF021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让更多人民群众参与并了解检察工作，增强公众对司法权威和司法公信的信任感和认同感，进而培养和提高整个社会的法治信仰</w:t>
            </w:r>
          </w:p>
        </w:tc>
      </w:tr>
    </w:tbl>
    <w:p w:rsidR="002C74A1" w:rsidRDefault="00BF021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524"/>
        <w:gridCol w:w="2643"/>
        <w:gridCol w:w="1276"/>
        <w:gridCol w:w="1701"/>
      </w:tblGrid>
      <w:tr w:rsidR="002C74A1">
        <w:trPr>
          <w:cantSplit/>
          <w:trHeight w:val="397"/>
          <w:tblHeader/>
          <w:jc w:val="center"/>
        </w:trPr>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二级指标</w:t>
            </w:r>
          </w:p>
        </w:tc>
        <w:tc>
          <w:tcPr>
            <w:tcW w:w="1524"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三级指标</w:t>
            </w:r>
          </w:p>
        </w:tc>
        <w:tc>
          <w:tcPr>
            <w:tcW w:w="2643"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2C74A1" w:rsidRDefault="00BF021A">
            <w:pPr>
              <w:spacing w:line="300" w:lineRule="exact"/>
              <w:jc w:val="center"/>
              <w:rPr>
                <w:rFonts w:ascii="方正书宋_GBK" w:eastAsia="方正书宋_GBK"/>
                <w:b/>
              </w:rPr>
            </w:pPr>
            <w:r>
              <w:rPr>
                <w:rFonts w:ascii="方正书宋_GBK" w:eastAsia="方正书宋_GBK" w:hint="eastAsia"/>
                <w:b/>
              </w:rPr>
              <w:t>指标值确定依据</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质量指标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机关公务员考核完成率</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年终考核优秀、称职、合格占总考核人数比率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根据上级文件财政部〈关于人民法院和人民检察院工作人员法定工作日之外加班补贴的通知〉的通知》的通知</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时效指标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资金发放到位及时</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按照《关于人民法院和人民检察院工作人员法定工作日外加班补贴的通知》文件规定按时发放</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≥12月</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同上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成本指标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检察人员人员补助标准</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检察人员平均每月发放补助金额</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≥270元</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同上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数量指标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加班补助发放人数</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实际发放的补助具体人数</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≥25人</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同上</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可持续影响指标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检察队伍稳定性</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检察队伍稳定程度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同上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社会服务能力提升</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补助所带来的单位服务社会能力提升情况</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＜5次</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同上</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社会效益指标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案件审结率对当事人影响</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案件审结率对当事人的积极影响</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非常显著</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案件管理系统统计结果</w:t>
            </w:r>
          </w:p>
        </w:tc>
      </w:tr>
      <w:tr w:rsidR="002C74A1">
        <w:trPr>
          <w:cantSplit/>
          <w:trHeight w:val="369"/>
          <w:jc w:val="center"/>
        </w:trPr>
        <w:tc>
          <w:tcPr>
            <w:tcW w:w="1134" w:type="dxa"/>
            <w:vMerge w:val="restart"/>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补助发放对象对补助发放工作的满意度（%）</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满意和较满意的优抚对象人数占调查总人数的比率</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r w:rsidR="002C74A1">
        <w:trPr>
          <w:cantSplit/>
          <w:trHeight w:val="369"/>
          <w:jc w:val="center"/>
        </w:trPr>
        <w:tc>
          <w:tcPr>
            <w:tcW w:w="1134" w:type="dxa"/>
            <w:vMerge/>
            <w:shd w:val="clear" w:color="auto" w:fill="auto"/>
            <w:vAlign w:val="center"/>
          </w:tcPr>
          <w:p w:rsidR="002C74A1" w:rsidRDefault="002C74A1">
            <w:pPr>
              <w:spacing w:line="300" w:lineRule="exact"/>
              <w:jc w:val="left"/>
              <w:rPr>
                <w:rFonts w:ascii="方正书宋_GBK" w:eastAsia="方正书宋_GBK"/>
              </w:rPr>
            </w:pPr>
          </w:p>
        </w:tc>
        <w:tc>
          <w:tcPr>
            <w:tcW w:w="113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服务对象满意度指标</w:t>
            </w:r>
          </w:p>
        </w:tc>
        <w:tc>
          <w:tcPr>
            <w:tcW w:w="1524"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服务对像满意度指标</w:t>
            </w:r>
          </w:p>
        </w:tc>
        <w:tc>
          <w:tcPr>
            <w:tcW w:w="2643"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当事人对当年检察工作的满意度</w:t>
            </w:r>
          </w:p>
        </w:tc>
        <w:tc>
          <w:tcPr>
            <w:tcW w:w="1276"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2C74A1" w:rsidRDefault="00BF021A">
            <w:pPr>
              <w:spacing w:line="300" w:lineRule="exact"/>
              <w:jc w:val="left"/>
              <w:rPr>
                <w:rFonts w:ascii="方正书宋_GBK" w:eastAsia="方正书宋_GBK"/>
              </w:rPr>
            </w:pPr>
            <w:r>
              <w:rPr>
                <w:rFonts w:ascii="方正书宋_GBK" w:eastAsia="方正书宋_GBK" w:hint="eastAsia"/>
              </w:rPr>
              <w:t>调查问卷</w:t>
            </w:r>
          </w:p>
        </w:tc>
      </w:tr>
    </w:tbl>
    <w:p w:rsidR="00F56359" w:rsidRDefault="00F56359">
      <w:pPr>
        <w:widowControl/>
        <w:jc w:val="left"/>
        <w:rPr>
          <w:rFonts w:ascii="黑体" w:eastAsia="黑体" w:hAnsi="黑体" w:cs="Times New Roman"/>
          <w:sz w:val="32"/>
          <w:szCs w:val="32"/>
        </w:rPr>
        <w:sectPr w:rsidR="00F56359" w:rsidSect="00F56359">
          <w:pgSz w:w="11907" w:h="16839"/>
          <w:pgMar w:top="1020" w:right="1361" w:bottom="1020" w:left="1361" w:header="851" w:footer="992" w:gutter="0"/>
          <w:cols w:space="425"/>
          <w:docGrid w:type="lines" w:linePitch="312"/>
        </w:sectPr>
      </w:pPr>
    </w:p>
    <w:p w:rsidR="002C74A1" w:rsidRDefault="00BF021A" w:rsidP="00F56359">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2C74A1" w:rsidRDefault="00BF021A">
      <w:pPr>
        <w:ind w:firstLineChars="200" w:firstLine="640"/>
        <w:outlineLvl w:val="0"/>
        <w:rPr>
          <w:rFonts w:ascii="Times New Roman" w:eastAsia="方正仿宋_GBK" w:hAnsi="Times New Roman" w:cs="Times New Roman"/>
          <w:sz w:val="32"/>
          <w:szCs w:val="24"/>
        </w:rPr>
      </w:pPr>
      <w:bookmarkStart w:id="6"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r>
        <w:rPr>
          <w:rFonts w:ascii="Times New Roman" w:eastAsia="方正仿宋_GBK" w:hAnsi="Times New Roman" w:cs="Times New Roman" w:hint="eastAsia"/>
          <w:sz w:val="32"/>
          <w:szCs w:val="24"/>
        </w:rPr>
        <w:t>我部门</w:t>
      </w:r>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360</w:t>
      </w:r>
      <w:r>
        <w:rPr>
          <w:rFonts w:ascii="Times New Roman" w:eastAsia="方正仿宋_GBK" w:hAnsi="Times New Roman" w:cs="Times New Roman"/>
          <w:sz w:val="32"/>
          <w:szCs w:val="24"/>
        </w:rPr>
        <w:t>万元。</w:t>
      </w:r>
      <w:bookmarkEnd w:id="6"/>
    </w:p>
    <w:p w:rsidR="004E0C36" w:rsidRPr="001A3589" w:rsidRDefault="004E0C36" w:rsidP="004E0C36">
      <w:pPr>
        <w:jc w:val="center"/>
        <w:outlineLvl w:val="1"/>
        <w:rPr>
          <w:rFonts w:ascii="Times New Roman" w:hAnsi="宋体" w:hint="eastAsia"/>
          <w:sz w:val="32"/>
        </w:rPr>
      </w:pPr>
      <w:bookmarkStart w:id="7" w:name="_Toc67581031"/>
      <w:r w:rsidRPr="001A3589">
        <w:rPr>
          <w:rFonts w:ascii="方正小标宋_GBK" w:eastAsia="方正小标宋_GBK" w:hint="eastAsia"/>
          <w:sz w:val="32"/>
        </w:rPr>
        <w:t>部门政府采购预算</w:t>
      </w:r>
      <w:bookmarkEnd w:id="7"/>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4E0C36" w:rsidRPr="001A3589" w:rsidTr="000B2C6A">
        <w:tblPrEx>
          <w:tblCellMar>
            <w:top w:w="0" w:type="dxa"/>
            <w:bottom w:w="0" w:type="dxa"/>
          </w:tblCellMar>
        </w:tblPrEx>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4E0C36" w:rsidRPr="001A3589" w:rsidRDefault="004E0C36" w:rsidP="000B2C6A">
            <w:pPr>
              <w:spacing w:line="300" w:lineRule="exact"/>
              <w:jc w:val="left"/>
              <w:rPr>
                <w:rFonts w:ascii="方正小标宋_GBK" w:eastAsia="方正小标宋_GBK"/>
                <w:sz w:val="24"/>
              </w:rPr>
            </w:pPr>
            <w:r w:rsidRPr="001A3589">
              <w:rPr>
                <w:rFonts w:ascii="方正小标宋_GBK" w:eastAsia="方正小标宋_GBK" w:hint="eastAsia"/>
                <w:sz w:val="24"/>
              </w:rPr>
              <w:t>151平乡县人民检察院</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4E0C36" w:rsidRPr="001A3589" w:rsidRDefault="004E0C36" w:rsidP="000B2C6A">
            <w:pPr>
              <w:spacing w:line="300" w:lineRule="exact"/>
              <w:jc w:val="right"/>
              <w:rPr>
                <w:rFonts w:ascii="方正书宋_GBK" w:eastAsia="方正书宋_GBK"/>
                <w:sz w:val="24"/>
              </w:rPr>
            </w:pPr>
            <w:r w:rsidRPr="001A3589">
              <w:rPr>
                <w:rFonts w:ascii="方正书宋_GBK" w:eastAsia="方正书宋_GBK" w:hint="eastAsia"/>
                <w:sz w:val="24"/>
              </w:rPr>
              <w:t>单位：元</w:t>
            </w:r>
          </w:p>
        </w:tc>
      </w:tr>
      <w:tr w:rsidR="004E0C36" w:rsidRPr="001A3589" w:rsidTr="000B2C6A">
        <w:tblPrEx>
          <w:tblCellMar>
            <w:top w:w="0" w:type="dxa"/>
            <w:bottom w:w="0" w:type="dxa"/>
          </w:tblCellMar>
        </w:tblPrEx>
        <w:trPr>
          <w:cantSplit/>
          <w:tblHeader/>
          <w:jc w:val="center"/>
        </w:trPr>
        <w:tc>
          <w:tcPr>
            <w:tcW w:w="3118" w:type="dxa"/>
            <w:gridSpan w:val="2"/>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政府采购项目来源</w:t>
            </w:r>
          </w:p>
        </w:tc>
        <w:tc>
          <w:tcPr>
            <w:tcW w:w="1531" w:type="dxa"/>
            <w:vMerge w:val="restart"/>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采购物品名称</w:t>
            </w:r>
          </w:p>
        </w:tc>
        <w:tc>
          <w:tcPr>
            <w:tcW w:w="1531" w:type="dxa"/>
            <w:vMerge w:val="restart"/>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政府采购目录序号</w:t>
            </w:r>
          </w:p>
        </w:tc>
        <w:tc>
          <w:tcPr>
            <w:tcW w:w="709" w:type="dxa"/>
            <w:vMerge w:val="restart"/>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计量</w:t>
            </w:r>
            <w:r w:rsidRPr="001A3589">
              <w:rPr>
                <w:rFonts w:ascii="方正书宋_GBK" w:eastAsia="方正书宋_GBK"/>
                <w:b/>
              </w:rPr>
              <w:t xml:space="preserve">  </w:t>
            </w:r>
            <w:r w:rsidRPr="001A3589">
              <w:rPr>
                <w:rFonts w:ascii="方正书宋_GBK" w:eastAsia="方正书宋_GBK" w:hint="eastAsia"/>
                <w:b/>
              </w:rPr>
              <w:t>单位</w:t>
            </w:r>
          </w:p>
        </w:tc>
        <w:tc>
          <w:tcPr>
            <w:tcW w:w="907" w:type="dxa"/>
            <w:vMerge w:val="restart"/>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数量</w:t>
            </w:r>
          </w:p>
        </w:tc>
        <w:tc>
          <w:tcPr>
            <w:tcW w:w="907" w:type="dxa"/>
            <w:vMerge w:val="restart"/>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单价</w:t>
            </w:r>
          </w:p>
        </w:tc>
        <w:tc>
          <w:tcPr>
            <w:tcW w:w="6804" w:type="dxa"/>
            <w:gridSpan w:val="6"/>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政府采购金额（当年部门预算安排资金）</w:t>
            </w:r>
          </w:p>
        </w:tc>
      </w:tr>
      <w:tr w:rsidR="004E0C36" w:rsidRPr="001A3589" w:rsidTr="000B2C6A">
        <w:tblPrEx>
          <w:tblCellMar>
            <w:top w:w="0" w:type="dxa"/>
            <w:bottom w:w="0" w:type="dxa"/>
          </w:tblCellMar>
        </w:tblPrEx>
        <w:trPr>
          <w:cantSplit/>
          <w:tblHeader/>
          <w:jc w:val="center"/>
        </w:trPr>
        <w:tc>
          <w:tcPr>
            <w:tcW w:w="198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项目名称</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预算资金</w:t>
            </w:r>
          </w:p>
        </w:tc>
        <w:tc>
          <w:tcPr>
            <w:tcW w:w="1531" w:type="dxa"/>
            <w:vMerge/>
            <w:shd w:val="clear" w:color="auto" w:fill="auto"/>
            <w:vAlign w:val="center"/>
          </w:tcPr>
          <w:p w:rsidR="004E0C36" w:rsidRPr="001A3589" w:rsidRDefault="004E0C36" w:rsidP="000B2C6A">
            <w:pPr>
              <w:spacing w:line="300" w:lineRule="exact"/>
              <w:jc w:val="left"/>
              <w:outlineLvl w:val="1"/>
              <w:rPr>
                <w:rFonts w:ascii="Times New Roman" w:eastAsia="方正仿宋_GBK"/>
                <w:sz w:val="28"/>
              </w:rPr>
            </w:pPr>
          </w:p>
        </w:tc>
        <w:tc>
          <w:tcPr>
            <w:tcW w:w="1531" w:type="dxa"/>
            <w:vMerge/>
            <w:shd w:val="clear" w:color="auto" w:fill="auto"/>
            <w:vAlign w:val="center"/>
          </w:tcPr>
          <w:p w:rsidR="004E0C36" w:rsidRPr="001A3589" w:rsidRDefault="004E0C36" w:rsidP="000B2C6A">
            <w:pPr>
              <w:spacing w:line="300" w:lineRule="exact"/>
              <w:jc w:val="left"/>
              <w:outlineLvl w:val="1"/>
              <w:rPr>
                <w:rFonts w:ascii="Times New Roman" w:eastAsia="方正仿宋_GBK"/>
                <w:sz w:val="28"/>
              </w:rPr>
            </w:pPr>
          </w:p>
        </w:tc>
        <w:tc>
          <w:tcPr>
            <w:tcW w:w="709" w:type="dxa"/>
            <w:vMerge/>
            <w:shd w:val="clear" w:color="auto" w:fill="auto"/>
            <w:vAlign w:val="center"/>
          </w:tcPr>
          <w:p w:rsidR="004E0C36" w:rsidRPr="001A3589" w:rsidRDefault="004E0C36" w:rsidP="000B2C6A">
            <w:pPr>
              <w:spacing w:line="300" w:lineRule="exact"/>
              <w:jc w:val="left"/>
              <w:outlineLvl w:val="1"/>
              <w:rPr>
                <w:rFonts w:ascii="Times New Roman" w:eastAsia="方正仿宋_GBK"/>
                <w:sz w:val="28"/>
              </w:rPr>
            </w:pPr>
          </w:p>
        </w:tc>
        <w:tc>
          <w:tcPr>
            <w:tcW w:w="907" w:type="dxa"/>
            <w:vMerge/>
            <w:shd w:val="clear" w:color="auto" w:fill="auto"/>
            <w:vAlign w:val="center"/>
          </w:tcPr>
          <w:p w:rsidR="004E0C36" w:rsidRPr="001A3589" w:rsidRDefault="004E0C36" w:rsidP="000B2C6A">
            <w:pPr>
              <w:spacing w:line="300" w:lineRule="exact"/>
              <w:jc w:val="left"/>
              <w:outlineLvl w:val="1"/>
              <w:rPr>
                <w:rFonts w:ascii="Times New Roman" w:eastAsia="方正仿宋_GBK"/>
                <w:sz w:val="28"/>
              </w:rPr>
            </w:pPr>
          </w:p>
        </w:tc>
        <w:tc>
          <w:tcPr>
            <w:tcW w:w="907" w:type="dxa"/>
            <w:vMerge/>
            <w:shd w:val="clear" w:color="auto" w:fill="auto"/>
            <w:vAlign w:val="center"/>
          </w:tcPr>
          <w:p w:rsidR="004E0C36" w:rsidRPr="001A3589" w:rsidRDefault="004E0C36" w:rsidP="000B2C6A">
            <w:pPr>
              <w:spacing w:line="300" w:lineRule="exact"/>
              <w:jc w:val="left"/>
              <w:outlineLvl w:val="1"/>
              <w:rPr>
                <w:rFonts w:ascii="Times New Roman" w:eastAsia="方正仿宋_GBK"/>
                <w:sz w:val="28"/>
              </w:rPr>
            </w:pP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合计</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一般公共预算拨款</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基金预算拨款</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国有资本经营预算拨款</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财政专户核拨</w:t>
            </w:r>
          </w:p>
        </w:tc>
        <w:tc>
          <w:tcPr>
            <w:tcW w:w="113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单位资金</w:t>
            </w: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center"/>
              <w:rPr>
                <w:rFonts w:ascii="方正书宋_GBK" w:eastAsia="方正书宋_GBK"/>
                <w:b/>
              </w:rPr>
            </w:pPr>
            <w:r w:rsidRPr="001A3589">
              <w:rPr>
                <w:rFonts w:ascii="方正书宋_GBK" w:eastAsia="方正书宋_GBK" w:hint="eastAsia"/>
                <w:b/>
              </w:rPr>
              <w:t>合</w:t>
            </w:r>
            <w:r w:rsidRPr="001A3589">
              <w:rPr>
                <w:rFonts w:ascii="方正书宋_GBK" w:eastAsia="方正书宋_GBK"/>
                <w:b/>
              </w:rPr>
              <w:t xml:space="preserve">  </w:t>
            </w:r>
            <w:r w:rsidRPr="001A3589">
              <w:rPr>
                <w:rFonts w:ascii="方正书宋_GBK" w:eastAsia="方正书宋_GBK" w:hint="eastAsia"/>
                <w:b/>
              </w:rPr>
              <w:t>计</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b/>
              </w:rPr>
            </w:pP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b/>
              </w:rPr>
            </w:pP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b/>
              </w:rPr>
            </w:pP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r w:rsidRPr="001A3589">
              <w:rPr>
                <w:rFonts w:ascii="方正书宋_GBK" w:eastAsia="方正书宋_GBK"/>
                <w:b/>
              </w:rPr>
              <w:t>3600000.00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r w:rsidRPr="001A3589">
              <w:rPr>
                <w:rFonts w:ascii="方正书宋_GBK" w:eastAsia="方正书宋_GBK"/>
                <w:b/>
              </w:rPr>
              <w:t>3600000.00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center"/>
              <w:rPr>
                <w:rFonts w:ascii="方正书宋_GBK" w:eastAsia="方正书宋_GBK" w:hint="eastAsia"/>
                <w:b/>
              </w:rPr>
            </w:pPr>
            <w:r w:rsidRPr="001A3589">
              <w:rPr>
                <w:rFonts w:ascii="方正书宋_GBK" w:eastAsia="方正书宋_GBK" w:hint="eastAsia"/>
                <w:b/>
              </w:rPr>
              <w:t>平乡县人民检察院本级小计</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b/>
              </w:rPr>
            </w:pP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b/>
              </w:rPr>
            </w:pP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b/>
              </w:rPr>
            </w:pP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r w:rsidRPr="001A3589">
              <w:rPr>
                <w:rFonts w:ascii="方正书宋_GBK" w:eastAsia="方正书宋_GBK"/>
                <w:b/>
              </w:rPr>
              <w:t>3600000.00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r w:rsidRPr="001A3589">
              <w:rPr>
                <w:rFonts w:ascii="方正书宋_GBK" w:eastAsia="方正书宋_GBK"/>
                <w:b/>
              </w:rPr>
              <w:t>3600000.00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b/>
              </w:rPr>
            </w:pP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冀财政法</w:t>
            </w:r>
            <w:r w:rsidRPr="001A3589">
              <w:rPr>
                <w:rFonts w:ascii="方正书宋_GBK" w:eastAsia="方正书宋_GBK"/>
              </w:rPr>
              <w:t>[2020]70</w:t>
            </w:r>
            <w:r w:rsidRPr="001A3589">
              <w:rPr>
                <w:rFonts w:ascii="方正书宋_GBK" w:eastAsia="方正书宋_GBK" w:hint="eastAsia"/>
              </w:rPr>
              <w:t>号关于提前下达中央政法纪检监察转移支付资金的通知</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930000.00</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rPr>
            </w:pPr>
            <w:r w:rsidRPr="001A3589">
              <w:rPr>
                <w:rFonts w:ascii="方正书宋_GBK" w:eastAsia="方正书宋_GBK" w:hint="eastAsia"/>
              </w:rPr>
              <w:t>其他办公设备</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rPr>
            </w:pPr>
            <w:r w:rsidRPr="001A3589">
              <w:rPr>
                <w:rFonts w:ascii="方正书宋_GBK" w:eastAsia="方正书宋_GBK"/>
              </w:rPr>
              <w:t>A020299</w:t>
            </w: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rPr>
            </w:pPr>
            <w:r w:rsidRPr="001A3589">
              <w:rPr>
                <w:rFonts w:ascii="方正书宋_GBK" w:eastAsia="方正书宋_GBK" w:hint="eastAsia"/>
              </w:rPr>
              <w:t>台</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冀财政法</w:t>
            </w:r>
            <w:r w:rsidRPr="001A3589">
              <w:rPr>
                <w:rFonts w:ascii="方正书宋_GBK" w:eastAsia="方正书宋_GBK"/>
              </w:rPr>
              <w:t>[2020]71</w:t>
            </w:r>
            <w:r w:rsidRPr="001A3589">
              <w:rPr>
                <w:rFonts w:ascii="方正书宋_GBK" w:eastAsia="方正书宋_GBK" w:hint="eastAsia"/>
              </w:rPr>
              <w:t>号关于提前下达基层公检法司转移支付省级配套资金的通知</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710000.00</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其他计算机设备</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rPr>
            </w:pPr>
            <w:r w:rsidRPr="001A3589">
              <w:rPr>
                <w:rFonts w:ascii="方正书宋_GBK" w:eastAsia="方正书宋_GBK"/>
              </w:rPr>
              <w:t>A02010199</w:t>
            </w: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hint="eastAsia"/>
              </w:rPr>
            </w:pPr>
            <w:r w:rsidRPr="001A3589">
              <w:rPr>
                <w:rFonts w:ascii="方正书宋_GBK" w:eastAsia="方正书宋_GBK" w:hint="eastAsia"/>
              </w:rPr>
              <w:t>台</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500000.00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听证室建设项目</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1000000.00</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其他网络设备</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rPr>
            </w:pPr>
            <w:r w:rsidRPr="001A3589">
              <w:rPr>
                <w:rFonts w:ascii="方正书宋_GBK" w:eastAsia="方正书宋_GBK"/>
              </w:rPr>
              <w:t>A02010299</w:t>
            </w: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hint="eastAsia"/>
              </w:rPr>
            </w:pPr>
            <w:r w:rsidRPr="001A3589">
              <w:rPr>
                <w:rFonts w:ascii="方正书宋_GBK" w:eastAsia="方正书宋_GBK" w:hint="eastAsia"/>
              </w:rPr>
              <w:t>套</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800000.00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800000.00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800000.00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r>
      <w:tr w:rsidR="004E0C36" w:rsidRPr="001A3589" w:rsidTr="000B2C6A">
        <w:tblPrEx>
          <w:tblCellMar>
            <w:top w:w="0" w:type="dxa"/>
            <w:bottom w:w="0" w:type="dxa"/>
          </w:tblCellMar>
        </w:tblPrEx>
        <w:trPr>
          <w:cantSplit/>
          <w:jc w:val="center"/>
        </w:trPr>
        <w:tc>
          <w:tcPr>
            <w:tcW w:w="1984"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中央空调更换项目</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2000000.00</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hint="eastAsia"/>
              </w:rPr>
            </w:pPr>
            <w:r w:rsidRPr="001A3589">
              <w:rPr>
                <w:rFonts w:ascii="方正书宋_GBK" w:eastAsia="方正书宋_GBK" w:hint="eastAsia"/>
              </w:rPr>
              <w:t>其他制冷空调设备</w:t>
            </w:r>
          </w:p>
        </w:tc>
        <w:tc>
          <w:tcPr>
            <w:tcW w:w="1531" w:type="dxa"/>
            <w:shd w:val="clear" w:color="auto" w:fill="auto"/>
            <w:vAlign w:val="center"/>
          </w:tcPr>
          <w:p w:rsidR="004E0C36" w:rsidRPr="001A3589" w:rsidRDefault="004E0C36" w:rsidP="000B2C6A">
            <w:pPr>
              <w:spacing w:line="300" w:lineRule="exact"/>
              <w:jc w:val="left"/>
              <w:rPr>
                <w:rFonts w:ascii="方正书宋_GBK" w:eastAsia="方正书宋_GBK"/>
              </w:rPr>
            </w:pPr>
            <w:r w:rsidRPr="001A3589">
              <w:rPr>
                <w:rFonts w:ascii="方正书宋_GBK" w:eastAsia="方正书宋_GBK"/>
              </w:rPr>
              <w:t>A02052399</w:t>
            </w:r>
          </w:p>
        </w:tc>
        <w:tc>
          <w:tcPr>
            <w:tcW w:w="709" w:type="dxa"/>
            <w:shd w:val="clear" w:color="auto" w:fill="auto"/>
            <w:vAlign w:val="center"/>
          </w:tcPr>
          <w:p w:rsidR="004E0C36" w:rsidRPr="001A3589" w:rsidRDefault="004E0C36" w:rsidP="000B2C6A">
            <w:pPr>
              <w:spacing w:line="300" w:lineRule="exact"/>
              <w:jc w:val="center"/>
              <w:rPr>
                <w:rFonts w:ascii="方正书宋_GBK" w:eastAsia="方正书宋_GBK" w:hint="eastAsia"/>
              </w:rPr>
            </w:pPr>
            <w:r w:rsidRPr="001A3589">
              <w:rPr>
                <w:rFonts w:ascii="方正书宋_GBK" w:eastAsia="方正书宋_GBK" w:hint="eastAsia"/>
              </w:rPr>
              <w:t>台</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9</w:t>
            </w:r>
          </w:p>
        </w:tc>
        <w:tc>
          <w:tcPr>
            <w:tcW w:w="907"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200000.00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1800000.00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r w:rsidRPr="001A3589">
              <w:rPr>
                <w:rFonts w:ascii="方正书宋_GBK" w:eastAsia="方正书宋_GBK"/>
              </w:rPr>
              <w:t>1800000.00</w:t>
            </w: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c>
          <w:tcPr>
            <w:tcW w:w="1134" w:type="dxa"/>
            <w:shd w:val="clear" w:color="auto" w:fill="auto"/>
            <w:vAlign w:val="center"/>
          </w:tcPr>
          <w:p w:rsidR="004E0C36" w:rsidRPr="001A3589" w:rsidRDefault="004E0C36" w:rsidP="000B2C6A">
            <w:pPr>
              <w:spacing w:line="300" w:lineRule="exact"/>
              <w:jc w:val="right"/>
              <w:rPr>
                <w:rFonts w:ascii="方正书宋_GBK" w:eastAsia="方正书宋_GBK"/>
              </w:rPr>
            </w:pPr>
          </w:p>
        </w:tc>
      </w:tr>
    </w:tbl>
    <w:p w:rsidR="004E0C36" w:rsidRDefault="004E0C36" w:rsidP="004E0C36">
      <w:pPr>
        <w:spacing w:line="300" w:lineRule="exact"/>
        <w:jc w:val="left"/>
        <w:outlineLvl w:val="1"/>
        <w:rPr>
          <w:rFonts w:ascii="Times New Roman" w:eastAsia="方正仿宋_GBK"/>
          <w:sz w:val="28"/>
        </w:rPr>
        <w:sectPr w:rsidR="004E0C36" w:rsidSect="00F56359">
          <w:pgSz w:w="16839" w:h="11907" w:orient="landscape"/>
          <w:pgMar w:top="1361" w:right="1020" w:bottom="1361" w:left="1020" w:header="851" w:footer="992" w:gutter="0"/>
          <w:cols w:space="425"/>
          <w:docGrid w:type="lines" w:linePitch="312"/>
        </w:sectPr>
      </w:pPr>
    </w:p>
    <w:p w:rsidR="002C74A1" w:rsidRDefault="00BF021A" w:rsidP="004E0C36">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2C74A1" w:rsidRDefault="00BF021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平乡县人民检察院</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Pr>
          <w:rFonts w:ascii="Times New Roman" w:eastAsia="方正仿宋_GBK" w:hAnsi="Times New Roman" w:cs="Times New Roman" w:hint="eastAsia"/>
          <w:color w:val="000000"/>
          <w:sz w:val="32"/>
          <w:szCs w:val="32"/>
        </w:rPr>
        <w:t>1408.66</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482" w:type="dxa"/>
        <w:tblInd w:w="93" w:type="dxa"/>
        <w:tblLayout w:type="fixed"/>
        <w:tblLook w:val="04A0"/>
      </w:tblPr>
      <w:tblGrid>
        <w:gridCol w:w="5224"/>
        <w:gridCol w:w="3155"/>
        <w:gridCol w:w="5103"/>
      </w:tblGrid>
      <w:tr w:rsidR="002C74A1" w:rsidTr="00706325">
        <w:trPr>
          <w:trHeight w:val="769"/>
        </w:trPr>
        <w:tc>
          <w:tcPr>
            <w:tcW w:w="13482" w:type="dxa"/>
            <w:gridSpan w:val="3"/>
            <w:tcBorders>
              <w:top w:val="nil"/>
              <w:left w:val="nil"/>
              <w:bottom w:val="nil"/>
              <w:right w:val="nil"/>
            </w:tcBorders>
            <w:vAlign w:val="center"/>
          </w:tcPr>
          <w:p w:rsidR="002C74A1" w:rsidRDefault="00BF021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2C74A1">
        <w:trPr>
          <w:trHeight w:val="510"/>
        </w:trPr>
        <w:tc>
          <w:tcPr>
            <w:tcW w:w="8379" w:type="dxa"/>
            <w:gridSpan w:val="2"/>
            <w:tcBorders>
              <w:top w:val="nil"/>
              <w:left w:val="nil"/>
              <w:bottom w:val="nil"/>
              <w:right w:val="nil"/>
            </w:tcBorders>
            <w:vAlign w:val="center"/>
          </w:tcPr>
          <w:p w:rsidR="002C74A1" w:rsidRDefault="00BF021A">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sidR="00706325" w:rsidRPr="00706325">
              <w:rPr>
                <w:rFonts w:ascii="Times New Roman" w:eastAsia="方正仿宋_GBK" w:hAnsi="Times New Roman" w:cs="Times New Roman" w:hint="eastAsia"/>
                <w:kern w:val="0"/>
                <w:sz w:val="22"/>
              </w:rPr>
              <w:t>平乡县人民检察院</w:t>
            </w:r>
          </w:p>
        </w:tc>
        <w:tc>
          <w:tcPr>
            <w:tcW w:w="5103" w:type="dxa"/>
            <w:tcBorders>
              <w:top w:val="nil"/>
              <w:left w:val="nil"/>
              <w:bottom w:val="nil"/>
              <w:right w:val="nil"/>
            </w:tcBorders>
            <w:vAlign w:val="center"/>
          </w:tcPr>
          <w:p w:rsidR="002C74A1" w:rsidRDefault="00BF021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2C74A1">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C74A1" w:rsidRDefault="00BF021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2C74A1" w:rsidRDefault="00BF021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2C74A1" w:rsidRDefault="00BF021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方正仿宋_GBK" w:hAnsi="Times New Roman" w:cs="Times New Roman"/>
                <w:color w:val="FF0000"/>
                <w:kern w:val="0"/>
                <w:sz w:val="22"/>
              </w:rPr>
            </w:pPr>
            <w:r>
              <w:rPr>
                <w:rFonts w:ascii="Times New Roman" w:eastAsia="方正仿宋_GBK" w:hAnsi="Times New Roman" w:cs="Times New Roman" w:hint="eastAsia"/>
                <w:color w:val="000000"/>
                <w:kern w:val="0"/>
                <w:sz w:val="22"/>
              </w:rPr>
              <w:t>3792.94</w:t>
            </w: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6370</w:t>
            </w:r>
          </w:p>
        </w:tc>
        <w:tc>
          <w:tcPr>
            <w:tcW w:w="5103"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2332.76</w:t>
            </w: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2C74A1" w:rsidRDefault="002C74A1">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2C74A1" w:rsidRDefault="002C74A1">
            <w:pPr>
              <w:widowControl/>
              <w:jc w:val="center"/>
              <w:rPr>
                <w:rFonts w:ascii="Times New Roman" w:eastAsia="方正仿宋_GBK" w:hAnsi="Times New Roman" w:cs="Times New Roman"/>
                <w:kern w:val="0"/>
                <w:sz w:val="22"/>
              </w:rPr>
            </w:pP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9</w:t>
            </w:r>
          </w:p>
        </w:tc>
        <w:tc>
          <w:tcPr>
            <w:tcW w:w="5103"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115.68</w:t>
            </w: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C74A1" w:rsidRDefault="002C74A1">
            <w:pPr>
              <w:widowControl/>
              <w:jc w:val="center"/>
              <w:rPr>
                <w:rFonts w:ascii="Times New Roman" w:eastAsia="方正仿宋_GBK" w:hAnsi="Times New Roman" w:cs="Times New Roman"/>
                <w:kern w:val="0"/>
                <w:sz w:val="22"/>
              </w:rPr>
            </w:pPr>
          </w:p>
        </w:tc>
      </w:tr>
      <w:tr w:rsidR="002C74A1">
        <w:trPr>
          <w:trHeight w:val="645"/>
        </w:trPr>
        <w:tc>
          <w:tcPr>
            <w:tcW w:w="5224" w:type="dxa"/>
            <w:tcBorders>
              <w:top w:val="nil"/>
              <w:left w:val="single" w:sz="4" w:space="0" w:color="auto"/>
              <w:bottom w:val="single" w:sz="4" w:space="0" w:color="auto"/>
              <w:right w:val="single" w:sz="4" w:space="0" w:color="auto"/>
            </w:tcBorders>
            <w:vAlign w:val="center"/>
          </w:tcPr>
          <w:p w:rsidR="002C74A1" w:rsidRDefault="00BF021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C74A1" w:rsidRDefault="00BF021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1344.5</w:t>
            </w:r>
          </w:p>
        </w:tc>
      </w:tr>
    </w:tbl>
    <w:p w:rsidR="00F56359" w:rsidRDefault="00F56359">
      <w:pPr>
        <w:autoSpaceDE w:val="0"/>
        <w:autoSpaceDN w:val="0"/>
        <w:adjustRightInd w:val="0"/>
        <w:ind w:firstLineChars="200" w:firstLine="640"/>
        <w:jc w:val="left"/>
        <w:rPr>
          <w:rFonts w:ascii="黑体" w:eastAsia="黑体" w:hAnsi="黑体" w:cs="Times New Roman"/>
          <w:sz w:val="32"/>
          <w:szCs w:val="32"/>
        </w:rPr>
        <w:sectPr w:rsidR="00F56359" w:rsidSect="00F56359">
          <w:footerReference w:type="default" r:id="rId8"/>
          <w:pgSz w:w="16839" w:h="11907" w:orient="landscape"/>
          <w:pgMar w:top="1304" w:right="1985" w:bottom="1304" w:left="1134" w:header="851" w:footer="992" w:gutter="0"/>
          <w:cols w:space="720"/>
          <w:docGrid w:type="linesAndChars" w:linePitch="312"/>
        </w:sectPr>
      </w:pPr>
    </w:p>
    <w:p w:rsidR="002C74A1" w:rsidRDefault="002C74A1">
      <w:pPr>
        <w:autoSpaceDE w:val="0"/>
        <w:autoSpaceDN w:val="0"/>
        <w:adjustRightInd w:val="0"/>
        <w:ind w:firstLineChars="200" w:firstLine="640"/>
        <w:jc w:val="left"/>
        <w:rPr>
          <w:rFonts w:ascii="黑体" w:eastAsia="黑体" w:hAnsi="黑体" w:cs="Times New Roman"/>
          <w:sz w:val="32"/>
          <w:szCs w:val="32"/>
        </w:rPr>
      </w:pPr>
    </w:p>
    <w:p w:rsidR="002C74A1" w:rsidRDefault="00BF021A">
      <w:pPr>
        <w:autoSpaceDE w:val="0"/>
        <w:autoSpaceDN w:val="0"/>
        <w:adjustRightInd w:val="0"/>
        <w:ind w:firstLineChars="200" w:firstLine="640"/>
        <w:jc w:val="left"/>
        <w:rPr>
          <w:rFonts w:ascii="黑体" w:eastAsia="黑体" w:hAnsi="黑体" w:cs="Times New Roman"/>
          <w:sz w:val="32"/>
          <w:szCs w:val="32"/>
        </w:rPr>
      </w:pPr>
      <w:bookmarkStart w:id="8" w:name="_GoBack"/>
      <w:bookmarkEnd w:id="8"/>
      <w:r>
        <w:rPr>
          <w:rFonts w:ascii="黑体" w:eastAsia="黑体" w:hAnsi="黑体" w:cs="Times New Roman" w:hint="eastAsia"/>
          <w:sz w:val="32"/>
          <w:szCs w:val="32"/>
        </w:rPr>
        <w:t>八、名词解释</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、一般公共预算拨款收入：指县级财政当年拨付的资金。</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w:t>
      </w:r>
      <w:r>
        <w:rPr>
          <w:rFonts w:ascii="Times New Roman" w:eastAsia="方正仿宋_GBK" w:hAnsi="Times New Roman" w:cs="Times New Roman" w:hint="eastAsia"/>
          <w:sz w:val="32"/>
          <w:szCs w:val="32"/>
        </w:rPr>
        <w:lastRenderedPageBreak/>
        <w:t>设备购置费、办公用房水电费、办公用房取暖费、办公用房物业管理费、公务用车运行维护费以及其他费用。</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2C74A1" w:rsidRDefault="002C74A1">
      <w:pPr>
        <w:ind w:firstLineChars="200" w:firstLine="643"/>
        <w:rPr>
          <w:rFonts w:ascii="宋体-方正超大字符集" w:eastAsia="宋体-方正超大字符集" w:hAnsi="宋体-方正超大字符集" w:cs="宋体-方正超大字符集"/>
          <w:b/>
          <w:bCs/>
          <w:sz w:val="32"/>
          <w:szCs w:val="32"/>
        </w:rPr>
      </w:pPr>
    </w:p>
    <w:p w:rsidR="002C74A1" w:rsidRDefault="00BF021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2C74A1" w:rsidRDefault="00BF021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我部门无其他需要说明的事项。</w:t>
      </w:r>
      <w:bookmarkEnd w:id="0"/>
    </w:p>
    <w:sectPr w:rsidR="002C74A1" w:rsidSect="00F56359">
      <w:pgSz w:w="11907" w:h="16839"/>
      <w:pgMar w:top="1985" w:right="1304" w:bottom="1134" w:left="130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1A" w:rsidRDefault="00BF021A">
      <w:r>
        <w:separator/>
      </w:r>
    </w:p>
  </w:endnote>
  <w:endnote w:type="continuationSeparator" w:id="0">
    <w:p w:rsidR="00BF021A" w:rsidRDefault="00BF0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0" w:usb1="00000000" w:usb2="00000000" w:usb3="00000000" w:csb0="0000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A1" w:rsidRDefault="00246403">
    <w:pPr>
      <w:pStyle w:val="a3"/>
      <w:framePr w:wrap="around" w:vAnchor="text" w:hAnchor="margin" w:xAlign="outside" w:y="1"/>
      <w:rPr>
        <w:rStyle w:val="a6"/>
      </w:rPr>
    </w:pPr>
    <w:r>
      <w:fldChar w:fldCharType="begin"/>
    </w:r>
    <w:r w:rsidR="00BF021A">
      <w:rPr>
        <w:rStyle w:val="a6"/>
      </w:rPr>
      <w:instrText xml:space="preserve">PAGE  </w:instrText>
    </w:r>
    <w:r>
      <w:fldChar w:fldCharType="separate"/>
    </w:r>
    <w:r w:rsidR="003632E2">
      <w:rPr>
        <w:rStyle w:val="a6"/>
        <w:noProof/>
      </w:rPr>
      <w:t>15</w:t>
    </w:r>
    <w:r>
      <w:fldChar w:fldCharType="end"/>
    </w:r>
  </w:p>
  <w:p w:rsidR="002C74A1" w:rsidRDefault="002C74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A1" w:rsidRDefault="00246403">
    <w:pPr>
      <w:pStyle w:val="a3"/>
      <w:framePr w:wrap="around" w:vAnchor="text" w:hAnchor="margin" w:xAlign="outside" w:y="1"/>
      <w:rPr>
        <w:rStyle w:val="10"/>
      </w:rPr>
    </w:pPr>
    <w:r>
      <w:fldChar w:fldCharType="begin"/>
    </w:r>
    <w:r w:rsidR="00BF021A">
      <w:rPr>
        <w:rStyle w:val="10"/>
      </w:rPr>
      <w:instrText xml:space="preserve">PAGE  </w:instrText>
    </w:r>
    <w:r>
      <w:fldChar w:fldCharType="separate"/>
    </w:r>
    <w:r w:rsidR="003632E2">
      <w:rPr>
        <w:rStyle w:val="10"/>
        <w:noProof/>
      </w:rPr>
      <w:t>18</w:t>
    </w:r>
    <w:r>
      <w:fldChar w:fldCharType="end"/>
    </w:r>
  </w:p>
  <w:p w:rsidR="002C74A1" w:rsidRDefault="002C74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1A" w:rsidRDefault="00BF021A">
      <w:r>
        <w:separator/>
      </w:r>
    </w:p>
  </w:footnote>
  <w:footnote w:type="continuationSeparator" w:id="0">
    <w:p w:rsidR="00BF021A" w:rsidRDefault="00BF0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E71BA"/>
    <w:rsid w:val="00056EE9"/>
    <w:rsid w:val="00065EC8"/>
    <w:rsid w:val="000C7140"/>
    <w:rsid w:val="00121C22"/>
    <w:rsid w:val="00187190"/>
    <w:rsid w:val="00246403"/>
    <w:rsid w:val="002A543E"/>
    <w:rsid w:val="002B0772"/>
    <w:rsid w:val="002C0A7B"/>
    <w:rsid w:val="002C1DDE"/>
    <w:rsid w:val="002C74A1"/>
    <w:rsid w:val="002E1561"/>
    <w:rsid w:val="00323B29"/>
    <w:rsid w:val="00357D13"/>
    <w:rsid w:val="003632E2"/>
    <w:rsid w:val="00382907"/>
    <w:rsid w:val="0039059E"/>
    <w:rsid w:val="003D158A"/>
    <w:rsid w:val="003F41B2"/>
    <w:rsid w:val="0047793B"/>
    <w:rsid w:val="004E0C36"/>
    <w:rsid w:val="004F37B2"/>
    <w:rsid w:val="00510F89"/>
    <w:rsid w:val="00706325"/>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021A"/>
    <w:rsid w:val="00BF5EE2"/>
    <w:rsid w:val="00C266FD"/>
    <w:rsid w:val="00CF5E49"/>
    <w:rsid w:val="00D607DA"/>
    <w:rsid w:val="00D64ED7"/>
    <w:rsid w:val="00D9774A"/>
    <w:rsid w:val="00DB7E84"/>
    <w:rsid w:val="00DC6EE5"/>
    <w:rsid w:val="00E36976"/>
    <w:rsid w:val="00EC05D2"/>
    <w:rsid w:val="00EC64C7"/>
    <w:rsid w:val="00EE71BA"/>
    <w:rsid w:val="00F56359"/>
    <w:rsid w:val="00F75AD7"/>
    <w:rsid w:val="00F867E4"/>
    <w:rsid w:val="00FC6D2F"/>
    <w:rsid w:val="00FE678A"/>
    <w:rsid w:val="010462FA"/>
    <w:rsid w:val="107216C8"/>
    <w:rsid w:val="19297ACE"/>
    <w:rsid w:val="21673D7D"/>
    <w:rsid w:val="2F8B690A"/>
    <w:rsid w:val="31A95643"/>
    <w:rsid w:val="343D3BFD"/>
    <w:rsid w:val="3BD2628E"/>
    <w:rsid w:val="3CFC2F36"/>
    <w:rsid w:val="405467A7"/>
    <w:rsid w:val="466B0D77"/>
    <w:rsid w:val="56D24982"/>
    <w:rsid w:val="57254706"/>
    <w:rsid w:val="69657C67"/>
    <w:rsid w:val="6F41537B"/>
    <w:rsid w:val="75B6416D"/>
    <w:rsid w:val="7C7C4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7E8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7E84"/>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DB7E84"/>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DB7E84"/>
    <w:rPr>
      <w:rFonts w:ascii="Times New Roman" w:hAnsi="Times New Roman" w:cs="Times New Roman"/>
      <w:szCs w:val="24"/>
    </w:rPr>
  </w:style>
  <w:style w:type="paragraph" w:styleId="a5">
    <w:name w:val="footnote text"/>
    <w:basedOn w:val="a"/>
    <w:rsid w:val="00DB7E84"/>
    <w:pPr>
      <w:snapToGrid w:val="0"/>
      <w:jc w:val="left"/>
    </w:pPr>
    <w:rPr>
      <w:sz w:val="18"/>
      <w:szCs w:val="18"/>
    </w:rPr>
  </w:style>
  <w:style w:type="paragraph" w:styleId="2">
    <w:name w:val="toc 2"/>
    <w:basedOn w:val="a"/>
    <w:next w:val="a"/>
    <w:qFormat/>
    <w:rsid w:val="00DB7E84"/>
    <w:pPr>
      <w:ind w:leftChars="200" w:left="420"/>
    </w:pPr>
    <w:rPr>
      <w:rFonts w:ascii="Times New Roman" w:hAnsi="Times New Roman" w:cs="Times New Roman"/>
      <w:szCs w:val="24"/>
    </w:rPr>
  </w:style>
  <w:style w:type="character" w:styleId="a6">
    <w:name w:val="page number"/>
    <w:uiPriority w:val="99"/>
    <w:unhideWhenUsed/>
    <w:qFormat/>
    <w:rsid w:val="00DB7E84"/>
  </w:style>
  <w:style w:type="character" w:styleId="a7">
    <w:name w:val="footnote reference"/>
    <w:rsid w:val="00DB7E84"/>
    <w:rPr>
      <w:vertAlign w:val="superscript"/>
    </w:rPr>
  </w:style>
  <w:style w:type="table" w:styleId="a8">
    <w:name w:val="Table Grid"/>
    <w:basedOn w:val="a1"/>
    <w:qFormat/>
    <w:rsid w:val="00DB7E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sid w:val="00DB7E84"/>
    <w:rPr>
      <w:rFonts w:ascii="Times New Roman" w:hAnsi="Times New Roman" w:cs="Times New Roman"/>
      <w:szCs w:val="24"/>
    </w:rPr>
  </w:style>
  <w:style w:type="character" w:customStyle="1" w:styleId="10">
    <w:name w:val="页码1"/>
    <w:qFormat/>
    <w:rsid w:val="00DB7E84"/>
  </w:style>
  <w:style w:type="character" w:customStyle="1" w:styleId="Char">
    <w:name w:val="页脚 Char"/>
    <w:link w:val="a3"/>
    <w:semiHidden/>
    <w:qFormat/>
    <w:rsid w:val="00DB7E84"/>
    <w:rPr>
      <w:rFonts w:ascii="Times New Roman" w:eastAsia="宋体" w:hAnsi="Times New Roman" w:cs="Times New Roman"/>
      <w:sz w:val="18"/>
      <w:szCs w:val="18"/>
    </w:rPr>
  </w:style>
  <w:style w:type="character" w:customStyle="1" w:styleId="Char0">
    <w:name w:val="页眉 Char"/>
    <w:link w:val="a4"/>
    <w:semiHidden/>
    <w:qFormat/>
    <w:rsid w:val="00DB7E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stylesWithEffects.xml" Type="http://schemas.microsoft.com/office/2007/relationships/stylesWithEffect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1403</Words>
  <Characters>8001</Characters>
  <Application>Microsoft Office Word</Application>
  <DocSecurity>0</DocSecurity>
  <Lines>66</Lines>
  <Paragraphs>18</Paragraphs>
  <ScaleCrop>false</ScaleCrop>
  <Company>Microsoft</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Administrator</cp:lastModifiedBy>
  <cp:lastPrinted>2020-01-10T15:53:00Z</cp:lastPrinted>
  <dcterms:modified xsi:type="dcterms:W3CDTF">2021-04-08T02:24:00Z</dcterms:modified>
  <cp:revision>39</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