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71E1" w:rsidRDefault="006C7234">
      <w:pPr>
        <w:spacing w:line="360" w:lineRule="auto"/>
        <w:jc w:val="center"/>
        <w:rPr>
          <w:rFonts w:ascii="宋体" w:cs="宋体"/>
          <w:b/>
          <w:bCs/>
          <w:kern w:val="0"/>
          <w:sz w:val="44"/>
          <w:szCs w:val="44"/>
          <w:lang w:val="zh-CN"/>
        </w:rPr>
      </w:pPr>
      <w:r>
        <w:rPr>
          <w:rFonts w:ascii="宋体" w:cs="宋体" w:hint="eastAsia"/>
          <w:b/>
          <w:bCs/>
          <w:kern w:val="0"/>
          <w:sz w:val="44"/>
          <w:szCs w:val="44"/>
          <w:lang w:val="zh-CN"/>
        </w:rPr>
        <w:t>平乡县国土资源局</w:t>
      </w:r>
    </w:p>
    <w:p w:rsidR="009871E1" w:rsidRDefault="006C7234">
      <w:pPr>
        <w:jc w:val="center"/>
      </w:pPr>
      <w:r>
        <w:rPr>
          <w:b/>
          <w:sz w:val="44"/>
          <w:szCs w:val="44"/>
        </w:rPr>
        <w:t>2017</w:t>
      </w:r>
      <w:r>
        <w:rPr>
          <w:rFonts w:hint="eastAsia"/>
          <w:b/>
          <w:sz w:val="44"/>
          <w:szCs w:val="44"/>
        </w:rPr>
        <w:t>年部门预算公开情况及“三公”增减</w:t>
      </w:r>
    </w:p>
    <w:p w:rsidR="009871E1" w:rsidRDefault="006C7234">
      <w:pPr>
        <w:spacing w:line="360" w:lineRule="auto"/>
        <w:jc w:val="center"/>
        <w:rPr>
          <w:rFonts w:ascii="黑体" w:eastAsia="黑体" w:hAnsi="黑体"/>
          <w:b/>
          <w:sz w:val="44"/>
          <w:szCs w:val="44"/>
        </w:rPr>
      </w:pPr>
      <w:r>
        <w:rPr>
          <w:rFonts w:ascii="宋体" w:cs="宋体" w:hint="eastAsia"/>
          <w:b/>
          <w:bCs/>
          <w:kern w:val="0"/>
          <w:sz w:val="44"/>
          <w:szCs w:val="44"/>
          <w:lang w:val="zh-CN"/>
        </w:rPr>
        <w:t>说明</w:t>
      </w:r>
    </w:p>
    <w:p w:rsidR="009871E1" w:rsidRDefault="009871E1">
      <w:pPr>
        <w:jc w:val="center"/>
        <w:rPr>
          <w:rFonts w:ascii="仿宋" w:eastAsia="仿宋" w:hAnsi="仿宋"/>
          <w:b/>
          <w:sz w:val="32"/>
          <w:szCs w:val="32"/>
        </w:rPr>
      </w:pPr>
    </w:p>
    <w:p w:rsidR="006C7234" w:rsidRPr="006C7234" w:rsidRDefault="006C7234" w:rsidP="006C7234">
      <w:pPr>
        <w:ind w:firstLine="640"/>
        <w:rPr>
          <w:rFonts w:ascii="仿宋" w:eastAsia="仿宋" w:hAnsi="仿宋"/>
          <w:b/>
          <w:sz w:val="32"/>
          <w:szCs w:val="32"/>
        </w:rPr>
      </w:pPr>
      <w:r w:rsidRPr="006C7234">
        <w:rPr>
          <w:rFonts w:ascii="仿宋" w:eastAsia="仿宋" w:hAnsi="仿宋" w:hint="eastAsia"/>
          <w:b/>
          <w:sz w:val="32"/>
          <w:szCs w:val="32"/>
        </w:rPr>
        <w:t>一、部门职责及机构设置情况</w:t>
      </w:r>
    </w:p>
    <w:p w:rsidR="009871E1" w:rsidRDefault="006C7234">
      <w:pPr>
        <w:ind w:firstLineChars="224" w:firstLine="720"/>
        <w:rPr>
          <w:rFonts w:ascii="仿宋" w:eastAsia="仿宋" w:hAnsi="仿宋"/>
          <w:b/>
          <w:color w:val="FF0000"/>
          <w:sz w:val="32"/>
          <w:szCs w:val="32"/>
        </w:rPr>
      </w:pPr>
      <w:r>
        <w:rPr>
          <w:rFonts w:ascii="仿宋" w:eastAsia="仿宋" w:hAnsi="仿宋" w:hint="eastAsia"/>
          <w:b/>
          <w:sz w:val="32"/>
          <w:szCs w:val="32"/>
        </w:rPr>
        <w:t>部门职责：</w:t>
      </w:r>
    </w:p>
    <w:p w:rsidR="009871E1" w:rsidRDefault="006C7234">
      <w:pPr>
        <w:rPr>
          <w:rFonts w:ascii="仿宋" w:eastAsia="仿宋" w:hAnsi="仿宋"/>
          <w:sz w:val="32"/>
          <w:szCs w:val="32"/>
        </w:rPr>
      </w:pPr>
      <w:r>
        <w:rPr>
          <w:rFonts w:ascii="仿宋" w:eastAsia="仿宋" w:hAnsi="仿宋" w:hint="eastAsia"/>
          <w:sz w:val="32"/>
          <w:szCs w:val="32"/>
        </w:rPr>
        <w:t xml:space="preserve">     1.贯彻执行国家、省、市有关法律、行政法规和政策，保证其在本行政区域内的有效实施。</w:t>
      </w:r>
    </w:p>
    <w:p w:rsidR="009871E1" w:rsidRDefault="006C7234" w:rsidP="006C7234">
      <w:pPr>
        <w:ind w:firstLineChars="224" w:firstLine="717"/>
        <w:rPr>
          <w:rFonts w:ascii="仿宋" w:eastAsia="仿宋" w:hAnsi="仿宋"/>
          <w:sz w:val="32"/>
          <w:szCs w:val="32"/>
        </w:rPr>
      </w:pPr>
      <w:r>
        <w:rPr>
          <w:rFonts w:ascii="仿宋" w:eastAsia="仿宋" w:hAnsi="仿宋" w:hint="eastAsia"/>
          <w:sz w:val="32"/>
          <w:szCs w:val="32"/>
        </w:rPr>
        <w:t>2.贯彻实施土地资源规范性文件，并负责实施和监督检查负责有关土地案件行政复议。</w:t>
      </w:r>
    </w:p>
    <w:p w:rsidR="009871E1" w:rsidRDefault="006C7234" w:rsidP="006C7234">
      <w:pPr>
        <w:ind w:firstLineChars="224" w:firstLine="717"/>
        <w:rPr>
          <w:rFonts w:ascii="仿宋" w:eastAsia="仿宋" w:hAnsi="仿宋"/>
          <w:sz w:val="32"/>
          <w:szCs w:val="32"/>
        </w:rPr>
      </w:pPr>
      <w:r>
        <w:rPr>
          <w:rFonts w:ascii="仿宋" w:eastAsia="仿宋" w:hAnsi="仿宋" w:hint="eastAsia"/>
          <w:sz w:val="32"/>
          <w:szCs w:val="32"/>
        </w:rPr>
        <w:t>3.组织编制和实施全县土地利用总体规划和其他专项规划，监督检查全县国土资源行政执法和土地资源规划执行情况。</w:t>
      </w:r>
    </w:p>
    <w:p w:rsidR="009871E1" w:rsidRDefault="006C7234" w:rsidP="006C7234">
      <w:pPr>
        <w:ind w:firstLineChars="224" w:firstLine="717"/>
        <w:rPr>
          <w:rFonts w:ascii="仿宋" w:eastAsia="仿宋" w:hAnsi="仿宋"/>
          <w:sz w:val="32"/>
          <w:szCs w:val="32"/>
        </w:rPr>
      </w:pPr>
      <w:r>
        <w:rPr>
          <w:rFonts w:ascii="仿宋" w:eastAsia="仿宋" w:hAnsi="仿宋" w:hint="eastAsia"/>
          <w:sz w:val="32"/>
          <w:szCs w:val="32"/>
        </w:rPr>
        <w:t>4.依法保护土地、矿产资源所有者和使用者的合法权益，承办并组织调解本行政区域内跨乡镇的权属纠纷，查处重大土地违法案件。</w:t>
      </w:r>
    </w:p>
    <w:p w:rsidR="009871E1" w:rsidRDefault="006C7234">
      <w:pPr>
        <w:rPr>
          <w:rFonts w:ascii="仿宋" w:eastAsia="仿宋" w:hAnsi="仿宋"/>
          <w:sz w:val="32"/>
          <w:szCs w:val="32"/>
        </w:rPr>
      </w:pPr>
      <w:r>
        <w:rPr>
          <w:rFonts w:ascii="仿宋" w:eastAsia="仿宋" w:hAnsi="仿宋" w:hint="eastAsia"/>
          <w:sz w:val="32"/>
          <w:szCs w:val="32"/>
        </w:rPr>
        <w:t xml:space="preserve">    5．拟定并实施全县耕地保护和鼓励耕地开发，实施农地用途管制，组织基本农田保护未利用土地开发、土地整理、土地复垦和开发耕地监督工作。</w:t>
      </w:r>
    </w:p>
    <w:p w:rsidR="009871E1" w:rsidRDefault="009871E1">
      <w:pPr>
        <w:spacing w:line="568" w:lineRule="atLeast"/>
        <w:ind w:left="1" w:firstLine="640"/>
        <w:textAlignment w:val="center"/>
        <w:rPr>
          <w:rFonts w:ascii="仿宋" w:eastAsia="仿宋" w:hAnsi="仿宋"/>
          <w:sz w:val="32"/>
          <w:szCs w:val="32"/>
        </w:rPr>
      </w:pPr>
    </w:p>
    <w:p w:rsidR="006C7234" w:rsidRPr="00AF69BF" w:rsidRDefault="006C7234" w:rsidP="006C7234">
      <w:pPr>
        <w:autoSpaceDE w:val="0"/>
        <w:autoSpaceDN w:val="0"/>
        <w:adjustRightInd w:val="0"/>
        <w:ind w:firstLineChars="200" w:firstLine="643"/>
        <w:jc w:val="left"/>
        <w:rPr>
          <w:rFonts w:ascii="仿宋" w:eastAsia="仿宋" w:hAnsi="仿宋"/>
          <w:b/>
          <w:sz w:val="32"/>
          <w:szCs w:val="32"/>
        </w:rPr>
      </w:pPr>
      <w:r w:rsidRPr="00AF69BF">
        <w:rPr>
          <w:rFonts w:ascii="仿宋" w:eastAsia="仿宋" w:hAnsi="仿宋" w:hint="eastAsia"/>
          <w:b/>
          <w:sz w:val="32"/>
          <w:szCs w:val="32"/>
        </w:rPr>
        <w:lastRenderedPageBreak/>
        <w:t>机构设置：</w:t>
      </w:r>
    </w:p>
    <w:p w:rsidR="009871E1" w:rsidRDefault="006C7234">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本部门由以下基层单位构成：平乡县国土资源局</w:t>
      </w:r>
    </w:p>
    <w:p w:rsidR="006C7234" w:rsidRPr="006C7234" w:rsidRDefault="006C7234" w:rsidP="006C7234">
      <w:pPr>
        <w:ind w:firstLine="640"/>
        <w:rPr>
          <w:rFonts w:ascii="仿宋" w:eastAsia="仿宋" w:hAnsi="仿宋"/>
          <w:b/>
          <w:sz w:val="32"/>
          <w:szCs w:val="32"/>
        </w:rPr>
      </w:pPr>
      <w:r w:rsidRPr="006C7234">
        <w:rPr>
          <w:rFonts w:ascii="仿宋" w:eastAsia="仿宋" w:hAnsi="仿宋" w:hint="eastAsia"/>
          <w:b/>
          <w:sz w:val="32"/>
          <w:szCs w:val="32"/>
        </w:rPr>
        <w:t>二、部门预算安排的总体情况</w:t>
      </w:r>
    </w:p>
    <w:p w:rsidR="006C7234" w:rsidRPr="00AF69BF" w:rsidRDefault="006C7234" w:rsidP="006C7234">
      <w:pPr>
        <w:ind w:firstLineChars="200" w:firstLine="640"/>
        <w:rPr>
          <w:rFonts w:ascii="仿宋" w:eastAsia="仿宋" w:hAnsi="仿宋"/>
          <w:sz w:val="32"/>
          <w:szCs w:val="32"/>
        </w:rPr>
      </w:pPr>
      <w:r w:rsidRPr="00AF69BF">
        <w:rPr>
          <w:rFonts w:ascii="仿宋" w:eastAsia="仿宋" w:hAnsi="仿宋" w:hint="eastAsia"/>
          <w:sz w:val="32"/>
          <w:szCs w:val="32"/>
        </w:rPr>
        <w:t>1、</w:t>
      </w:r>
      <w:r w:rsidRPr="00AF69BF">
        <w:rPr>
          <w:rFonts w:ascii="仿宋" w:eastAsia="仿宋" w:hAnsi="仿宋"/>
          <w:sz w:val="32"/>
          <w:szCs w:val="32"/>
        </w:rPr>
        <w:t>收入说明</w:t>
      </w:r>
    </w:p>
    <w:p w:rsidR="006C7234" w:rsidRDefault="006C7234" w:rsidP="006C7234">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kern w:val="0"/>
          <w:sz w:val="32"/>
          <w:szCs w:val="32"/>
          <w:lang w:val="zh-CN"/>
        </w:rPr>
        <w:t>201</w:t>
      </w:r>
      <w:r>
        <w:rPr>
          <w:rFonts w:ascii="仿宋" w:eastAsia="仿宋" w:hAnsi="仿宋" w:cs="宋体" w:hint="eastAsia"/>
          <w:kern w:val="0"/>
          <w:sz w:val="32"/>
          <w:szCs w:val="32"/>
        </w:rPr>
        <w:t>7</w:t>
      </w:r>
      <w:r>
        <w:rPr>
          <w:rFonts w:ascii="仿宋" w:eastAsia="仿宋" w:hAnsi="仿宋" w:cs="宋体" w:hint="eastAsia"/>
          <w:kern w:val="0"/>
          <w:sz w:val="32"/>
          <w:szCs w:val="32"/>
          <w:lang w:val="zh-CN"/>
        </w:rPr>
        <w:t>年共安排预算收入</w:t>
      </w:r>
      <w:r>
        <w:rPr>
          <w:rFonts w:ascii="仿宋" w:eastAsia="仿宋" w:hAnsi="仿宋" w:cs="宋体" w:hint="eastAsia"/>
          <w:kern w:val="0"/>
          <w:sz w:val="32"/>
          <w:szCs w:val="32"/>
        </w:rPr>
        <w:t>4774.35</w:t>
      </w:r>
      <w:r>
        <w:rPr>
          <w:rFonts w:ascii="仿宋" w:eastAsia="仿宋" w:hAnsi="仿宋" w:cs="宋体" w:hint="eastAsia"/>
          <w:kern w:val="0"/>
          <w:sz w:val="32"/>
          <w:szCs w:val="32"/>
          <w:lang w:val="zh-CN"/>
        </w:rPr>
        <w:t>万元，一般公共预算拨款</w:t>
      </w:r>
      <w:r>
        <w:rPr>
          <w:rFonts w:ascii="仿宋" w:eastAsia="仿宋" w:hAnsi="仿宋" w:cs="宋体" w:hint="eastAsia"/>
          <w:kern w:val="0"/>
          <w:sz w:val="32"/>
          <w:szCs w:val="32"/>
        </w:rPr>
        <w:t>1316.99</w:t>
      </w:r>
      <w:r>
        <w:rPr>
          <w:rFonts w:ascii="仿宋" w:eastAsia="仿宋" w:hAnsi="仿宋" w:cs="宋体" w:hint="eastAsia"/>
          <w:kern w:val="0"/>
          <w:sz w:val="32"/>
          <w:szCs w:val="32"/>
          <w:lang w:val="zh-CN"/>
        </w:rPr>
        <w:t>万元;基金预算拨款</w:t>
      </w:r>
      <w:r>
        <w:rPr>
          <w:rFonts w:ascii="仿宋" w:eastAsia="仿宋" w:hAnsi="仿宋" w:cs="宋体" w:hint="eastAsia"/>
          <w:kern w:val="0"/>
          <w:sz w:val="32"/>
          <w:szCs w:val="32"/>
        </w:rPr>
        <w:t>3457.36。</w:t>
      </w:r>
    </w:p>
    <w:p w:rsidR="006C7234" w:rsidRPr="00AF69BF" w:rsidRDefault="006C7234" w:rsidP="006C7234">
      <w:pPr>
        <w:numPr>
          <w:ilvl w:val="0"/>
          <w:numId w:val="2"/>
        </w:numPr>
        <w:ind w:firstLine="640"/>
        <w:rPr>
          <w:rFonts w:ascii="仿宋" w:eastAsia="仿宋" w:hAnsi="仿宋"/>
          <w:sz w:val="32"/>
          <w:szCs w:val="32"/>
        </w:rPr>
      </w:pPr>
      <w:r w:rsidRPr="00AF69BF">
        <w:rPr>
          <w:rFonts w:ascii="仿宋" w:eastAsia="仿宋" w:hAnsi="仿宋"/>
          <w:sz w:val="32"/>
          <w:szCs w:val="32"/>
        </w:rPr>
        <w:t>支出说明</w:t>
      </w:r>
    </w:p>
    <w:p w:rsidR="006C7234" w:rsidRDefault="006C7234" w:rsidP="006C7234">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kern w:val="0"/>
          <w:sz w:val="32"/>
          <w:szCs w:val="32"/>
          <w:lang w:val="zh-CN"/>
        </w:rPr>
        <w:t>201</w:t>
      </w:r>
      <w:r>
        <w:rPr>
          <w:rFonts w:ascii="仿宋" w:eastAsia="仿宋" w:hAnsi="仿宋" w:cs="宋体" w:hint="eastAsia"/>
          <w:kern w:val="0"/>
          <w:sz w:val="32"/>
          <w:szCs w:val="32"/>
        </w:rPr>
        <w:t>7</w:t>
      </w:r>
      <w:r>
        <w:rPr>
          <w:rFonts w:ascii="仿宋" w:eastAsia="仿宋" w:hAnsi="仿宋" w:cs="宋体" w:hint="eastAsia"/>
          <w:kern w:val="0"/>
          <w:sz w:val="32"/>
          <w:szCs w:val="32"/>
          <w:lang w:val="zh-CN"/>
        </w:rPr>
        <w:t>年共安排预算支出</w:t>
      </w:r>
      <w:r>
        <w:rPr>
          <w:rFonts w:ascii="仿宋" w:eastAsia="仿宋" w:hAnsi="仿宋" w:cs="宋体" w:hint="eastAsia"/>
          <w:kern w:val="0"/>
          <w:sz w:val="32"/>
          <w:szCs w:val="32"/>
        </w:rPr>
        <w:t>4774.35</w:t>
      </w:r>
      <w:r>
        <w:rPr>
          <w:rFonts w:ascii="仿宋" w:eastAsia="仿宋" w:hAnsi="仿宋" w:cs="宋体" w:hint="eastAsia"/>
          <w:kern w:val="0"/>
          <w:sz w:val="32"/>
          <w:szCs w:val="32"/>
          <w:lang w:val="zh-CN"/>
        </w:rPr>
        <w:t>万元，工资福利支出</w:t>
      </w:r>
      <w:r>
        <w:rPr>
          <w:rFonts w:ascii="仿宋" w:eastAsia="仿宋" w:hAnsi="仿宋" w:cs="宋体" w:hint="eastAsia"/>
          <w:kern w:val="0"/>
          <w:sz w:val="32"/>
          <w:szCs w:val="32"/>
        </w:rPr>
        <w:t>358.88万元、</w:t>
      </w:r>
      <w:r>
        <w:rPr>
          <w:rFonts w:ascii="仿宋" w:eastAsia="仿宋" w:hAnsi="仿宋" w:cs="宋体" w:hint="eastAsia"/>
          <w:kern w:val="0"/>
          <w:sz w:val="32"/>
          <w:szCs w:val="32"/>
          <w:lang w:val="zh-CN"/>
        </w:rPr>
        <w:t>日常公用经费</w:t>
      </w:r>
      <w:r>
        <w:rPr>
          <w:rFonts w:ascii="仿宋" w:eastAsia="仿宋" w:hAnsi="仿宋" w:cs="宋体" w:hint="eastAsia"/>
          <w:kern w:val="0"/>
          <w:sz w:val="32"/>
          <w:szCs w:val="32"/>
        </w:rPr>
        <w:t>28.02万元、项目支出4387.45万元</w:t>
      </w:r>
      <w:r>
        <w:rPr>
          <w:rFonts w:ascii="仿宋" w:eastAsia="仿宋" w:hAnsi="仿宋" w:cs="宋体" w:hint="eastAsia"/>
          <w:kern w:val="0"/>
          <w:sz w:val="32"/>
          <w:szCs w:val="32"/>
          <w:lang w:val="zh-CN"/>
        </w:rPr>
        <w:t>。</w:t>
      </w:r>
    </w:p>
    <w:p w:rsidR="006C7234" w:rsidRPr="006C7234" w:rsidRDefault="006C7234" w:rsidP="006C7234">
      <w:pPr>
        <w:numPr>
          <w:ilvl w:val="0"/>
          <w:numId w:val="2"/>
        </w:numPr>
        <w:ind w:firstLine="640"/>
        <w:rPr>
          <w:rFonts w:ascii="仿宋" w:eastAsia="仿宋" w:hAnsi="仿宋"/>
          <w:sz w:val="32"/>
          <w:szCs w:val="32"/>
        </w:rPr>
      </w:pPr>
      <w:r w:rsidRPr="006C7234">
        <w:rPr>
          <w:rFonts w:ascii="仿宋" w:eastAsia="仿宋" w:hAnsi="仿宋"/>
          <w:sz w:val="32"/>
          <w:szCs w:val="32"/>
        </w:rPr>
        <w:t>比上年增减情况</w:t>
      </w:r>
    </w:p>
    <w:p w:rsidR="006C7234" w:rsidRPr="00AF69BF" w:rsidRDefault="008F2484" w:rsidP="006C7234">
      <w:pPr>
        <w:rPr>
          <w:rFonts w:ascii="仿宋" w:eastAsia="仿宋" w:hAnsi="仿宋" w:cs="仿宋_GB2312"/>
          <w:sz w:val="32"/>
          <w:szCs w:val="32"/>
        </w:rPr>
      </w:pPr>
      <w:r>
        <w:rPr>
          <w:rFonts w:ascii="仿宋" w:eastAsia="仿宋" w:hAnsi="仿宋" w:cs="仿宋_GB2312" w:hint="eastAsia"/>
          <w:sz w:val="32"/>
          <w:szCs w:val="32"/>
        </w:rPr>
        <w:t xml:space="preserve">   </w:t>
      </w:r>
      <w:r w:rsidR="006C7234" w:rsidRPr="006C7234">
        <w:rPr>
          <w:rFonts w:ascii="仿宋" w:eastAsia="仿宋" w:hAnsi="仿宋" w:cs="仿宋_GB2312" w:hint="eastAsia"/>
          <w:sz w:val="32"/>
          <w:szCs w:val="32"/>
        </w:rPr>
        <w:t xml:space="preserve"> 2017年部门预算较2016年增长</w:t>
      </w:r>
      <w:r>
        <w:rPr>
          <w:rFonts w:ascii="仿宋" w:eastAsia="仿宋" w:hAnsi="仿宋" w:cs="仿宋_GB2312" w:hint="eastAsia"/>
          <w:sz w:val="32"/>
          <w:szCs w:val="32"/>
        </w:rPr>
        <w:t>2683.25</w:t>
      </w:r>
      <w:r w:rsidR="006C7234" w:rsidRPr="006C7234">
        <w:rPr>
          <w:rFonts w:ascii="仿宋" w:eastAsia="仿宋" w:hAnsi="仿宋" w:cs="仿宋_GB2312" w:hint="eastAsia"/>
          <w:sz w:val="32"/>
          <w:szCs w:val="32"/>
        </w:rPr>
        <w:t>万元，其中：基本支出增长</w:t>
      </w:r>
      <w:r w:rsidR="00EC0EBB">
        <w:rPr>
          <w:rFonts w:ascii="仿宋" w:eastAsia="仿宋" w:hAnsi="仿宋" w:cs="仿宋_GB2312" w:hint="eastAsia"/>
          <w:sz w:val="32"/>
          <w:szCs w:val="32"/>
        </w:rPr>
        <w:t>18.6</w:t>
      </w:r>
      <w:r w:rsidR="006C7234" w:rsidRPr="006C7234">
        <w:rPr>
          <w:rFonts w:ascii="仿宋" w:eastAsia="仿宋" w:hAnsi="仿宋" w:cs="仿宋_GB2312" w:hint="eastAsia"/>
          <w:sz w:val="32"/>
          <w:szCs w:val="32"/>
        </w:rPr>
        <w:t>万元；项目支出增长</w:t>
      </w:r>
      <w:r w:rsidR="00EC0EBB">
        <w:rPr>
          <w:rFonts w:ascii="仿宋" w:eastAsia="仿宋" w:hAnsi="仿宋" w:cs="仿宋_GB2312" w:hint="eastAsia"/>
          <w:sz w:val="32"/>
          <w:szCs w:val="32"/>
        </w:rPr>
        <w:t>2664.65</w:t>
      </w:r>
      <w:r w:rsidR="006C7234" w:rsidRPr="006C7234">
        <w:rPr>
          <w:rFonts w:ascii="仿宋" w:eastAsia="仿宋" w:hAnsi="仿宋" w:cs="仿宋_GB2312" w:hint="eastAsia"/>
          <w:sz w:val="32"/>
          <w:szCs w:val="32"/>
        </w:rPr>
        <w:t>万元。</w:t>
      </w:r>
    </w:p>
    <w:p w:rsidR="006C7234" w:rsidRPr="00E870C8" w:rsidRDefault="006C7234" w:rsidP="00E870C8">
      <w:pPr>
        <w:autoSpaceDE w:val="0"/>
        <w:autoSpaceDN w:val="0"/>
        <w:adjustRightInd w:val="0"/>
        <w:ind w:firstLineChars="200" w:firstLine="643"/>
        <w:jc w:val="left"/>
        <w:rPr>
          <w:rFonts w:ascii="仿宋" w:eastAsia="仿宋" w:hAnsi="仿宋"/>
          <w:b/>
          <w:sz w:val="32"/>
          <w:szCs w:val="32"/>
        </w:rPr>
      </w:pPr>
      <w:r w:rsidRPr="00E870C8">
        <w:rPr>
          <w:rFonts w:ascii="仿宋" w:eastAsia="仿宋" w:hAnsi="仿宋" w:hint="eastAsia"/>
          <w:b/>
          <w:sz w:val="32"/>
          <w:szCs w:val="32"/>
        </w:rPr>
        <w:t>三、机关运行经费安排情况</w:t>
      </w:r>
    </w:p>
    <w:p w:rsidR="006C7234" w:rsidRDefault="006C7234" w:rsidP="006C7234">
      <w:pPr>
        <w:ind w:firstLineChars="225" w:firstLine="720"/>
        <w:rPr>
          <w:rFonts w:ascii="仿宋" w:eastAsia="仿宋" w:hAnsi="仿宋" w:cs="宋体"/>
          <w:kern w:val="0"/>
          <w:sz w:val="32"/>
          <w:szCs w:val="32"/>
          <w:lang w:val="zh-CN"/>
        </w:rPr>
      </w:pPr>
      <w:r>
        <w:rPr>
          <w:rFonts w:ascii="仿宋_GB2312" w:eastAsia="仿宋_GB2312" w:hAnsi="仿宋_GB2312" w:hint="eastAsia"/>
          <w:color w:val="000000"/>
          <w:sz w:val="32"/>
        </w:rPr>
        <w:t>机关运行经费共计安排28.02万元，主要用于办公费、印刷费、邮电费、公务交通补贴等日常运行支出。</w:t>
      </w:r>
    </w:p>
    <w:p w:rsidR="003801CC" w:rsidRPr="003801CC" w:rsidRDefault="003801CC" w:rsidP="003801CC">
      <w:pPr>
        <w:autoSpaceDE w:val="0"/>
        <w:autoSpaceDN w:val="0"/>
        <w:adjustRightInd w:val="0"/>
        <w:ind w:left="198" w:firstLineChars="200" w:firstLine="643"/>
        <w:jc w:val="left"/>
        <w:rPr>
          <w:rFonts w:ascii="仿宋" w:eastAsia="仿宋" w:hAnsi="仿宋"/>
          <w:b/>
          <w:sz w:val="32"/>
          <w:szCs w:val="32"/>
        </w:rPr>
      </w:pPr>
      <w:r w:rsidRPr="003801CC">
        <w:rPr>
          <w:rFonts w:ascii="仿宋" w:eastAsia="仿宋" w:hAnsi="仿宋" w:hint="eastAsia"/>
          <w:b/>
          <w:sz w:val="32"/>
          <w:szCs w:val="32"/>
        </w:rPr>
        <w:lastRenderedPageBreak/>
        <w:t>四、财政拨款</w:t>
      </w:r>
      <w:r w:rsidRPr="003801CC">
        <w:rPr>
          <w:rFonts w:ascii="仿宋" w:eastAsia="仿宋" w:hAnsi="仿宋"/>
          <w:b/>
          <w:sz w:val="32"/>
          <w:szCs w:val="32"/>
        </w:rPr>
        <w:t>“</w:t>
      </w:r>
      <w:r w:rsidRPr="003801CC">
        <w:rPr>
          <w:rFonts w:ascii="仿宋" w:eastAsia="仿宋" w:hAnsi="仿宋" w:hint="eastAsia"/>
          <w:b/>
          <w:sz w:val="32"/>
          <w:szCs w:val="32"/>
        </w:rPr>
        <w:t>三公</w:t>
      </w:r>
      <w:r w:rsidRPr="003801CC">
        <w:rPr>
          <w:rFonts w:ascii="仿宋" w:eastAsia="仿宋" w:hAnsi="仿宋"/>
          <w:b/>
          <w:sz w:val="32"/>
          <w:szCs w:val="32"/>
        </w:rPr>
        <w:t>”</w:t>
      </w:r>
      <w:r w:rsidRPr="003801CC">
        <w:rPr>
          <w:rFonts w:ascii="仿宋" w:eastAsia="仿宋" w:hAnsi="仿宋" w:hint="eastAsia"/>
          <w:b/>
          <w:sz w:val="32"/>
          <w:szCs w:val="32"/>
        </w:rPr>
        <w:t>经费预算情况及增减变化原因</w:t>
      </w:r>
    </w:p>
    <w:p w:rsidR="006C7234" w:rsidRDefault="006C7234" w:rsidP="003801CC">
      <w:pPr>
        <w:ind w:firstLineChars="225" w:firstLine="720"/>
        <w:rPr>
          <w:rFonts w:ascii="仿宋" w:eastAsia="仿宋" w:hAnsi="仿宋" w:cs="宋体"/>
          <w:kern w:val="0"/>
          <w:sz w:val="32"/>
          <w:szCs w:val="32"/>
          <w:lang w:val="zh-CN"/>
        </w:rPr>
      </w:pPr>
      <w:r>
        <w:rPr>
          <w:rFonts w:ascii="仿宋" w:eastAsia="仿宋" w:hAnsi="仿宋" w:cs="宋体"/>
          <w:kern w:val="0"/>
          <w:sz w:val="32"/>
          <w:szCs w:val="32"/>
          <w:lang w:val="zh-CN"/>
        </w:rPr>
        <w:t>20</w:t>
      </w:r>
      <w:r>
        <w:rPr>
          <w:rFonts w:ascii="仿宋" w:eastAsia="仿宋" w:hAnsi="仿宋" w:cs="宋体"/>
          <w:kern w:val="0"/>
          <w:sz w:val="32"/>
          <w:szCs w:val="32"/>
        </w:rPr>
        <w:t>1</w:t>
      </w:r>
      <w:r>
        <w:rPr>
          <w:rFonts w:ascii="仿宋" w:eastAsia="仿宋" w:hAnsi="仿宋" w:cs="宋体" w:hint="eastAsia"/>
          <w:kern w:val="0"/>
          <w:sz w:val="32"/>
          <w:szCs w:val="32"/>
        </w:rPr>
        <w:t>7</w:t>
      </w:r>
      <w:r>
        <w:rPr>
          <w:rFonts w:ascii="仿宋" w:eastAsia="仿宋" w:hAnsi="仿宋" w:cs="宋体" w:hint="eastAsia"/>
          <w:kern w:val="0"/>
          <w:sz w:val="32"/>
          <w:szCs w:val="32"/>
          <w:lang w:val="zh-CN"/>
        </w:rPr>
        <w:t>年本部门共安排“三公”经费</w:t>
      </w:r>
      <w:r>
        <w:rPr>
          <w:rFonts w:ascii="仿宋" w:eastAsia="仿宋" w:hAnsi="仿宋" w:cs="宋体" w:hint="eastAsia"/>
          <w:kern w:val="0"/>
          <w:sz w:val="32"/>
          <w:szCs w:val="32"/>
        </w:rPr>
        <w:t>37.5</w:t>
      </w:r>
      <w:r>
        <w:rPr>
          <w:rFonts w:ascii="仿宋" w:eastAsia="仿宋" w:hAnsi="仿宋" w:cs="宋体" w:hint="eastAsia"/>
          <w:kern w:val="0"/>
          <w:sz w:val="32"/>
          <w:szCs w:val="32"/>
          <w:lang w:val="zh-CN"/>
        </w:rPr>
        <w:t>万元，同比上年减少</w:t>
      </w:r>
      <w:r>
        <w:rPr>
          <w:rFonts w:ascii="仿宋" w:eastAsia="仿宋" w:hAnsi="仿宋" w:cs="宋体" w:hint="eastAsia"/>
          <w:kern w:val="0"/>
          <w:sz w:val="32"/>
          <w:szCs w:val="32"/>
        </w:rPr>
        <w:t>8.5万元。其中：因公出国（境）费0万元，公务用车运行费32万元，比上年减少8.5万元, 公务接待费5.5元，比上年无变化。“三公”经费支出预算减</w:t>
      </w:r>
      <w:bookmarkStart w:id="0" w:name="_GoBack"/>
      <w:bookmarkEnd w:id="0"/>
      <w:r>
        <w:rPr>
          <w:rFonts w:ascii="仿宋" w:eastAsia="仿宋" w:hAnsi="仿宋" w:cs="宋体" w:hint="eastAsia"/>
          <w:kern w:val="0"/>
          <w:sz w:val="32"/>
          <w:szCs w:val="32"/>
        </w:rPr>
        <w:t>少的原因主要是我单位积极响应国家号召，大力压减公务接待，不安排公费出国</w:t>
      </w:r>
      <w:r>
        <w:rPr>
          <w:rFonts w:ascii="仿宋" w:eastAsia="仿宋" w:hAnsi="仿宋" w:cs="宋体" w:hint="eastAsia"/>
          <w:kern w:val="0"/>
          <w:sz w:val="32"/>
          <w:szCs w:val="32"/>
          <w:lang w:val="zh-CN"/>
        </w:rPr>
        <w:t>和公车购置，厉行节约，县内差旅提倡自行车，外地出差提倡公交车，尽可能减少公车出行。</w:t>
      </w:r>
    </w:p>
    <w:p w:rsidR="003801CC" w:rsidRPr="003801CC" w:rsidRDefault="003801CC" w:rsidP="003801CC">
      <w:pPr>
        <w:autoSpaceDE w:val="0"/>
        <w:autoSpaceDN w:val="0"/>
        <w:adjustRightInd w:val="0"/>
        <w:ind w:left="198" w:firstLineChars="200" w:firstLine="643"/>
        <w:jc w:val="left"/>
        <w:rPr>
          <w:rFonts w:ascii="仿宋" w:eastAsia="仿宋" w:hAnsi="仿宋"/>
          <w:b/>
          <w:sz w:val="32"/>
          <w:szCs w:val="32"/>
        </w:rPr>
      </w:pPr>
      <w:bookmarkStart w:id="1" w:name="_Toc477787704"/>
      <w:r w:rsidRPr="003801CC">
        <w:rPr>
          <w:rFonts w:ascii="仿宋" w:eastAsia="仿宋" w:hAnsi="仿宋" w:hint="eastAsia"/>
          <w:b/>
          <w:sz w:val="32"/>
          <w:szCs w:val="32"/>
        </w:rPr>
        <w:t>五、绩效预算信息</w:t>
      </w:r>
    </w:p>
    <w:p w:rsidR="009871E1" w:rsidRDefault="006C7234">
      <w:pPr>
        <w:jc w:val="center"/>
        <w:outlineLvl w:val="0"/>
        <w:rPr>
          <w:rFonts w:ascii="仿宋" w:eastAsia="仿宋" w:hAnsi="仿宋" w:cs="宋体"/>
          <w:kern w:val="0"/>
          <w:sz w:val="32"/>
          <w:szCs w:val="32"/>
          <w:lang w:val="zh-CN"/>
        </w:rPr>
      </w:pPr>
      <w:r>
        <w:rPr>
          <w:rFonts w:ascii="仿宋" w:eastAsia="仿宋" w:hAnsi="仿宋" w:cs="宋体" w:hint="eastAsia"/>
          <w:kern w:val="0"/>
          <w:sz w:val="32"/>
          <w:szCs w:val="32"/>
          <w:lang w:val="zh-CN"/>
        </w:rPr>
        <w:t>工作活动绩效目标</w:t>
      </w:r>
      <w:bookmarkEnd w:id="1"/>
    </w:p>
    <w:p w:rsidR="009871E1" w:rsidRDefault="009871E1">
      <w:pPr>
        <w:spacing w:line="300" w:lineRule="exact"/>
        <w:jc w:val="left"/>
        <w:outlineLvl w:val="0"/>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9871E1">
        <w:trPr>
          <w:trHeight w:val="54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9871E1" w:rsidRDefault="006C7234">
            <w:pPr>
              <w:spacing w:line="300" w:lineRule="exact"/>
              <w:jc w:val="left"/>
              <w:rPr>
                <w:rFonts w:ascii="方正小标宋_GBK" w:eastAsia="方正小标宋_GBK"/>
                <w:sz w:val="24"/>
              </w:rPr>
            </w:pPr>
            <w:r>
              <w:rPr>
                <w:rFonts w:ascii="方正小标宋_GBK" w:eastAsia="方正小标宋_GBK"/>
                <w:sz w:val="24"/>
              </w:rPr>
              <w:t>324</w:t>
            </w:r>
            <w:r>
              <w:rPr>
                <w:rFonts w:ascii="方正小标宋_GBK" w:eastAsia="方正小标宋_GBK" w:hint="eastAsia"/>
                <w:sz w:val="24"/>
              </w:rPr>
              <w:t>国土局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9871E1" w:rsidRDefault="006C7234">
            <w:pPr>
              <w:spacing w:line="300" w:lineRule="exact"/>
              <w:jc w:val="right"/>
              <w:rPr>
                <w:rFonts w:ascii="方正书宋_GBK" w:eastAsia="方正书宋_GBK"/>
                <w:sz w:val="24"/>
              </w:rPr>
            </w:pPr>
            <w:r>
              <w:rPr>
                <w:rFonts w:ascii="方正书宋_GBK" w:eastAsia="方正书宋_GBK" w:hint="eastAsia"/>
                <w:sz w:val="24"/>
              </w:rPr>
              <w:t>单位：万元</w:t>
            </w:r>
          </w:p>
        </w:tc>
      </w:tr>
      <w:tr w:rsidR="009871E1">
        <w:trPr>
          <w:trHeight w:val="227"/>
          <w:tblHeader/>
          <w:jc w:val="center"/>
        </w:trPr>
        <w:tc>
          <w:tcPr>
            <w:tcW w:w="2341" w:type="dxa"/>
            <w:vMerge w:val="restart"/>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评价标准</w:t>
            </w:r>
          </w:p>
        </w:tc>
      </w:tr>
      <w:tr w:rsidR="009871E1">
        <w:trPr>
          <w:trHeight w:val="227"/>
          <w:tblHeader/>
          <w:jc w:val="center"/>
        </w:trPr>
        <w:tc>
          <w:tcPr>
            <w:tcW w:w="2341" w:type="dxa"/>
            <w:vMerge/>
            <w:shd w:val="clear" w:color="auto" w:fill="auto"/>
            <w:vAlign w:val="center"/>
          </w:tcPr>
          <w:p w:rsidR="009871E1" w:rsidRDefault="009871E1">
            <w:pPr>
              <w:spacing w:line="300" w:lineRule="exact"/>
              <w:jc w:val="left"/>
              <w:outlineLvl w:val="0"/>
            </w:pPr>
          </w:p>
        </w:tc>
        <w:tc>
          <w:tcPr>
            <w:tcW w:w="1276" w:type="dxa"/>
            <w:vMerge/>
            <w:shd w:val="clear" w:color="auto" w:fill="auto"/>
            <w:vAlign w:val="center"/>
          </w:tcPr>
          <w:p w:rsidR="009871E1" w:rsidRDefault="009871E1">
            <w:pPr>
              <w:spacing w:line="300" w:lineRule="exact"/>
              <w:jc w:val="left"/>
              <w:outlineLvl w:val="0"/>
            </w:pPr>
          </w:p>
        </w:tc>
        <w:tc>
          <w:tcPr>
            <w:tcW w:w="2976" w:type="dxa"/>
            <w:vMerge/>
            <w:shd w:val="clear" w:color="auto" w:fill="auto"/>
            <w:vAlign w:val="center"/>
          </w:tcPr>
          <w:p w:rsidR="009871E1" w:rsidRDefault="009871E1">
            <w:pPr>
              <w:spacing w:line="300" w:lineRule="exact"/>
              <w:jc w:val="left"/>
              <w:outlineLvl w:val="0"/>
            </w:pPr>
          </w:p>
        </w:tc>
        <w:tc>
          <w:tcPr>
            <w:tcW w:w="2976" w:type="dxa"/>
            <w:vMerge/>
            <w:shd w:val="clear" w:color="auto" w:fill="auto"/>
            <w:vAlign w:val="center"/>
          </w:tcPr>
          <w:p w:rsidR="009871E1" w:rsidRDefault="009871E1">
            <w:pPr>
              <w:spacing w:line="300" w:lineRule="exact"/>
              <w:jc w:val="left"/>
              <w:outlineLvl w:val="0"/>
            </w:pPr>
          </w:p>
        </w:tc>
        <w:tc>
          <w:tcPr>
            <w:tcW w:w="1417" w:type="dxa"/>
            <w:vMerge/>
            <w:shd w:val="clear" w:color="auto" w:fill="auto"/>
            <w:vAlign w:val="center"/>
          </w:tcPr>
          <w:p w:rsidR="009871E1" w:rsidRDefault="009871E1">
            <w:pPr>
              <w:spacing w:line="300" w:lineRule="exact"/>
              <w:jc w:val="left"/>
              <w:outlineLvl w:val="0"/>
            </w:pPr>
          </w:p>
        </w:tc>
        <w:tc>
          <w:tcPr>
            <w:tcW w:w="737" w:type="dxa"/>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9871E1" w:rsidRDefault="006C7234">
            <w:pPr>
              <w:spacing w:line="300" w:lineRule="exact"/>
              <w:jc w:val="center"/>
              <w:rPr>
                <w:rFonts w:ascii="方正书宋_GBK" w:eastAsia="方正书宋_GBK"/>
                <w:b/>
              </w:rPr>
            </w:pPr>
            <w:r>
              <w:rPr>
                <w:rFonts w:ascii="方正书宋_GBK" w:eastAsia="方正书宋_GBK" w:hint="eastAsia"/>
                <w:b/>
              </w:rPr>
              <w:t>差</w:t>
            </w:r>
          </w:p>
        </w:tc>
      </w:tr>
      <w:tr w:rsidR="009871E1">
        <w:trPr>
          <w:trHeight w:val="227"/>
          <w:jc w:val="center"/>
        </w:trPr>
        <w:tc>
          <w:tcPr>
            <w:tcW w:w="2341" w:type="dxa"/>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土地资源管理</w:t>
            </w:r>
          </w:p>
        </w:tc>
        <w:tc>
          <w:tcPr>
            <w:tcW w:w="12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rPr>
              <w:t>3287.45</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组织实施耕地与基本农田保护工作</w:t>
            </w:r>
            <w:r>
              <w:rPr>
                <w:rFonts w:ascii="方正书宋_GBK" w:eastAsia="方正书宋_GBK"/>
              </w:rPr>
              <w:t>,</w:t>
            </w:r>
            <w:r>
              <w:rPr>
                <w:rFonts w:ascii="方正书宋_GBK" w:eastAsia="方正书宋_GBK" w:hint="eastAsia"/>
              </w:rPr>
              <w:t>组织建设用地审批，做好地籍管理工作和土地利用管理工作。</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实现基本农田面积不减少，各行业合理用地需求得到保障，及时掌握全县城乡土地变更信息，进一步提高土地节约集约利用水平。</w:t>
            </w:r>
          </w:p>
        </w:tc>
        <w:tc>
          <w:tcPr>
            <w:tcW w:w="1417" w:type="dxa"/>
            <w:shd w:val="clear" w:color="auto" w:fill="auto"/>
            <w:vAlign w:val="center"/>
          </w:tcPr>
          <w:p w:rsidR="009871E1" w:rsidRDefault="009871E1">
            <w:pPr>
              <w:spacing w:line="300" w:lineRule="exact"/>
              <w:jc w:val="left"/>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耕地与基本农田保护</w:t>
            </w:r>
          </w:p>
        </w:tc>
        <w:tc>
          <w:tcPr>
            <w:tcW w:w="12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rPr>
              <w:t>702.00</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开展全县基本农田保护和土地整理、复垦、开发工作，监测耕地质量等边变化，研究耕地保护相关制度。</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实现全县基本农田面积不减少，确保全县耕地占补平衡，掌握全县耕地质量变化情况。</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耕地质量等别更新与检测完成率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土地复垦方案审查通过率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占补平衡面积实测率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&lt;85%</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总量平衡面积实测率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&lt;85%</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占补平衡数据准确率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&lt;85%</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总量平衡数据准确率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&lt;85%</w:t>
            </w: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地籍管理</w:t>
            </w:r>
          </w:p>
        </w:tc>
        <w:tc>
          <w:tcPr>
            <w:tcW w:w="12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rPr>
              <w:t>228.09</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开展农村集体土地确权登记发证与土地变更调查，组织全县的不动产统一登记工作，调查掌握全县耕地后备资源。</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保持全县土地变更数据的现势性和连续性，为国土资源各类审批业务提供数据和图件支持；实现农村集体土地确权登记发证和不动产登记业务流程的信息化和规范化；掌握全县耕地后备资源的分布情况，为后续资源的利用奠定基础</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土地变更调查完成率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地籍管理完成率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&lt;80%</w:t>
            </w: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土地利用管理</w:t>
            </w:r>
          </w:p>
        </w:tc>
        <w:tc>
          <w:tcPr>
            <w:tcW w:w="12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rPr>
              <w:t>2357.36</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监测全县地价和土地市场动态，管理和监督城乡建设用地供应、政府土地储备、土地开发和节约集约利用，组织实施城乡建设用地增减挂钩。</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对全县地价和土地市场进行动态监测，为县政府宏观调控和稳定土地市场提供决策依据；掌握评价土地利用现状和节约集约程度，为科学管地用地提供依据。</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评价成果县级汇总与分析更新完成情况</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城乡建设用地增减挂钩工作完成率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利用现状掌握率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监测分析工作次数</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&lt;2</w:t>
            </w:r>
          </w:p>
        </w:tc>
      </w:tr>
      <w:tr w:rsidR="009871E1">
        <w:trPr>
          <w:trHeight w:val="227"/>
          <w:jc w:val="center"/>
        </w:trPr>
        <w:tc>
          <w:tcPr>
            <w:tcW w:w="2341" w:type="dxa"/>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矿产资源管理与地质环境保护</w:t>
            </w:r>
          </w:p>
        </w:tc>
        <w:tc>
          <w:tcPr>
            <w:tcW w:w="1276" w:type="dxa"/>
            <w:shd w:val="clear" w:color="auto" w:fill="auto"/>
            <w:vAlign w:val="center"/>
          </w:tcPr>
          <w:p w:rsidR="009871E1" w:rsidRDefault="009871E1">
            <w:pPr>
              <w:spacing w:line="300" w:lineRule="exact"/>
              <w:jc w:val="left"/>
              <w:rPr>
                <w:rFonts w:ascii="方正书宋_GBK" w:eastAsia="方正书宋_GBK"/>
              </w:rPr>
            </w:pP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负责全县矿产资源开发管理，组织实施矿产资源勘查，推动地质灾害防治地质环境恢复治</w:t>
            </w:r>
            <w:r>
              <w:rPr>
                <w:rFonts w:ascii="方正书宋_GBK" w:eastAsia="方正书宋_GBK" w:hint="eastAsia"/>
              </w:rPr>
              <w:lastRenderedPageBreak/>
              <w:t>理和地质遗迹保护工作，开展地下水监测和地热、矿泉水管理。</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lastRenderedPageBreak/>
              <w:t>实现全县矿产资源开发管理科学合理；加强基础地质工作；管理好重要地质资料；稳步推</w:t>
            </w:r>
            <w:r>
              <w:rPr>
                <w:rFonts w:ascii="方正书宋_GBK" w:eastAsia="方正书宋_GBK" w:hint="eastAsia"/>
              </w:rPr>
              <w:lastRenderedPageBreak/>
              <w:t>进矿山地质环境治理攻坚行动；提高地质灾害预警预报能力；掌握地面沉降动态变化数据。</w:t>
            </w:r>
          </w:p>
        </w:tc>
        <w:tc>
          <w:tcPr>
            <w:tcW w:w="1417" w:type="dxa"/>
            <w:shd w:val="clear" w:color="auto" w:fill="auto"/>
            <w:vAlign w:val="center"/>
          </w:tcPr>
          <w:p w:rsidR="009871E1" w:rsidRDefault="009871E1">
            <w:pPr>
              <w:spacing w:line="300" w:lineRule="exact"/>
              <w:jc w:val="left"/>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lastRenderedPageBreak/>
              <w:t xml:space="preserve">　　矿产资源开发与保护</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组织实施矿业管理工作，矿产资源保护和保护性开采特定矿种的管理事项。</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为矿产开发管理工作和矿业经济分析提供数据基础；保证矿产资源开发利用方案的科学、合理、有效，把好资源开发利用的源头关；推进矿产资源合理勘查，减低勘查投资风险。</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矿产开发利用方案通过率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矿产勘查实施方案评审率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地质勘查</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组织全县矿产资源调查评价，编制地质勘查规划并监督检查执行情况，管理地质勘查项目，组织实施重大地质勘查项目，管理地质勘查行业和地勘单位资质，组织实施全县找矿突破战略行动</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加强我县基础地质和地质找矿工作，服务地质勘查行业，提高我县经济和社会发展资源保障程度，引导社会资本有序投入地质勘查，推进地质勘查项目管理管能力。</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地勘项目管理和监管工作完成率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勘查设计工作量完成率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矿产资源储量管理</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做好矿产资源储量评审、登记统计等工作。强化矿山资源储量动态监测管理，做好矿山督察，推广先进适用技术，推进矿产资源节约与综合利用。</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为矿产资源管理提供储量依据，维护国家矿产资源所有权益，掌控资源储量家底，提供宏观调控依据，为建设项目选址和压覆矿产资源调查提供决策依据，提高矿产资源综合利用能力，保护重要地质资料成果，降低地质工作风险，减少重复工作和资金浪费。</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矿产资源勘查和开发利用督察工作完成率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矿产资源储量管理基础工作完成率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地质资料管理工作完成率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地质环境保护</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开展全县地质环境综合调查评</w:t>
            </w:r>
            <w:r>
              <w:rPr>
                <w:rFonts w:ascii="方正书宋_GBK" w:eastAsia="方正书宋_GBK" w:hint="eastAsia"/>
              </w:rPr>
              <w:lastRenderedPageBreak/>
              <w:t>价</w:t>
            </w:r>
            <w:r>
              <w:rPr>
                <w:rFonts w:ascii="方正书宋_GBK" w:eastAsia="方正书宋_GBK"/>
              </w:rPr>
              <w:t>,</w:t>
            </w:r>
            <w:r>
              <w:rPr>
                <w:rFonts w:ascii="方正书宋_GBK" w:eastAsia="方正书宋_GBK" w:hint="eastAsia"/>
              </w:rPr>
              <w:t>加强矿山地质环境保护工作，开展矿山地质环境调查评价和监测</w:t>
            </w:r>
            <w:r>
              <w:rPr>
                <w:rFonts w:ascii="方正书宋_GBK" w:eastAsia="方正书宋_GBK"/>
              </w:rPr>
              <w:t>,</w:t>
            </w:r>
            <w:r>
              <w:rPr>
                <w:rFonts w:ascii="方正书宋_GBK" w:eastAsia="方正书宋_GBK" w:hint="eastAsia"/>
              </w:rPr>
              <w:t>建立矿山环境动态数据库；监督管理古生物化石、地质遗迹、矿业遗迹、海洋等重要保护区与保护地。</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lastRenderedPageBreak/>
              <w:t>掌握全县矿山环境动态变化，</w:t>
            </w:r>
            <w:r>
              <w:rPr>
                <w:rFonts w:ascii="方正书宋_GBK" w:eastAsia="方正书宋_GBK" w:hint="eastAsia"/>
              </w:rPr>
              <w:lastRenderedPageBreak/>
              <w:t>为矿山环境保护与管理提供基础数据；推进矿山环境治理攻坚行动有序开展；对重要地质遗迹进行有效保护。</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lastRenderedPageBreak/>
              <w:t>矿山环境整</w:t>
            </w:r>
            <w:r>
              <w:rPr>
                <w:rFonts w:ascii="方正书宋_GBK" w:eastAsia="方正书宋_GBK" w:hint="eastAsia"/>
              </w:rPr>
              <w:lastRenderedPageBreak/>
              <w:t>治完成率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lastRenderedPageBreak/>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地质遗迹保护率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矿山地质环境动态监测率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矿山环境动态数据库建设工作完成率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地质灾害防治</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组织实施地质灾害的防治工作，建立地质灾害调查评价、监测预警、应急和治理避让体系。</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提高地质灾害预警预报水平；做好汛期地质灾害防治工作，确保人民生命财产安全；为做好地质灾害防治工作提供科学依据。</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隐患点排查核查率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防治方案制定率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风险预警预报率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地质灾害预警预报能力</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&lt;85%</w:t>
            </w: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地下水监测与地热、矿泉水管理</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开展地下水和地面沉降监测，服务于地下水超采综合治理、地面沉降防治和地下水污染防治。开展地热、浅层地温能和矿泉水资源调查评价、监测与数据库建设。</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掌握年度全县地面沉降动态变化，为地下水压采和地面沉降防治提供基础数据。</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地下水监测率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&lt;85%</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地面沉降监测率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&lt;85%</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监测数据有效利用率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形成</w:t>
            </w: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未形成</w:t>
            </w:r>
          </w:p>
        </w:tc>
      </w:tr>
      <w:tr w:rsidR="009871E1">
        <w:trPr>
          <w:trHeight w:val="227"/>
          <w:jc w:val="center"/>
        </w:trPr>
        <w:tc>
          <w:tcPr>
            <w:tcW w:w="2341" w:type="dxa"/>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海洋资源管理</w:t>
            </w:r>
          </w:p>
        </w:tc>
        <w:tc>
          <w:tcPr>
            <w:tcW w:w="1276" w:type="dxa"/>
            <w:shd w:val="clear" w:color="auto" w:fill="auto"/>
            <w:vAlign w:val="center"/>
          </w:tcPr>
          <w:p w:rsidR="009871E1" w:rsidRDefault="009871E1">
            <w:pPr>
              <w:spacing w:line="300" w:lineRule="exact"/>
              <w:jc w:val="left"/>
              <w:rPr>
                <w:rFonts w:ascii="方正书宋_GBK" w:eastAsia="方正书宋_GBK"/>
              </w:rPr>
            </w:pP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加强海域使用、海洋环境保护及海洋综合管理工作。</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管理全县海岸线，科学合理用海；保护海洋环境，减少入海污染；保护海岛生态系统，合理利用海岛资源，及时掌握海</w:t>
            </w:r>
            <w:r>
              <w:rPr>
                <w:rFonts w:ascii="方正书宋_GBK" w:eastAsia="方正书宋_GBK" w:hint="eastAsia"/>
              </w:rPr>
              <w:lastRenderedPageBreak/>
              <w:t>洋经济发展动态。</w:t>
            </w:r>
          </w:p>
        </w:tc>
        <w:tc>
          <w:tcPr>
            <w:tcW w:w="1417" w:type="dxa"/>
            <w:shd w:val="clear" w:color="auto" w:fill="auto"/>
            <w:vAlign w:val="center"/>
          </w:tcPr>
          <w:p w:rsidR="009871E1" w:rsidRDefault="009871E1">
            <w:pPr>
              <w:spacing w:line="300" w:lineRule="exact"/>
              <w:jc w:val="left"/>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lastRenderedPageBreak/>
              <w:t xml:space="preserve">　　海域使用管理</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编制实施海洋功能区划和海岸保护利用规划，开展海域海岸带整治使用修复工作。</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做好海域海岸带整治修复工作；监测海岸线和重要河口等空间资源利用情况。</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海域使用监测率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监视监测海域使用情况信息及时掌握率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海域海岸带整治修复工作完成率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海洋生态环境保护与预报减灾</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强化重点海洋环境综合整治和海洋环境监视监测工作，开展海洋防灾减灾与生态保护工作，编制专项环境信息。</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监测与评价海域环境质量现状，全面近岸海域环境质量状况、海洋功能区环境状况、近岸生态系统健康状况和主要入海污染源状况。掌握我所辖海域海洋水文气象状况，为海洋防灾减灾提供技术支撑。</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海洋环境监测数据数量完成率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监测数据合格率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&lt;70%</w:t>
            </w: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海岛管理和海洋经济服务</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加强海岛监视监测，保护海岛生态系统，合理开发利用海岛自然资源。开展海洋经济发展研究，做好海洋经济运行监测评估、统计分析和信息发布。</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海岛生态环境不断改善，开发利用秩序日益规范，自然资源开发利用科学合理。海洋经济发展情况掌握及时。</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海岛监视监测率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&lt;60%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海洋经济发展研究工作完成率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海洋经济运行监测评估、统计分析和信息发布工作完成率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海岛生态环</w:t>
            </w:r>
            <w:r>
              <w:rPr>
                <w:rFonts w:ascii="方正书宋_GBK" w:eastAsia="方正书宋_GBK" w:hint="eastAsia"/>
              </w:rPr>
              <w:lastRenderedPageBreak/>
              <w:t>境保护修复率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lastRenderedPageBreak/>
              <w:t>&lt;90%</w:t>
            </w:r>
          </w:p>
        </w:tc>
      </w:tr>
      <w:tr w:rsidR="009871E1">
        <w:trPr>
          <w:trHeight w:val="227"/>
          <w:jc w:val="center"/>
        </w:trPr>
        <w:tc>
          <w:tcPr>
            <w:tcW w:w="2341" w:type="dxa"/>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lastRenderedPageBreak/>
              <w:t>国土资源执法与监察</w:t>
            </w:r>
          </w:p>
        </w:tc>
        <w:tc>
          <w:tcPr>
            <w:tcW w:w="1276" w:type="dxa"/>
            <w:shd w:val="clear" w:color="auto" w:fill="auto"/>
            <w:vAlign w:val="center"/>
          </w:tcPr>
          <w:p w:rsidR="009871E1" w:rsidRDefault="009871E1">
            <w:pPr>
              <w:spacing w:line="300" w:lineRule="exact"/>
              <w:jc w:val="left"/>
              <w:rPr>
                <w:rFonts w:ascii="方正书宋_GBK" w:eastAsia="方正书宋_GBK"/>
              </w:rPr>
            </w:pP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强化全县国土资源执法监察工作</w:t>
            </w:r>
            <w:r>
              <w:rPr>
                <w:rFonts w:ascii="方正书宋_GBK" w:eastAsia="方正书宋_GBK"/>
              </w:rPr>
              <w:t>,</w:t>
            </w:r>
            <w:r>
              <w:rPr>
                <w:rFonts w:ascii="方正书宋_GBK" w:eastAsia="方正书宋_GBK" w:hint="eastAsia"/>
              </w:rPr>
              <w:t>提高国土资源执法能力。</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执法检查落实在日常，及时发现、制止违法行为，重大专项执法工作按量按质完成，维护群众合法权益。</w:t>
            </w:r>
          </w:p>
        </w:tc>
        <w:tc>
          <w:tcPr>
            <w:tcW w:w="1417" w:type="dxa"/>
            <w:shd w:val="clear" w:color="auto" w:fill="auto"/>
            <w:vAlign w:val="center"/>
          </w:tcPr>
          <w:p w:rsidR="009871E1" w:rsidRDefault="009871E1">
            <w:pPr>
              <w:spacing w:line="300" w:lineRule="exact"/>
              <w:jc w:val="left"/>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r>
      <w:tr w:rsidR="009871E1">
        <w:trPr>
          <w:trHeight w:val="227"/>
          <w:jc w:val="center"/>
        </w:trPr>
        <w:tc>
          <w:tcPr>
            <w:tcW w:w="2341" w:type="dxa"/>
            <w:vMerge w:val="restart"/>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国土资源执法监察</w:t>
            </w:r>
          </w:p>
        </w:tc>
        <w:tc>
          <w:tcPr>
            <w:tcW w:w="1276" w:type="dxa"/>
            <w:vMerge w:val="restart"/>
            <w:shd w:val="clear" w:color="auto" w:fill="auto"/>
            <w:vAlign w:val="center"/>
          </w:tcPr>
          <w:p w:rsidR="009871E1" w:rsidRDefault="009871E1">
            <w:pPr>
              <w:spacing w:line="300" w:lineRule="exact"/>
              <w:jc w:val="left"/>
              <w:rPr>
                <w:rFonts w:ascii="方正书宋_GBK" w:eastAsia="方正书宋_GBK"/>
              </w:rPr>
            </w:pP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vMerge w:val="restart"/>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加强日常执法监管，将违法解决在初始、遏制在萌芽；做好重点执法专项行动，严厉打击违法，维护群众合法权益。</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基础性保障项目完成率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专项执法工作完成率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举报线索处置率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vMerge/>
            <w:shd w:val="clear" w:color="auto" w:fill="auto"/>
            <w:vAlign w:val="center"/>
          </w:tcPr>
          <w:p w:rsidR="009871E1" w:rsidRDefault="009871E1">
            <w:pPr>
              <w:spacing w:line="300" w:lineRule="exact"/>
              <w:jc w:val="left"/>
              <w:rPr>
                <w:rFonts w:ascii="方正书宋_GBK" w:eastAsia="方正书宋_GBK"/>
                <w:b/>
              </w:rPr>
            </w:pPr>
          </w:p>
        </w:tc>
        <w:tc>
          <w:tcPr>
            <w:tcW w:w="12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2976" w:type="dxa"/>
            <w:vMerge/>
            <w:shd w:val="clear" w:color="auto" w:fill="auto"/>
            <w:vAlign w:val="center"/>
          </w:tcPr>
          <w:p w:rsidR="009871E1" w:rsidRDefault="009871E1">
            <w:pPr>
              <w:spacing w:line="300" w:lineRule="exact"/>
              <w:jc w:val="left"/>
              <w:rPr>
                <w:rFonts w:ascii="方正书宋_GBK" w:eastAsia="方正书宋_GBK"/>
              </w:rPr>
            </w:pP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重大典型违法案件调查反馈率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&lt;85%</w:t>
            </w:r>
          </w:p>
        </w:tc>
      </w:tr>
      <w:tr w:rsidR="009871E1">
        <w:trPr>
          <w:trHeight w:val="227"/>
          <w:jc w:val="center"/>
        </w:trPr>
        <w:tc>
          <w:tcPr>
            <w:tcW w:w="2341" w:type="dxa"/>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国土资源政务管理</w:t>
            </w:r>
          </w:p>
        </w:tc>
        <w:tc>
          <w:tcPr>
            <w:tcW w:w="12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rPr>
              <w:t>1100.00</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负责国土资源系统综合业务管理和机关综合事务管理。</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进一步增强国土资源（海洋）管理保障能力。</w:t>
            </w:r>
          </w:p>
        </w:tc>
        <w:tc>
          <w:tcPr>
            <w:tcW w:w="1417" w:type="dxa"/>
            <w:shd w:val="clear" w:color="auto" w:fill="auto"/>
            <w:vAlign w:val="center"/>
          </w:tcPr>
          <w:p w:rsidR="009871E1" w:rsidRDefault="009871E1">
            <w:pPr>
              <w:spacing w:line="300" w:lineRule="exact"/>
              <w:jc w:val="left"/>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c>
          <w:tcPr>
            <w:tcW w:w="737" w:type="dxa"/>
            <w:shd w:val="clear" w:color="auto" w:fill="auto"/>
            <w:vAlign w:val="center"/>
          </w:tcPr>
          <w:p w:rsidR="009871E1" w:rsidRDefault="009871E1">
            <w:pPr>
              <w:spacing w:line="300" w:lineRule="exact"/>
              <w:jc w:val="center"/>
              <w:rPr>
                <w:rFonts w:ascii="方正书宋_GBK" w:eastAsia="方正书宋_GBK"/>
              </w:rPr>
            </w:pPr>
          </w:p>
        </w:tc>
      </w:tr>
      <w:tr w:rsidR="009871E1">
        <w:trPr>
          <w:trHeight w:val="227"/>
          <w:jc w:val="center"/>
        </w:trPr>
        <w:tc>
          <w:tcPr>
            <w:tcW w:w="2341" w:type="dxa"/>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rPr>
              <w:t>300.00</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制定编制全县国土资源规划，落实相关政策法规，开展国土资源科技发展研究等。</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规范做好国土资源（海洋）各类规划编制和实施，用地计划、用地预审管理，绿色矿山、示范基地建设，全面推行国土资源（海洋）工作依法行政，推动普法工作落实推进国土资源（海洋）科技的应用和推广。</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r w:rsidR="009871E1">
        <w:trPr>
          <w:trHeight w:val="227"/>
          <w:jc w:val="center"/>
        </w:trPr>
        <w:tc>
          <w:tcPr>
            <w:tcW w:w="2341" w:type="dxa"/>
            <w:shd w:val="clear" w:color="auto" w:fill="auto"/>
            <w:vAlign w:val="center"/>
          </w:tcPr>
          <w:p w:rsidR="009871E1" w:rsidRDefault="006C7234">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rPr>
              <w:t>800.00</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做好国土资源相关综合性事务管理，保证行政工作高效有序运行。</w:t>
            </w:r>
          </w:p>
        </w:tc>
        <w:tc>
          <w:tcPr>
            <w:tcW w:w="2976"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提高国土资源（海洋）事业发展保障能力。</w:t>
            </w:r>
          </w:p>
        </w:tc>
        <w:tc>
          <w:tcPr>
            <w:tcW w:w="1417" w:type="dxa"/>
            <w:shd w:val="clear" w:color="auto" w:fill="auto"/>
            <w:vAlign w:val="center"/>
          </w:tcPr>
          <w:p w:rsidR="009871E1" w:rsidRDefault="006C7234">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9871E1" w:rsidRDefault="006C7234">
            <w:pPr>
              <w:spacing w:line="300" w:lineRule="exact"/>
              <w:jc w:val="center"/>
              <w:rPr>
                <w:rFonts w:ascii="方正书宋_GBK" w:eastAsia="方正书宋_GBK"/>
              </w:rPr>
            </w:pPr>
            <w:r>
              <w:rPr>
                <w:rFonts w:ascii="方正书宋_GBK" w:eastAsia="方正书宋_GBK"/>
              </w:rPr>
              <w:t>&lt;90%</w:t>
            </w:r>
          </w:p>
        </w:tc>
      </w:tr>
    </w:tbl>
    <w:p w:rsidR="009871E1" w:rsidRDefault="009871E1">
      <w:pPr>
        <w:spacing w:line="300" w:lineRule="exact"/>
        <w:jc w:val="left"/>
        <w:outlineLvl w:val="0"/>
        <w:sectPr w:rsidR="009871E1">
          <w:pgSz w:w="16839" w:h="11907" w:orient="landscape"/>
          <w:pgMar w:top="1020" w:right="1361" w:bottom="1020" w:left="1361" w:header="851" w:footer="992" w:gutter="0"/>
          <w:cols w:space="425"/>
          <w:docGrid w:type="lines" w:linePitch="312"/>
        </w:sectPr>
      </w:pPr>
    </w:p>
    <w:p w:rsidR="009871E1" w:rsidRDefault="003801CC">
      <w:pPr>
        <w:ind w:firstLineChars="224" w:firstLine="720"/>
        <w:rPr>
          <w:rFonts w:ascii="仿宋" w:eastAsia="仿宋" w:hAnsi="仿宋"/>
          <w:b/>
          <w:sz w:val="32"/>
        </w:rPr>
      </w:pPr>
      <w:r>
        <w:rPr>
          <w:rFonts w:ascii="仿宋" w:eastAsia="仿宋" w:hAnsi="仿宋" w:hint="eastAsia"/>
          <w:b/>
          <w:sz w:val="32"/>
          <w:szCs w:val="32"/>
        </w:rPr>
        <w:lastRenderedPageBreak/>
        <w:t>六</w:t>
      </w:r>
      <w:r w:rsidR="006C7234">
        <w:rPr>
          <w:rFonts w:ascii="仿宋" w:eastAsia="仿宋" w:hAnsi="仿宋" w:hint="eastAsia"/>
          <w:b/>
          <w:sz w:val="32"/>
          <w:szCs w:val="32"/>
        </w:rPr>
        <w:t>、</w:t>
      </w:r>
      <w:r w:rsidR="006C7234">
        <w:rPr>
          <w:rFonts w:ascii="仿宋" w:eastAsia="仿宋" w:hAnsi="仿宋" w:hint="eastAsia"/>
          <w:b/>
          <w:sz w:val="32"/>
        </w:rPr>
        <w:t>政府采购预算情况</w:t>
      </w:r>
    </w:p>
    <w:p w:rsidR="009871E1" w:rsidRDefault="006C7234" w:rsidP="006C7234">
      <w:pPr>
        <w:ind w:firstLineChars="224" w:firstLine="717"/>
        <w:rPr>
          <w:rFonts w:ascii="仿宋" w:eastAsia="仿宋" w:hAnsi="仿宋"/>
          <w:b/>
          <w:color w:val="FF0000"/>
          <w:sz w:val="32"/>
          <w:szCs w:val="32"/>
        </w:rPr>
      </w:pPr>
      <w:r>
        <w:rPr>
          <w:rFonts w:ascii="仿宋" w:eastAsia="仿宋" w:hAnsi="仿宋"/>
          <w:sz w:val="32"/>
          <w:szCs w:val="32"/>
        </w:rPr>
        <w:t>201</w:t>
      </w:r>
      <w:r>
        <w:rPr>
          <w:rFonts w:ascii="仿宋" w:eastAsia="仿宋" w:hAnsi="仿宋" w:hint="eastAsia"/>
          <w:sz w:val="32"/>
          <w:szCs w:val="32"/>
        </w:rPr>
        <w:t>7年我单位未安排政府采购事宜。</w:t>
      </w:r>
    </w:p>
    <w:p w:rsidR="009871E1" w:rsidRDefault="003801CC">
      <w:pPr>
        <w:ind w:firstLineChars="224" w:firstLine="720"/>
        <w:rPr>
          <w:rFonts w:ascii="仿宋" w:eastAsia="仿宋" w:hAnsi="仿宋"/>
          <w:b/>
          <w:color w:val="FF0000"/>
          <w:sz w:val="32"/>
        </w:rPr>
      </w:pPr>
      <w:r>
        <w:rPr>
          <w:rFonts w:ascii="仿宋" w:eastAsia="仿宋" w:hAnsi="仿宋" w:hint="eastAsia"/>
          <w:b/>
          <w:sz w:val="32"/>
        </w:rPr>
        <w:t>七</w:t>
      </w:r>
      <w:r w:rsidR="006C7234">
        <w:rPr>
          <w:rFonts w:ascii="仿宋" w:eastAsia="仿宋" w:hAnsi="仿宋" w:hint="eastAsia"/>
          <w:b/>
          <w:sz w:val="32"/>
        </w:rPr>
        <w:t>、国有资产信息</w:t>
      </w:r>
    </w:p>
    <w:p w:rsidR="009871E1" w:rsidRDefault="006C7234" w:rsidP="006C7234">
      <w:pPr>
        <w:ind w:firstLineChars="224" w:firstLine="717"/>
        <w:rPr>
          <w:rFonts w:ascii="仿宋" w:eastAsia="仿宋" w:hAnsi="仿宋"/>
          <w:sz w:val="32"/>
        </w:rPr>
      </w:pPr>
      <w:r>
        <w:rPr>
          <w:rFonts w:ascii="仿宋" w:eastAsia="仿宋" w:hAnsi="仿宋" w:hint="eastAsia"/>
          <w:sz w:val="32"/>
        </w:rPr>
        <w:t>截止</w:t>
      </w:r>
      <w:r>
        <w:rPr>
          <w:rFonts w:ascii="仿宋" w:eastAsia="仿宋" w:hAnsi="仿宋"/>
          <w:sz w:val="32"/>
        </w:rPr>
        <w:t>2016</w:t>
      </w:r>
      <w:r>
        <w:rPr>
          <w:rFonts w:ascii="仿宋" w:eastAsia="仿宋" w:hAnsi="仿宋" w:hint="eastAsia"/>
          <w:sz w:val="32"/>
        </w:rPr>
        <w:t>年末，我单位资产总额为441.8776万元，其中：车辆2台，价值</w:t>
      </w:r>
      <w:r>
        <w:rPr>
          <w:rFonts w:ascii="仿宋" w:eastAsia="仿宋" w:hAnsi="仿宋"/>
          <w:sz w:val="32"/>
        </w:rPr>
        <w:t>3</w:t>
      </w:r>
      <w:r>
        <w:rPr>
          <w:rFonts w:ascii="仿宋" w:eastAsia="仿宋" w:hAnsi="仿宋" w:hint="eastAsia"/>
          <w:sz w:val="32"/>
        </w:rPr>
        <w:t>4.8万元，其他固定资产407.0776万元。</w:t>
      </w:r>
    </w:p>
    <w:tbl>
      <w:tblPr>
        <w:tblW w:w="12760" w:type="dxa"/>
        <w:tblInd w:w="108" w:type="dxa"/>
        <w:tblLayout w:type="fixed"/>
        <w:tblCellMar>
          <w:top w:w="15" w:type="dxa"/>
          <w:bottom w:w="15" w:type="dxa"/>
        </w:tblCellMar>
        <w:tblLook w:val="04A0"/>
      </w:tblPr>
      <w:tblGrid>
        <w:gridCol w:w="5460"/>
        <w:gridCol w:w="580"/>
        <w:gridCol w:w="1680"/>
        <w:gridCol w:w="1680"/>
        <w:gridCol w:w="1680"/>
        <w:gridCol w:w="1680"/>
      </w:tblGrid>
      <w:tr w:rsidR="009871E1">
        <w:trPr>
          <w:gridAfter w:val="3"/>
          <w:wAfter w:w="5040" w:type="dxa"/>
          <w:trHeight w:val="540"/>
        </w:trPr>
        <w:tc>
          <w:tcPr>
            <w:tcW w:w="5460" w:type="dxa"/>
            <w:tcBorders>
              <w:top w:val="nil"/>
              <w:left w:val="nil"/>
              <w:bottom w:val="nil"/>
              <w:right w:val="nil"/>
            </w:tcBorders>
            <w:vAlign w:val="bottom"/>
          </w:tcPr>
          <w:p w:rsidR="009871E1" w:rsidRDefault="009871E1">
            <w:pPr>
              <w:widowControl/>
              <w:jc w:val="left"/>
              <w:rPr>
                <w:rFonts w:ascii="宋体" w:hAnsi="宋体" w:cs="宋体"/>
                <w:kern w:val="0"/>
                <w:sz w:val="20"/>
                <w:szCs w:val="20"/>
              </w:rPr>
            </w:pPr>
          </w:p>
          <w:p w:rsidR="009871E1" w:rsidRDefault="006C7234">
            <w:pPr>
              <w:widowControl/>
              <w:jc w:val="right"/>
              <w:rPr>
                <w:rFonts w:ascii="宋体" w:hAnsi="宋体" w:cs="宋体"/>
                <w:kern w:val="0"/>
                <w:sz w:val="48"/>
                <w:szCs w:val="48"/>
              </w:rPr>
            </w:pPr>
            <w:r>
              <w:rPr>
                <w:rFonts w:ascii="宋体" w:hAnsi="宋体" w:cs="宋体" w:hint="eastAsia"/>
                <w:kern w:val="0"/>
                <w:sz w:val="48"/>
                <w:szCs w:val="48"/>
              </w:rPr>
              <w:t>资产情况表</w:t>
            </w:r>
          </w:p>
        </w:tc>
        <w:tc>
          <w:tcPr>
            <w:tcW w:w="58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c>
          <w:tcPr>
            <w:tcW w:w="168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r>
      <w:tr w:rsidR="009871E1">
        <w:trPr>
          <w:trHeight w:val="300"/>
        </w:trPr>
        <w:tc>
          <w:tcPr>
            <w:tcW w:w="546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c>
          <w:tcPr>
            <w:tcW w:w="58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c>
          <w:tcPr>
            <w:tcW w:w="168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c>
          <w:tcPr>
            <w:tcW w:w="168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c>
          <w:tcPr>
            <w:tcW w:w="168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c>
          <w:tcPr>
            <w:tcW w:w="168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r>
      <w:tr w:rsidR="009871E1">
        <w:trPr>
          <w:trHeight w:val="300"/>
        </w:trPr>
        <w:tc>
          <w:tcPr>
            <w:tcW w:w="5460" w:type="dxa"/>
            <w:tcBorders>
              <w:top w:val="nil"/>
              <w:left w:val="nil"/>
              <w:bottom w:val="nil"/>
              <w:right w:val="nil"/>
            </w:tcBorders>
            <w:vAlign w:val="bottom"/>
          </w:tcPr>
          <w:p w:rsidR="009871E1" w:rsidRDefault="006C7234">
            <w:pPr>
              <w:widowControl/>
              <w:jc w:val="left"/>
              <w:rPr>
                <w:rFonts w:ascii="宋体" w:hAnsi="宋体" w:cs="Arial"/>
                <w:color w:val="000000"/>
                <w:kern w:val="0"/>
                <w:sz w:val="24"/>
              </w:rPr>
            </w:pPr>
            <w:r>
              <w:rPr>
                <w:rFonts w:ascii="宋体" w:hAnsi="宋体" w:cs="Arial" w:hint="eastAsia"/>
                <w:color w:val="000000"/>
                <w:kern w:val="0"/>
                <w:sz w:val="24"/>
              </w:rPr>
              <w:t>编制单位：平乡县国土资源局</w:t>
            </w:r>
          </w:p>
        </w:tc>
        <w:tc>
          <w:tcPr>
            <w:tcW w:w="580" w:type="dxa"/>
            <w:tcBorders>
              <w:top w:val="nil"/>
              <w:left w:val="nil"/>
              <w:bottom w:val="nil"/>
              <w:right w:val="nil"/>
            </w:tcBorders>
            <w:vAlign w:val="bottom"/>
          </w:tcPr>
          <w:p w:rsidR="009871E1" w:rsidRDefault="009871E1">
            <w:pPr>
              <w:widowControl/>
              <w:jc w:val="left"/>
              <w:rPr>
                <w:rFonts w:ascii="宋体" w:hAnsi="宋体" w:cs="Arial"/>
                <w:color w:val="000000"/>
                <w:kern w:val="0"/>
                <w:sz w:val="24"/>
              </w:rPr>
            </w:pPr>
          </w:p>
        </w:tc>
        <w:tc>
          <w:tcPr>
            <w:tcW w:w="168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c>
          <w:tcPr>
            <w:tcW w:w="1680" w:type="dxa"/>
            <w:tcBorders>
              <w:top w:val="nil"/>
              <w:left w:val="nil"/>
              <w:bottom w:val="nil"/>
              <w:right w:val="nil"/>
            </w:tcBorders>
            <w:vAlign w:val="bottom"/>
          </w:tcPr>
          <w:p w:rsidR="009871E1" w:rsidRDefault="009871E1">
            <w:pPr>
              <w:widowControl/>
              <w:jc w:val="left"/>
              <w:rPr>
                <w:rFonts w:eastAsia="Times New Roman"/>
                <w:kern w:val="0"/>
                <w:sz w:val="20"/>
                <w:szCs w:val="20"/>
              </w:rPr>
            </w:pPr>
          </w:p>
        </w:tc>
        <w:tc>
          <w:tcPr>
            <w:tcW w:w="1680" w:type="dxa"/>
            <w:tcBorders>
              <w:top w:val="nil"/>
              <w:left w:val="nil"/>
              <w:bottom w:val="nil"/>
              <w:right w:val="nil"/>
            </w:tcBorders>
            <w:vAlign w:val="bottom"/>
          </w:tcPr>
          <w:p w:rsidR="009871E1" w:rsidRDefault="006C7234">
            <w:pPr>
              <w:widowControl/>
              <w:jc w:val="center"/>
              <w:rPr>
                <w:rFonts w:ascii="宋体" w:hAnsi="宋体" w:cs="Arial"/>
                <w:color w:val="000000"/>
                <w:kern w:val="0"/>
                <w:sz w:val="24"/>
              </w:rPr>
            </w:pPr>
            <w:r>
              <w:rPr>
                <w:rFonts w:ascii="宋体" w:hAnsi="宋体" w:cs="Arial" w:hint="eastAsia"/>
                <w:color w:val="000000"/>
                <w:kern w:val="0"/>
                <w:sz w:val="24"/>
              </w:rPr>
              <w:t>2016年度</w:t>
            </w:r>
          </w:p>
        </w:tc>
        <w:tc>
          <w:tcPr>
            <w:tcW w:w="1680" w:type="dxa"/>
            <w:tcBorders>
              <w:top w:val="nil"/>
              <w:left w:val="nil"/>
              <w:bottom w:val="nil"/>
              <w:right w:val="nil"/>
            </w:tcBorders>
            <w:vAlign w:val="bottom"/>
          </w:tcPr>
          <w:p w:rsidR="009871E1" w:rsidRDefault="006C7234">
            <w:pPr>
              <w:widowControl/>
              <w:jc w:val="center"/>
              <w:rPr>
                <w:rFonts w:ascii="宋体" w:hAnsi="宋体" w:cs="Arial"/>
                <w:color w:val="000000"/>
                <w:kern w:val="0"/>
                <w:sz w:val="24"/>
              </w:rPr>
            </w:pPr>
            <w:r>
              <w:rPr>
                <w:rFonts w:ascii="宋体" w:hAnsi="宋体" w:cs="Arial" w:hint="eastAsia"/>
                <w:color w:val="000000"/>
                <w:kern w:val="0"/>
                <w:sz w:val="24"/>
              </w:rPr>
              <w:t>单位：万元</w:t>
            </w:r>
          </w:p>
        </w:tc>
      </w:tr>
      <w:tr w:rsidR="009871E1">
        <w:trPr>
          <w:trHeight w:val="390"/>
        </w:trPr>
        <w:tc>
          <w:tcPr>
            <w:tcW w:w="5460" w:type="dxa"/>
            <w:vMerge w:val="restart"/>
            <w:tcBorders>
              <w:top w:val="single" w:sz="8"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项　　目</w:t>
            </w:r>
          </w:p>
        </w:tc>
        <w:tc>
          <w:tcPr>
            <w:tcW w:w="580" w:type="dxa"/>
            <w:vMerge w:val="restart"/>
            <w:tcBorders>
              <w:top w:val="single" w:sz="8"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3360" w:type="dxa"/>
            <w:gridSpan w:val="2"/>
            <w:tcBorders>
              <w:top w:val="single" w:sz="8"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数量</w:t>
            </w:r>
          </w:p>
        </w:tc>
        <w:tc>
          <w:tcPr>
            <w:tcW w:w="3360" w:type="dxa"/>
            <w:gridSpan w:val="2"/>
            <w:tcBorders>
              <w:top w:val="single" w:sz="8"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价值</w:t>
            </w:r>
          </w:p>
        </w:tc>
      </w:tr>
      <w:tr w:rsidR="009871E1">
        <w:trPr>
          <w:trHeight w:val="300"/>
        </w:trPr>
        <w:tc>
          <w:tcPr>
            <w:tcW w:w="5460" w:type="dxa"/>
            <w:vMerge/>
            <w:tcBorders>
              <w:top w:val="single" w:sz="8" w:space="0" w:color="000000"/>
              <w:left w:val="single" w:sz="8" w:space="0" w:color="000000"/>
              <w:bottom w:val="single" w:sz="4" w:space="0" w:color="000000"/>
              <w:right w:val="single" w:sz="4" w:space="0" w:color="000000"/>
            </w:tcBorders>
            <w:vAlign w:val="center"/>
          </w:tcPr>
          <w:p w:rsidR="009871E1" w:rsidRDefault="009871E1">
            <w:pPr>
              <w:widowControl/>
              <w:jc w:val="left"/>
              <w:rPr>
                <w:rFonts w:ascii="宋体" w:hAnsi="宋体" w:cs="Arial"/>
                <w:color w:val="000000"/>
                <w:kern w:val="0"/>
                <w:sz w:val="22"/>
                <w:szCs w:val="22"/>
              </w:rPr>
            </w:pPr>
          </w:p>
        </w:tc>
        <w:tc>
          <w:tcPr>
            <w:tcW w:w="580" w:type="dxa"/>
            <w:vMerge/>
            <w:tcBorders>
              <w:top w:val="single" w:sz="8" w:space="0" w:color="000000"/>
              <w:left w:val="nil"/>
              <w:bottom w:val="single" w:sz="4" w:space="0" w:color="000000"/>
              <w:right w:val="single" w:sz="4" w:space="0" w:color="000000"/>
            </w:tcBorders>
            <w:vAlign w:val="center"/>
          </w:tcPr>
          <w:p w:rsidR="009871E1" w:rsidRDefault="009871E1">
            <w:pPr>
              <w:widowControl/>
              <w:jc w:val="left"/>
              <w:rPr>
                <w:rFonts w:ascii="宋体" w:hAnsi="宋体" w:cs="Arial"/>
                <w:color w:val="000000"/>
                <w:kern w:val="0"/>
                <w:sz w:val="22"/>
                <w:szCs w:val="22"/>
              </w:rPr>
            </w:pPr>
          </w:p>
        </w:tc>
        <w:tc>
          <w:tcPr>
            <w:tcW w:w="16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年初数</w:t>
            </w:r>
          </w:p>
        </w:tc>
        <w:tc>
          <w:tcPr>
            <w:tcW w:w="16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年末数</w:t>
            </w:r>
          </w:p>
        </w:tc>
        <w:tc>
          <w:tcPr>
            <w:tcW w:w="16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年初数</w:t>
            </w:r>
          </w:p>
        </w:tc>
        <w:tc>
          <w:tcPr>
            <w:tcW w:w="16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年末数</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栏　　次</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9871E1">
            <w:pPr>
              <w:widowControl/>
              <w:jc w:val="center"/>
              <w:rPr>
                <w:rFonts w:ascii="宋体" w:hAnsi="宋体" w:cs="Arial"/>
                <w:color w:val="000000"/>
                <w:kern w:val="0"/>
                <w:sz w:val="22"/>
                <w:szCs w:val="22"/>
              </w:rPr>
            </w:pPr>
          </w:p>
        </w:tc>
        <w:tc>
          <w:tcPr>
            <w:tcW w:w="16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6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资产总额</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441.9</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441.9</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一、流动资产</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二、固定资产</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441.9</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441.9</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（一）房屋（平方米）</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2,807.00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2,807.00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224.5</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224.5</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1.办公用房</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2,807.00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2,807.00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224.5</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224.5</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2.业务用房</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3.其他（不含构筑物）</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（二）车辆（台、辆）</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34.8</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34.8</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1.轿车</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2.越野车</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3.小型载客汽车</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4.大中型载客汽车</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34.8</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34.8</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5.其他车型</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（三）单价在50万元以上的设备（台、套…）</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其中：单价50万元（含）以上的通用设备</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单价100万元（含）以上的专用设备</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（四）其他固定资产</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182.6</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182.6</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减：累计折旧及减值准备</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三、长期投资</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四、在建工程</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五、无形资产</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4" w:space="0" w:color="000000"/>
              <w:left w:val="single" w:sz="8" w:space="0" w:color="000000"/>
              <w:bottom w:val="single" w:sz="4"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减：累计摊销</w:t>
            </w:r>
          </w:p>
        </w:tc>
        <w:tc>
          <w:tcPr>
            <w:tcW w:w="580" w:type="dxa"/>
            <w:tcBorders>
              <w:top w:val="single" w:sz="4" w:space="0" w:color="000000"/>
              <w:left w:val="nil"/>
              <w:bottom w:val="single" w:sz="4"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4" w:space="0" w:color="000000"/>
              <w:left w:val="nil"/>
              <w:bottom w:val="single" w:sz="4"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r w:rsidR="009871E1">
        <w:trPr>
          <w:trHeight w:val="300"/>
        </w:trPr>
        <w:tc>
          <w:tcPr>
            <w:tcW w:w="5460" w:type="dxa"/>
            <w:tcBorders>
              <w:top w:val="single" w:sz="8" w:space="0" w:color="000000"/>
              <w:left w:val="single" w:sz="8" w:space="0" w:color="000000"/>
              <w:bottom w:val="single" w:sz="8" w:space="0" w:color="000000"/>
              <w:right w:val="single" w:sz="4" w:space="0" w:color="000000"/>
            </w:tcBorders>
            <w:shd w:val="clear" w:color="FFFFFF" w:fill="C0C0C0"/>
            <w:vAlign w:val="center"/>
          </w:tcPr>
          <w:p w:rsidR="009871E1" w:rsidRDefault="006C7234">
            <w:pPr>
              <w:widowControl/>
              <w:jc w:val="left"/>
              <w:rPr>
                <w:rFonts w:ascii="宋体" w:hAnsi="宋体" w:cs="Arial"/>
                <w:color w:val="000000"/>
                <w:kern w:val="0"/>
                <w:sz w:val="22"/>
                <w:szCs w:val="22"/>
              </w:rPr>
            </w:pPr>
            <w:r>
              <w:rPr>
                <w:rFonts w:ascii="宋体" w:hAnsi="宋体" w:cs="Arial" w:hint="eastAsia"/>
                <w:color w:val="000000"/>
                <w:kern w:val="0"/>
                <w:sz w:val="22"/>
                <w:szCs w:val="22"/>
              </w:rPr>
              <w:t>六、其他资产</w:t>
            </w:r>
          </w:p>
        </w:tc>
        <w:tc>
          <w:tcPr>
            <w:tcW w:w="580" w:type="dxa"/>
            <w:tcBorders>
              <w:top w:val="single" w:sz="8" w:space="0" w:color="000000"/>
              <w:left w:val="nil"/>
              <w:bottom w:val="single" w:sz="8" w:space="0" w:color="000000"/>
              <w:right w:val="single" w:sz="4" w:space="0" w:color="000000"/>
            </w:tcBorders>
            <w:shd w:val="clear" w:color="FFFFFF" w:fill="C0C0C0"/>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680" w:type="dxa"/>
            <w:tcBorders>
              <w:top w:val="single" w:sz="8" w:space="0" w:color="000000"/>
              <w:left w:val="nil"/>
              <w:bottom w:val="single" w:sz="8"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8" w:space="0" w:color="000000"/>
              <w:left w:val="nil"/>
              <w:bottom w:val="single" w:sz="8" w:space="0" w:color="000000"/>
              <w:right w:val="single" w:sz="4" w:space="0" w:color="000000"/>
            </w:tcBorders>
            <w:vAlign w:val="center"/>
          </w:tcPr>
          <w:p w:rsidR="009871E1" w:rsidRDefault="006C7234">
            <w:pPr>
              <w:widowControl/>
              <w:jc w:val="center"/>
              <w:rPr>
                <w:rFonts w:ascii="宋体" w:hAnsi="宋体" w:cs="Arial"/>
                <w:color w:val="000000"/>
                <w:kern w:val="0"/>
                <w:sz w:val="22"/>
                <w:szCs w:val="22"/>
              </w:rPr>
            </w:pPr>
            <w:r>
              <w:rPr>
                <w:rFonts w:ascii="宋体" w:hAnsi="宋体" w:cs="Arial" w:hint="eastAsia"/>
                <w:color w:val="000000"/>
                <w:kern w:val="0"/>
                <w:sz w:val="22"/>
                <w:szCs w:val="22"/>
              </w:rPr>
              <w:t>—</w:t>
            </w:r>
          </w:p>
        </w:tc>
        <w:tc>
          <w:tcPr>
            <w:tcW w:w="1680" w:type="dxa"/>
            <w:tcBorders>
              <w:top w:val="single" w:sz="8" w:space="0" w:color="000000"/>
              <w:left w:val="nil"/>
              <w:bottom w:val="single" w:sz="8"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c>
          <w:tcPr>
            <w:tcW w:w="1680" w:type="dxa"/>
            <w:tcBorders>
              <w:top w:val="single" w:sz="8" w:space="0" w:color="000000"/>
              <w:left w:val="nil"/>
              <w:bottom w:val="single" w:sz="8" w:space="0" w:color="000000"/>
              <w:right w:val="single" w:sz="4" w:space="0" w:color="000000"/>
            </w:tcBorders>
            <w:vAlign w:val="center"/>
          </w:tcPr>
          <w:p w:rsidR="009871E1" w:rsidRDefault="006C7234">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p>
        </w:tc>
      </w:tr>
    </w:tbl>
    <w:p w:rsidR="009871E1" w:rsidRDefault="009871E1" w:rsidP="006C7234">
      <w:pPr>
        <w:ind w:firstLineChars="224" w:firstLine="717"/>
        <w:rPr>
          <w:rFonts w:ascii="仿宋" w:eastAsia="仿宋" w:hAnsi="仿宋"/>
          <w:sz w:val="32"/>
        </w:rPr>
      </w:pPr>
    </w:p>
    <w:p w:rsidR="009871E1" w:rsidRDefault="006C7234">
      <w:pPr>
        <w:ind w:firstLineChars="225" w:firstLine="723"/>
        <w:rPr>
          <w:rFonts w:ascii="仿宋" w:eastAsia="仿宋" w:hAnsi="仿宋" w:cs="宋体"/>
          <w:b/>
          <w:kern w:val="0"/>
          <w:sz w:val="32"/>
          <w:szCs w:val="32"/>
          <w:lang w:val="zh-CN"/>
        </w:rPr>
      </w:pPr>
      <w:r>
        <w:rPr>
          <w:rFonts w:ascii="仿宋" w:eastAsia="仿宋" w:hAnsi="仿宋" w:cs="宋体" w:hint="eastAsia"/>
          <w:b/>
          <w:kern w:val="0"/>
          <w:sz w:val="32"/>
          <w:szCs w:val="32"/>
          <w:lang w:val="zh-CN"/>
        </w:rPr>
        <w:t>八、名词解释</w:t>
      </w:r>
    </w:p>
    <w:p w:rsidR="006C7234" w:rsidRPr="006C7234" w:rsidRDefault="006C7234" w:rsidP="006C7234">
      <w:pPr>
        <w:autoSpaceDE w:val="0"/>
        <w:autoSpaceDN w:val="0"/>
        <w:adjustRightInd w:val="0"/>
        <w:ind w:leftChars="200" w:left="420" w:firstLineChars="200" w:firstLine="640"/>
        <w:jc w:val="left"/>
        <w:rPr>
          <w:rFonts w:ascii="仿宋" w:eastAsia="仿宋" w:hAnsi="仿宋" w:cs="仿宋_GB2312"/>
          <w:sz w:val="32"/>
          <w:szCs w:val="32"/>
        </w:rPr>
      </w:pPr>
      <w:r w:rsidRPr="006C7234">
        <w:rPr>
          <w:rFonts w:ascii="仿宋" w:eastAsia="仿宋" w:hAnsi="仿宋" w:cs="仿宋_GB2312" w:hint="eastAsia"/>
          <w:sz w:val="32"/>
          <w:szCs w:val="32"/>
        </w:rPr>
        <w:t>1、一般预算收入：县级财政当年拨付的资金。</w:t>
      </w:r>
    </w:p>
    <w:p w:rsidR="006C7234" w:rsidRPr="006C7234" w:rsidRDefault="006C7234" w:rsidP="006C7234">
      <w:pPr>
        <w:autoSpaceDE w:val="0"/>
        <w:autoSpaceDN w:val="0"/>
        <w:adjustRightInd w:val="0"/>
        <w:ind w:leftChars="200" w:left="420" w:firstLineChars="200" w:firstLine="640"/>
        <w:jc w:val="left"/>
        <w:rPr>
          <w:rFonts w:ascii="仿宋" w:eastAsia="仿宋" w:hAnsi="仿宋" w:cs="仿宋_GB2312"/>
          <w:sz w:val="32"/>
          <w:szCs w:val="32"/>
        </w:rPr>
      </w:pPr>
      <w:r w:rsidRPr="006C7234">
        <w:rPr>
          <w:rFonts w:ascii="仿宋" w:eastAsia="仿宋" w:hAnsi="仿宋" w:cs="仿宋_GB2312" w:hint="eastAsia"/>
          <w:sz w:val="32"/>
          <w:szCs w:val="32"/>
        </w:rPr>
        <w:lastRenderedPageBreak/>
        <w:t>2、基本支出：为保障机构正常运转，完成日常工作任务，而发生的人员支出和公用支出。</w:t>
      </w:r>
    </w:p>
    <w:p w:rsidR="006C7234" w:rsidRPr="006C7234" w:rsidRDefault="006C7234" w:rsidP="006C7234">
      <w:pPr>
        <w:autoSpaceDE w:val="0"/>
        <w:autoSpaceDN w:val="0"/>
        <w:adjustRightInd w:val="0"/>
        <w:ind w:leftChars="200" w:left="420" w:firstLineChars="200" w:firstLine="640"/>
        <w:jc w:val="left"/>
        <w:rPr>
          <w:rFonts w:ascii="仿宋" w:eastAsia="仿宋" w:hAnsi="仿宋" w:cs="仿宋_GB2312"/>
          <w:sz w:val="32"/>
          <w:szCs w:val="32"/>
        </w:rPr>
      </w:pPr>
      <w:r w:rsidRPr="006C7234">
        <w:rPr>
          <w:rFonts w:ascii="仿宋" w:eastAsia="仿宋" w:hAnsi="仿宋" w:cs="仿宋_GB2312" w:hint="eastAsia"/>
          <w:sz w:val="32"/>
          <w:szCs w:val="32"/>
        </w:rPr>
        <w:t>3、项目支出：是指在基本支出之外，为完成特定行政任务和事业发展目标，而发生的支出。</w:t>
      </w:r>
    </w:p>
    <w:p w:rsidR="009871E1" w:rsidRPr="006C7234" w:rsidRDefault="006C7234" w:rsidP="006C7234">
      <w:pPr>
        <w:autoSpaceDE w:val="0"/>
        <w:autoSpaceDN w:val="0"/>
        <w:adjustRightInd w:val="0"/>
        <w:ind w:leftChars="200" w:left="420" w:firstLineChars="200" w:firstLine="640"/>
        <w:jc w:val="left"/>
        <w:rPr>
          <w:rFonts w:ascii="仿宋" w:eastAsia="仿宋" w:hAnsi="仿宋" w:cs="仿宋_GB2312"/>
          <w:sz w:val="32"/>
          <w:szCs w:val="32"/>
        </w:rPr>
      </w:pPr>
      <w:r w:rsidRPr="006C7234">
        <w:rPr>
          <w:rFonts w:ascii="仿宋" w:eastAsia="仿宋" w:hAnsi="仿宋" w:cs="仿宋_GB2312" w:hint="eastAsia"/>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9871E1" w:rsidRDefault="006C7234">
      <w:pPr>
        <w:numPr>
          <w:ilvl w:val="0"/>
          <w:numId w:val="1"/>
        </w:numPr>
        <w:autoSpaceDN w:val="0"/>
        <w:spacing w:line="580" w:lineRule="atLeast"/>
        <w:ind w:firstLine="640"/>
        <w:jc w:val="left"/>
        <w:rPr>
          <w:rFonts w:ascii="仿宋" w:eastAsia="仿宋" w:hAnsi="仿宋"/>
          <w:b/>
          <w:sz w:val="32"/>
        </w:rPr>
      </w:pPr>
      <w:r>
        <w:rPr>
          <w:rFonts w:ascii="仿宋" w:eastAsia="仿宋" w:hAnsi="仿宋" w:hint="eastAsia"/>
          <w:b/>
          <w:sz w:val="32"/>
        </w:rPr>
        <w:t>其他需说明的事项</w:t>
      </w:r>
    </w:p>
    <w:p w:rsidR="009871E1" w:rsidRDefault="006C7234">
      <w:pPr>
        <w:ind w:left="720"/>
        <w:rPr>
          <w:rFonts w:ascii="仿宋" w:eastAsia="仿宋" w:hAnsi="仿宋"/>
          <w:b/>
          <w:sz w:val="32"/>
          <w:lang w:val="zh-CN"/>
        </w:rPr>
      </w:pPr>
      <w:r>
        <w:rPr>
          <w:rFonts w:ascii="仿宋" w:eastAsia="仿宋" w:hAnsi="仿宋" w:cs="宋体" w:hint="eastAsia"/>
          <w:kern w:val="0"/>
          <w:sz w:val="32"/>
          <w:szCs w:val="32"/>
          <w:lang w:val="zh-CN"/>
        </w:rPr>
        <w:t>我单位</w:t>
      </w:r>
      <w:r>
        <w:rPr>
          <w:rFonts w:ascii="仿宋" w:eastAsia="仿宋" w:hAnsi="仿宋" w:cs="宋体"/>
          <w:kern w:val="0"/>
          <w:sz w:val="32"/>
          <w:szCs w:val="32"/>
          <w:lang w:val="zh-CN"/>
        </w:rPr>
        <w:t>2017</w:t>
      </w:r>
      <w:r>
        <w:rPr>
          <w:rFonts w:ascii="仿宋" w:eastAsia="仿宋" w:hAnsi="仿宋" w:cs="宋体" w:hint="eastAsia"/>
          <w:kern w:val="0"/>
          <w:sz w:val="32"/>
          <w:szCs w:val="32"/>
          <w:lang w:val="zh-CN"/>
        </w:rPr>
        <w:t>年度无国有资本经营预算财政拨款。</w:t>
      </w:r>
    </w:p>
    <w:sectPr w:rsidR="009871E1" w:rsidSect="009871E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D5" w:rsidRDefault="00FB31D5" w:rsidP="006C7234">
      <w:r>
        <w:separator/>
      </w:r>
    </w:p>
  </w:endnote>
  <w:endnote w:type="continuationSeparator" w:id="0">
    <w:p w:rsidR="00FB31D5" w:rsidRDefault="00FB31D5" w:rsidP="006C7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D5" w:rsidRDefault="00FB31D5" w:rsidP="006C7234">
      <w:r>
        <w:separator/>
      </w:r>
    </w:p>
  </w:footnote>
  <w:footnote w:type="continuationSeparator" w:id="0">
    <w:p w:rsidR="00FB31D5" w:rsidRDefault="00FB31D5" w:rsidP="006C7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18F2D"/>
    <w:multiLevelType w:val="singleLevel"/>
    <w:tmpl w:val="58818F2D"/>
    <w:lvl w:ilvl="0">
      <w:start w:val="2"/>
      <w:numFmt w:val="decimal"/>
      <w:suff w:val="nothing"/>
      <w:lvlText w:val="%1、"/>
      <w:lvlJc w:val="left"/>
    </w:lvl>
  </w:abstractNum>
  <w:abstractNum w:abstractNumId="1">
    <w:nsid w:val="58DCCF20"/>
    <w:multiLevelType w:val="singleLevel"/>
    <w:tmpl w:val="58DCCF20"/>
    <w:lvl w:ilvl="0">
      <w:start w:val="9"/>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683"/>
    <w:rsid w:val="00075D43"/>
    <w:rsid w:val="000F0190"/>
    <w:rsid w:val="000F4EFF"/>
    <w:rsid w:val="0017569F"/>
    <w:rsid w:val="001929A3"/>
    <w:rsid w:val="002A53E0"/>
    <w:rsid w:val="002B615D"/>
    <w:rsid w:val="00330917"/>
    <w:rsid w:val="003801CC"/>
    <w:rsid w:val="003807E5"/>
    <w:rsid w:val="003E1BD0"/>
    <w:rsid w:val="004141C0"/>
    <w:rsid w:val="00424177"/>
    <w:rsid w:val="00434716"/>
    <w:rsid w:val="004640C9"/>
    <w:rsid w:val="005234ED"/>
    <w:rsid w:val="005517B7"/>
    <w:rsid w:val="005B1811"/>
    <w:rsid w:val="00620B6D"/>
    <w:rsid w:val="00682836"/>
    <w:rsid w:val="00694FE0"/>
    <w:rsid w:val="006B7066"/>
    <w:rsid w:val="006C7234"/>
    <w:rsid w:val="006D0882"/>
    <w:rsid w:val="00724BEC"/>
    <w:rsid w:val="007411AC"/>
    <w:rsid w:val="00757AC1"/>
    <w:rsid w:val="00800F20"/>
    <w:rsid w:val="008036D8"/>
    <w:rsid w:val="008D4F02"/>
    <w:rsid w:val="008F2484"/>
    <w:rsid w:val="00927EFC"/>
    <w:rsid w:val="00932589"/>
    <w:rsid w:val="00934DD5"/>
    <w:rsid w:val="00965AEB"/>
    <w:rsid w:val="009871E1"/>
    <w:rsid w:val="009A536A"/>
    <w:rsid w:val="009C71AE"/>
    <w:rsid w:val="009E65E8"/>
    <w:rsid w:val="00A207F6"/>
    <w:rsid w:val="00A45944"/>
    <w:rsid w:val="00A54F08"/>
    <w:rsid w:val="00A601CF"/>
    <w:rsid w:val="00A62EEB"/>
    <w:rsid w:val="00A92DA3"/>
    <w:rsid w:val="00AB2024"/>
    <w:rsid w:val="00AC0C4A"/>
    <w:rsid w:val="00AD2B02"/>
    <w:rsid w:val="00AE6F06"/>
    <w:rsid w:val="00AF2683"/>
    <w:rsid w:val="00B207D9"/>
    <w:rsid w:val="00B25AB8"/>
    <w:rsid w:val="00B42A53"/>
    <w:rsid w:val="00B4761F"/>
    <w:rsid w:val="00BD7376"/>
    <w:rsid w:val="00BE6CC9"/>
    <w:rsid w:val="00C64870"/>
    <w:rsid w:val="00C9061D"/>
    <w:rsid w:val="00C91331"/>
    <w:rsid w:val="00CE4DE0"/>
    <w:rsid w:val="00D17D11"/>
    <w:rsid w:val="00D21F48"/>
    <w:rsid w:val="00E046A8"/>
    <w:rsid w:val="00E31BBC"/>
    <w:rsid w:val="00E32B58"/>
    <w:rsid w:val="00E4403C"/>
    <w:rsid w:val="00E870C8"/>
    <w:rsid w:val="00EA0F3A"/>
    <w:rsid w:val="00EB08F0"/>
    <w:rsid w:val="00EC0EBB"/>
    <w:rsid w:val="00ED7420"/>
    <w:rsid w:val="00F45663"/>
    <w:rsid w:val="00F93C93"/>
    <w:rsid w:val="00FB31D5"/>
    <w:rsid w:val="0CF11679"/>
    <w:rsid w:val="28F770C2"/>
    <w:rsid w:val="293A7660"/>
    <w:rsid w:val="2D5655D5"/>
    <w:rsid w:val="2DDE276D"/>
    <w:rsid w:val="468C56C8"/>
    <w:rsid w:val="46BF504F"/>
    <w:rsid w:val="4CA4472D"/>
    <w:rsid w:val="56FB7783"/>
    <w:rsid w:val="583277B8"/>
    <w:rsid w:val="5C421099"/>
    <w:rsid w:val="61335BE9"/>
    <w:rsid w:val="65FA2EE9"/>
    <w:rsid w:val="67907B0B"/>
    <w:rsid w:val="68AA06F4"/>
    <w:rsid w:val="6C5F2A3C"/>
    <w:rsid w:val="6D3507CC"/>
    <w:rsid w:val="79D907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1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871E1"/>
    <w:pPr>
      <w:tabs>
        <w:tab w:val="center" w:pos="4153"/>
        <w:tab w:val="right" w:pos="8306"/>
      </w:tabs>
      <w:snapToGrid w:val="0"/>
      <w:jc w:val="left"/>
    </w:pPr>
    <w:rPr>
      <w:sz w:val="18"/>
      <w:szCs w:val="18"/>
    </w:rPr>
  </w:style>
  <w:style w:type="paragraph" w:styleId="a4">
    <w:name w:val="header"/>
    <w:basedOn w:val="a"/>
    <w:link w:val="Char0"/>
    <w:uiPriority w:val="99"/>
    <w:qFormat/>
    <w:rsid w:val="009871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locked/>
    <w:rsid w:val="009871E1"/>
    <w:rPr>
      <w:rFonts w:cs="Times New Roman"/>
      <w:kern w:val="2"/>
      <w:sz w:val="18"/>
      <w:szCs w:val="18"/>
    </w:rPr>
  </w:style>
  <w:style w:type="character" w:customStyle="1" w:styleId="Char">
    <w:name w:val="页脚 Char"/>
    <w:basedOn w:val="a0"/>
    <w:link w:val="a3"/>
    <w:uiPriority w:val="99"/>
    <w:qFormat/>
    <w:locked/>
    <w:rsid w:val="009871E1"/>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928</Words>
  <Characters>5291</Characters>
  <Application>Microsoft Office Word</Application>
  <DocSecurity>0</DocSecurity>
  <Lines>44</Lines>
  <Paragraphs>12</Paragraphs>
  <ScaleCrop>false</ScaleCrop>
  <Company>Microsoft China</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2021-05-11T07:00:00Z</dcterms:created>
  <dc:creator>User</dc:creator>
  <cp:lastModifiedBy>Administrator</cp:lastModifiedBy>
  <cp:lastPrinted>2016-09-09T06:06:00Z</cp:lastPrinted>
  <dcterms:modified xsi:type="dcterms:W3CDTF">2021-05-11T07:00:00Z</dcterms:modified>
  <cp:revision>2</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