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64384;mso-width-relative:page;mso-height-relative:page;" filled="f" stroked="f" coordsize="21600,2160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27" o:spt="3" type="#_x0000_t3" style="position:absolute;left:0pt;margin-left:53.5pt;margin-top:232.45pt;height:121.95pt;width:121.95pt;z-index:251661312;v-text-anchor:middle;mso-width-relative:page;mso-height-relative:page;" stroked="f" coordsize="21600,21600">
            <v:path/>
            <v:fill focussize="0,0"/>
            <v:stroke on="f" weight="1pt" joinstyle="miter"/>
            <v:imagedata o:title=""/>
            <o:lock v:ext="edit"/>
          </v:shape>
        </w:pict>
      </w:r>
      <w:r>
        <w:pict>
          <v:rect id="矩形 14" o:spid="_x0000_s1028" o:spt="1" style="position:absolute;left:0pt;margin-left:33.6pt;margin-top:256.75pt;height:69.6pt;width:160.65pt;z-index:251665408;mso-width-relative:page;mso-height-relative:page;" filled="f" stroked="f" coordsize="21600,2160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shape id="椭圆 9" o:spid="_x0000_s1029" o:spt="3" type="#_x0000_t3" style="position:absolute;left:0pt;margin-left:62.2pt;margin-top:242.75pt;height:106.45pt;width:100.45pt;z-index:251665408;v-text-anchor:middle;mso-width-relative:page;mso-height-relative:page;" fillcolor="#1F2959" filled="t" stroked="f" coordsize="21600,21600">
            <v:path/>
            <v:fill on="t" color2="#FFFFFF" focussize="0,0"/>
            <v:stroke on="f" weight="1pt"/>
            <v:imagedata o:title=""/>
            <o:lock v:ext="edit" aspectratio="f"/>
          </v:shape>
        </w:pict>
      </w:r>
      <w:r>
        <w:pict>
          <v:group id="_x0000_s1030" o:spid="_x0000_s1030" o:spt="203" style="position:absolute;left:0pt;margin-left:1.25pt;margin-top:821.7pt;height:21.45pt;width:595.25pt;z-index:251662336;mso-width-relative:page;mso-height-relative:page;" coordorigin="1483,16692" coordsize="11905,429203">
            <o:lock v:ext="edit"/>
            <v:rect id="矩形 6" o:spid="_x0000_s1031" o:spt="1" style="position:absolute;left:1483;top:16692;height:428;width:1125;v-text-anchor:middle;" fillcolor="#FDBC11" filled="t" stroked="f" coordsize="21600,21600">
              <v:path/>
              <v:fill on="t" focussize="0,0"/>
              <v:stroke on="f" weight="1pt"/>
              <v:imagedata o:title=""/>
              <o:lock v:ext="edit"/>
            </v:rect>
            <v:rect id="矩形 7" o:spid="_x0000_s1032" o:spt="1" style="position:absolute;left:2608;top:16693;height:428;width:10780;v-text-anchor:middle;" fillcolor="#1F2959" filled="t" stroked="f" coordsize="21600,21600">
              <v:path/>
              <v:fill on="t" focussize="0,0"/>
              <v:stroke on="f" weight="1pt"/>
              <v:imagedata o:title=""/>
              <o:lock v:ext="edit"/>
            </v:rect>
          </v:group>
        </w:pict>
      </w:r>
      <w:r>
        <w:pict>
          <v:group id="_x0000_s1033" o:spid="_x0000_s1033" o:spt="203" style="position:absolute;left:0pt;margin-left:-2.5pt;margin-top:0pt;height:308.5pt;width:600.25pt;z-index:-251657216;mso-width-relative:page;mso-height-relative:page;" coordorigin="13622,283" coordsize="12005,6170203">
            <o:lock v:ext="edit"/>
            <v:rect id="矩形 5" o:spid="_x0000_s1034" o:spt="1" style="position:absolute;left:13622;top:283;height:6170;width:12005;v-text-anchor:middle;" fillcolor="#FDBC11" filled="t" stroked="f" coordsize="21600,21600">
              <v:path/>
              <v:fill on="t" focussize="0,0"/>
              <v:stroke on="f" weight="1pt"/>
              <v:imagedata o:title=""/>
              <o:lock v:ext="edit"/>
            </v:rect>
            <v:shape id="_x0000_s1035" o:spid="_x0000_s1035" o:spt="202" type="#_x0000_t202" style="position:absolute;left:17229;top:5021;height:1392;width:8083;" filled="f" stroked="f" coordsize="21600,2160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rect id="矩形 11" o:spid="_x0000_s1036" o:spt="1" style="position:absolute;left:0pt;margin-left:184.75pt;margin-top:286.6pt;height:31.25pt;width:339.65pt;mso-wrap-style:none;z-index:251663360;mso-width-relative:page;mso-height-relative:page;" filled="f" stroked="f" coordsize="21600,2160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p>
    <w:p>
      <w:pPr>
        <w:tabs>
          <w:tab w:val="left" w:pos="2010"/>
        </w:tabs>
        <w:rPr>
          <w:rFonts w:ascii="黑体" w:hAnsi="Times New Roman" w:eastAsia="黑体"/>
          <w:sz w:val="48"/>
          <w:szCs w:val="48"/>
        </w:rPr>
      </w:pPr>
      <w:r>
        <w:rPr>
          <w:rFonts w:ascii="黑体" w:hAnsi="Times New Roman" w:eastAsia="黑体"/>
          <w:sz w:val="48"/>
          <w:szCs w:val="48"/>
        </w:rPr>
        <w:tab/>
      </w:r>
      <w:r>
        <w:rPr>
          <w:rFonts w:hint="eastAsia" w:ascii="黑体" w:hAnsi="Times New Roman" w:eastAsia="黑体"/>
          <w:sz w:val="48"/>
          <w:szCs w:val="48"/>
        </w:rPr>
        <w:t>平乡县中华路街道办事处</w:t>
      </w:r>
    </w:p>
    <w:p>
      <w:pPr>
        <w:rPr>
          <w:rFonts w:ascii="黑体" w:hAnsi="黑体" w:eastAsia="黑体" w:cs="黑体"/>
          <w:sz w:val="56"/>
          <w:szCs w:val="72"/>
        </w:rPr>
      </w:pPr>
    </w:p>
    <w:p>
      <w:pPr>
        <w:rPr>
          <w:rFonts w:ascii="黑体" w:hAnsi="黑体" w:eastAsia="黑体" w:cs="黑体"/>
          <w:b/>
          <w:bCs/>
          <w:sz w:val="72"/>
          <w:szCs w:val="96"/>
        </w:rPr>
      </w:pPr>
      <w:r>
        <w:rPr>
          <w:rFonts w:ascii="黑体" w:hAnsi="黑体" w:eastAsia="黑体" w:cs="黑体"/>
          <w:b/>
          <w:bCs/>
          <w:sz w:val="72"/>
          <w:szCs w:val="96"/>
        </w:rPr>
        <w:t>2019</w:t>
      </w:r>
      <w:r>
        <w:rPr>
          <w:rFonts w:hint="eastAsia" w:ascii="黑体" w:hAnsi="黑体" w:eastAsia="黑体" w:cs="黑体"/>
          <w:b/>
          <w:bCs/>
          <w:sz w:val="72"/>
          <w:szCs w:val="96"/>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rPr>
          <w:rFonts w:ascii="黑体" w:hAnsi="黑体" w:eastAsia="黑体" w:cs="黑体"/>
          <w:sz w:val="56"/>
          <w:szCs w:val="72"/>
        </w:rPr>
      </w:pPr>
    </w:p>
    <w:p>
      <w:pPr>
        <w:snapToGrid w:val="0"/>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平乡县中华路街道办事处</w:t>
      </w:r>
    </w:p>
    <w:p>
      <w:pPr>
        <w:jc w:val="center"/>
        <w:rPr>
          <w:rFonts w:ascii="黑体" w:hAnsi="黑体" w:eastAsia="黑体" w:cs="黑体"/>
          <w:sz w:val="56"/>
          <w:szCs w:val="7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rPr>
          <w:rFonts w:ascii="黑体" w:hAnsi="Times New Roman" w:eastAsia="黑体"/>
          <w:sz w:val="48"/>
          <w:szCs w:val="48"/>
        </w:rPr>
      </w:pP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pPr>
    </w:p>
    <w:p>
      <w:r>
        <w:pict>
          <v:shape id="_x0000_s1037" o:spid="_x0000_s1037" o:spt="202" type="#_x0000_t202" style="position:absolute;left:0pt;margin-left:-85.7pt;margin-top:80.7pt;height:263.1pt;width:613.65pt;z-index:251666432;v-text-anchor:middle;mso-width-relative:page;mso-height-relative:page;" fillcolor="#FFD966" filled="t" stroked="t" coordsize="21600,21600">
            <v:path/>
            <v:fill type="pattern" on="t" focussize="0,0"/>
            <v:stroke weight="1pt" color="#FFD966" joinstyle="round"/>
            <v:imagedata o:title=""/>
            <o:lock v:ext="edit"/>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autoSpaceDE w:val="0"/>
        <w:autoSpaceDN w:val="0"/>
        <w:adjustRightInd w:val="0"/>
        <w:ind w:firstLine="675" w:firstLineChars="225"/>
        <w:jc w:val="left"/>
        <w:rPr>
          <w:rFonts w:ascii="宋体" w:cs="宋体"/>
          <w:kern w:val="0"/>
          <w:sz w:val="30"/>
          <w:szCs w:val="30"/>
          <w:lang w:val="zh-CN"/>
        </w:rPr>
      </w:pPr>
      <w:r>
        <w:rPr>
          <w:rFonts w:hint="eastAsia" w:ascii="宋体" w:hAnsi="宋体" w:cs="宋体"/>
          <w:kern w:val="0"/>
          <w:sz w:val="30"/>
          <w:szCs w:val="30"/>
          <w:lang w:val="zh-CN"/>
        </w:rPr>
        <w:t>（一）、贯彻落实党的路线、方针、政策和上级党组织的指示、决定。</w:t>
      </w:r>
    </w:p>
    <w:p>
      <w:pPr>
        <w:autoSpaceDE w:val="0"/>
        <w:autoSpaceDN w:val="0"/>
        <w:adjustRightInd w:val="0"/>
        <w:ind w:firstLine="675" w:firstLineChars="225"/>
        <w:jc w:val="left"/>
        <w:rPr>
          <w:rFonts w:ascii="宋体" w:cs="宋体"/>
          <w:kern w:val="0"/>
          <w:sz w:val="30"/>
          <w:szCs w:val="30"/>
          <w:lang w:val="zh-CN"/>
        </w:rPr>
      </w:pPr>
      <w:r>
        <w:rPr>
          <w:rFonts w:hint="eastAsia" w:ascii="宋体" w:hAnsi="宋体" w:cs="宋体"/>
          <w:kern w:val="0"/>
          <w:sz w:val="30"/>
          <w:szCs w:val="30"/>
          <w:lang w:val="zh-CN"/>
        </w:rPr>
        <w:t>（二）、制定并落实本行政区域的经济计划和措施，促进产业结构调整及其他经济保持平衡协调发展。</w:t>
      </w:r>
    </w:p>
    <w:p>
      <w:pPr>
        <w:autoSpaceDE w:val="0"/>
        <w:autoSpaceDN w:val="0"/>
        <w:adjustRightInd w:val="0"/>
        <w:ind w:firstLine="675" w:firstLineChars="225"/>
        <w:jc w:val="left"/>
        <w:rPr>
          <w:rFonts w:ascii="宋体" w:cs="宋体"/>
          <w:kern w:val="0"/>
          <w:sz w:val="30"/>
          <w:szCs w:val="30"/>
          <w:lang w:val="zh-CN"/>
        </w:rPr>
      </w:pPr>
      <w:r>
        <w:rPr>
          <w:rFonts w:hint="eastAsia" w:ascii="宋体" w:hAnsi="宋体" w:cs="宋体"/>
          <w:kern w:val="0"/>
          <w:sz w:val="30"/>
          <w:szCs w:val="30"/>
          <w:lang w:val="zh-CN"/>
        </w:rPr>
        <w:t>（三）、指导、支持、帮助村委会的组织制度建设，促进村委会民主自治。</w:t>
      </w:r>
    </w:p>
    <w:p>
      <w:pPr>
        <w:autoSpaceDE w:val="0"/>
        <w:autoSpaceDN w:val="0"/>
        <w:adjustRightInd w:val="0"/>
        <w:ind w:firstLine="675" w:firstLineChars="225"/>
        <w:jc w:val="left"/>
        <w:rPr>
          <w:rFonts w:ascii="宋体" w:cs="宋体"/>
          <w:kern w:val="0"/>
          <w:sz w:val="30"/>
          <w:szCs w:val="30"/>
          <w:lang w:val="zh-CN"/>
        </w:rPr>
      </w:pPr>
      <w:r>
        <w:rPr>
          <w:rFonts w:hint="eastAsia" w:ascii="宋体" w:hAnsi="宋体" w:cs="宋体"/>
          <w:kern w:val="0"/>
          <w:sz w:val="30"/>
          <w:szCs w:val="30"/>
          <w:lang w:val="zh-CN"/>
        </w:rPr>
        <w:t>（四）、开展民主和法制宣传教育，保障公民的合法权利，处理群众来信来访，调解民间纠纷。</w:t>
      </w:r>
    </w:p>
    <w:p>
      <w:pPr>
        <w:ind w:firstLine="675" w:firstLineChars="225"/>
        <w:rPr>
          <w:rFonts w:ascii="宋体" w:cs="宋体"/>
          <w:kern w:val="0"/>
          <w:sz w:val="30"/>
          <w:szCs w:val="30"/>
          <w:lang w:val="zh-CN"/>
        </w:rPr>
      </w:pPr>
      <w:r>
        <w:rPr>
          <w:rFonts w:hint="eastAsia" w:ascii="宋体" w:hAnsi="宋体" w:cs="宋体"/>
          <w:kern w:val="0"/>
          <w:sz w:val="30"/>
          <w:szCs w:val="30"/>
          <w:lang w:val="zh-CN"/>
        </w:rPr>
        <w:t>（五）、加强本级财政的监督和管理，按计划组织、管理办事处财政收入和支出，执行国家有关财政纪律和政策。</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w:t>
      </w:r>
      <w:r>
        <w:rPr>
          <w:rFonts w:ascii="仿宋_GB2312" w:hAnsi="Calibri" w:eastAsia="仿宋_GB2312" w:cs="ArialUnicodeMS"/>
          <w:kern w:val="0"/>
          <w:sz w:val="32"/>
          <w:szCs w:val="32"/>
        </w:rPr>
        <w:t xml:space="preserve"> </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平乡县中华路街道办事处</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rPr>
          <w:rFonts w:ascii="Times New Roman" w:hAnsi="Times New Roman" w:eastAsia="黑体"/>
          <w:sz w:val="32"/>
          <w:szCs w:val="32"/>
        </w:rPr>
      </w:pPr>
    </w:p>
    <w:p>
      <w:pPr>
        <w:widowControl/>
        <w:spacing w:after="160" w:line="580" w:lineRule="exact"/>
        <w:ind w:firstLine="420" w:firstLineChars="200"/>
        <w:rPr>
          <w:rFonts w:ascii="Times New Roman" w:hAnsi="Times New Roman" w:eastAsia="黑体"/>
          <w:sz w:val="32"/>
          <w:szCs w:val="32"/>
        </w:rPr>
        <w:sectPr>
          <w:headerReference r:id="rId14" w:type="first"/>
          <w:footerReference r:id="rId16" w:type="first"/>
          <w:headerReference r:id="rId13" w:type="default"/>
          <w:footerReference r:id="rId15" w:type="default"/>
          <w:pgSz w:w="11906" w:h="16838"/>
          <w:pgMar w:top="2041" w:right="1531" w:bottom="2041" w:left="1531" w:header="851" w:footer="992" w:gutter="0"/>
          <w:pgNumType w:fmt="numberInDash"/>
          <w:cols w:space="0" w:num="1"/>
          <w:titlePg/>
          <w:docGrid w:type="lines" w:linePitch="312" w:charSpace="0"/>
        </w:sectPr>
      </w:pPr>
      <w:r>
        <w:pict>
          <v:shape id="_x0000_s1038" o:spid="_x0000_s1038" o:spt="202" type="#_x0000_t202" style="position:absolute;left:0pt;margin-left:-85.7pt;margin-top:238.15pt;height:173.25pt;width:613.65pt;z-index:251667456;mso-width-relative:page;mso-height-relative:page;" filled="f" stroked="f" coordsize="21600,2160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pict>
          <v:shape id="_x0000_s1039" o:spid="_x0000_s1039" o:spt="202" type="#_x0000_t202" style="position:absolute;left:0pt;margin-left:-90.8pt;margin-top:4.35pt;height:263.1pt;width:613.65pt;z-index:251668480;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年度收支总计（含结转和结余）</w:t>
      </w:r>
      <w:r>
        <w:rPr>
          <w:rFonts w:ascii="仿宋_GB2312" w:hAnsi="Times New Roman" w:eastAsia="仿宋_GB2312" w:cs="DengXian-Regular"/>
          <w:sz w:val="32"/>
          <w:szCs w:val="32"/>
        </w:rPr>
        <w:t>8228.83</w:t>
      </w:r>
      <w:r>
        <w:rPr>
          <w:rFonts w:hint="eastAsia" w:ascii="仿宋_GB2312" w:hAnsi="Times New Roman" w:eastAsia="仿宋_GB2312" w:cs="DengXian-Regular"/>
          <w:sz w:val="32"/>
          <w:szCs w:val="32"/>
        </w:rPr>
        <w:t>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年度决算相比，收支各增加</w:t>
      </w:r>
      <w:r>
        <w:rPr>
          <w:rFonts w:ascii="仿宋_GB2312" w:hAnsi="Times New Roman" w:eastAsia="仿宋_GB2312" w:cs="DengXian-Regular"/>
          <w:sz w:val="32"/>
          <w:szCs w:val="32"/>
        </w:rPr>
        <w:t>3258.64</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65.56%</w:t>
      </w:r>
      <w:r>
        <w:rPr>
          <w:rFonts w:hint="eastAsia" w:ascii="仿宋_GB2312" w:hAnsi="Times New Roman" w:eastAsia="仿宋_GB2312" w:cs="DengXian-Regular"/>
          <w:sz w:val="32"/>
          <w:szCs w:val="32"/>
        </w:rPr>
        <w:t>，主要原因是机构改革合并丰州镇政府。</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w:t>
      </w:r>
      <w:r>
        <w:rPr>
          <w:rFonts w:ascii="仿宋_GB2312" w:hAnsi="Times New Roman" w:eastAsia="仿宋_GB2312" w:cs="DengXian-Regular"/>
          <w:sz w:val="32"/>
          <w:szCs w:val="32"/>
        </w:rPr>
        <w:t>8183.64</w:t>
      </w:r>
      <w:r>
        <w:rPr>
          <w:rFonts w:hint="eastAsia" w:ascii="仿宋_GB2312" w:hAnsi="Times New Roman" w:eastAsia="仿宋_GB2312" w:cs="DengXian-Regular"/>
          <w:sz w:val="32"/>
          <w:szCs w:val="32"/>
        </w:rPr>
        <w:t>万元，其中：财政拨款收入</w:t>
      </w:r>
      <w:r>
        <w:rPr>
          <w:rFonts w:ascii="仿宋_GB2312" w:hAnsi="Times New Roman" w:eastAsia="仿宋_GB2312" w:cs="DengXian-Regular"/>
          <w:sz w:val="32"/>
          <w:szCs w:val="32"/>
        </w:rPr>
        <w:t>8183.64</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；事业收入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；经营收入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；其他收入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w:t>
      </w:r>
      <w:r>
        <w:rPr>
          <w:rFonts w:ascii="仿宋_GB2312" w:hAnsi="Times New Roman" w:eastAsia="仿宋_GB2312" w:cs="DengXian-Regular"/>
          <w:sz w:val="32"/>
          <w:szCs w:val="32"/>
        </w:rPr>
        <w:t>8151.4</w:t>
      </w:r>
      <w:r>
        <w:rPr>
          <w:rFonts w:hint="eastAsia" w:ascii="仿宋_GB2312" w:hAnsi="Times New Roman" w:eastAsia="仿宋_GB2312" w:cs="DengXian-Regular"/>
          <w:sz w:val="32"/>
          <w:szCs w:val="32"/>
        </w:rPr>
        <w:t>万元，其中：基本支出</w:t>
      </w:r>
      <w:r>
        <w:rPr>
          <w:rFonts w:ascii="仿宋_GB2312" w:hAnsi="Times New Roman" w:eastAsia="仿宋_GB2312" w:cs="DengXian-Regular"/>
          <w:sz w:val="32"/>
          <w:szCs w:val="32"/>
        </w:rPr>
        <w:t>1808.35</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22.18%</w:t>
      </w:r>
      <w:r>
        <w:rPr>
          <w:rFonts w:hint="eastAsia" w:ascii="仿宋_GB2312" w:hAnsi="Times New Roman" w:eastAsia="仿宋_GB2312" w:cs="DengXian-Regular"/>
          <w:sz w:val="32"/>
          <w:szCs w:val="32"/>
        </w:rPr>
        <w:t>；项目支出</w:t>
      </w:r>
      <w:r>
        <w:rPr>
          <w:rFonts w:ascii="仿宋_GB2312" w:hAnsi="Times New Roman" w:eastAsia="仿宋_GB2312" w:cs="DengXian-Regular"/>
          <w:sz w:val="32"/>
          <w:szCs w:val="32"/>
        </w:rPr>
        <w:t>6343.04</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77.82%</w:t>
      </w:r>
      <w:r>
        <w:rPr>
          <w:rFonts w:hint="eastAsia" w:ascii="仿宋_GB2312" w:hAnsi="Times New Roman" w:eastAsia="仿宋_GB2312" w:cs="DengXian-Regular"/>
          <w:sz w:val="32"/>
          <w:szCs w:val="32"/>
        </w:rPr>
        <w:t>；经营支出</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w:t>
      </w:r>
    </w:p>
    <w:p>
      <w:pPr>
        <w:keepNext/>
        <w:keepLines/>
        <w:snapToGrid w:val="0"/>
        <w:spacing w:line="580" w:lineRule="exact"/>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年度财政拨款本年收入</w:t>
      </w:r>
      <w:r>
        <w:rPr>
          <w:rFonts w:ascii="仿宋_GB2312" w:hAnsi="Times New Roman" w:eastAsia="仿宋_GB2312" w:cs="DengXian-Regular"/>
          <w:sz w:val="32"/>
          <w:szCs w:val="32"/>
        </w:rPr>
        <w:t>8183.64</w:t>
      </w:r>
      <w:r>
        <w:rPr>
          <w:rFonts w:hint="eastAsia" w:ascii="仿宋_GB2312" w:hAnsi="Times New Roman" w:eastAsia="仿宋_GB2312" w:cs="DengXian-Regular"/>
          <w:sz w:val="32"/>
          <w:szCs w:val="32"/>
        </w:rPr>
        <w:t>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w:t>
      </w:r>
      <w:r>
        <w:rPr>
          <w:rFonts w:ascii="仿宋_GB2312" w:hAnsi="Times New Roman" w:eastAsia="仿宋_GB2312" w:cs="DengXian-Regular"/>
          <w:sz w:val="32"/>
          <w:szCs w:val="32"/>
        </w:rPr>
        <w:t>3213.45</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64.65%</w:t>
      </w:r>
      <w:r>
        <w:rPr>
          <w:rFonts w:hint="eastAsia" w:ascii="仿宋_GB2312" w:hAnsi="Times New Roman" w:eastAsia="仿宋_GB2312" w:cs="DengXian-Regular"/>
          <w:sz w:val="32"/>
          <w:szCs w:val="32"/>
        </w:rPr>
        <w:t>，主要是主要原因是机构改革合并丰州镇政府；本年支出</w:t>
      </w:r>
      <w:r>
        <w:rPr>
          <w:rFonts w:ascii="仿宋_GB2312" w:hAnsi="Times New Roman" w:eastAsia="仿宋_GB2312" w:cs="DengXian-Regular"/>
          <w:sz w:val="32"/>
          <w:szCs w:val="32"/>
        </w:rPr>
        <w:t>8151.4</w:t>
      </w:r>
      <w:r>
        <w:rPr>
          <w:rFonts w:hint="eastAsia" w:ascii="仿宋_GB2312" w:hAnsi="Times New Roman" w:eastAsia="仿宋_GB2312" w:cs="DengXian-Regular"/>
          <w:sz w:val="32"/>
          <w:szCs w:val="32"/>
        </w:rPr>
        <w:t>万元，增加</w:t>
      </w:r>
      <w:r>
        <w:rPr>
          <w:rFonts w:ascii="仿宋_GB2312" w:hAnsi="Times New Roman" w:eastAsia="仿宋_GB2312" w:cs="DengXian-Regular"/>
          <w:sz w:val="32"/>
          <w:szCs w:val="32"/>
        </w:rPr>
        <w:t>3226.4</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65.51%</w:t>
      </w:r>
      <w:r>
        <w:rPr>
          <w:rFonts w:hint="eastAsia" w:ascii="仿宋_GB2312" w:hAnsi="Times New Roman" w:eastAsia="仿宋_GB2312" w:cs="DengXian-Regular"/>
          <w:sz w:val="32"/>
          <w:szCs w:val="32"/>
        </w:rPr>
        <w:t>，主要是机构改革合并丰州镇政府。具体情况如下：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w:t>
      </w:r>
      <w:r>
        <w:rPr>
          <w:rFonts w:ascii="仿宋_GB2312" w:hAnsi="Times New Roman" w:eastAsia="仿宋_GB2312" w:cs="DengXian-Regular"/>
          <w:sz w:val="32"/>
          <w:szCs w:val="32"/>
        </w:rPr>
        <w:t>5153.93</w:t>
      </w:r>
      <w:r>
        <w:rPr>
          <w:rFonts w:hint="eastAsia" w:ascii="仿宋_GB2312" w:hAnsi="Times New Roman" w:eastAsia="仿宋_GB2312" w:cs="DengXian-Regular"/>
          <w:sz w:val="32"/>
          <w:szCs w:val="32"/>
        </w:rPr>
        <w:t>万元，比上年增加</w:t>
      </w:r>
      <w:r>
        <w:rPr>
          <w:rFonts w:ascii="仿宋_GB2312" w:hAnsi="Times New Roman" w:eastAsia="仿宋_GB2312" w:cs="DengXian-Regular"/>
          <w:sz w:val="32"/>
          <w:szCs w:val="32"/>
        </w:rPr>
        <w:t>2874.86</w:t>
      </w:r>
      <w:r>
        <w:rPr>
          <w:rFonts w:hint="eastAsia" w:ascii="仿宋_GB2312" w:hAnsi="Times New Roman" w:eastAsia="仿宋_GB2312" w:cs="DengXian-Regular"/>
          <w:sz w:val="32"/>
          <w:szCs w:val="32"/>
        </w:rPr>
        <w:t>万元；主要是机构改革合并丰州镇政府；本年支出</w:t>
      </w:r>
      <w:r>
        <w:rPr>
          <w:rFonts w:ascii="仿宋_GB2312" w:hAnsi="Times New Roman" w:eastAsia="仿宋_GB2312" w:cs="DengXian-Regular"/>
          <w:sz w:val="32"/>
          <w:szCs w:val="32"/>
        </w:rPr>
        <w:t>5121.68</w:t>
      </w:r>
      <w:r>
        <w:rPr>
          <w:rFonts w:hint="eastAsia" w:ascii="仿宋_GB2312" w:hAnsi="Times New Roman" w:eastAsia="仿宋_GB2312" w:cs="DengXian-Regular"/>
          <w:sz w:val="32"/>
          <w:szCs w:val="32"/>
        </w:rPr>
        <w:t>万元，比上年增加</w:t>
      </w:r>
      <w:r>
        <w:rPr>
          <w:rFonts w:ascii="仿宋_GB2312" w:hAnsi="Times New Roman" w:eastAsia="仿宋_GB2312" w:cs="DengXian-Regular"/>
          <w:sz w:val="32"/>
          <w:szCs w:val="32"/>
        </w:rPr>
        <w:t>2887.8</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129.27%</w:t>
      </w:r>
      <w:r>
        <w:rPr>
          <w:rFonts w:hint="eastAsia" w:ascii="仿宋_GB2312" w:hAnsi="Times New Roman" w:eastAsia="仿宋_GB2312" w:cs="DengXian-Regular"/>
          <w:sz w:val="32"/>
          <w:szCs w:val="32"/>
        </w:rPr>
        <w:t>，主要是机构改革合并丰州镇政府。</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ascii="仿宋_GB2312" w:hAnsi="Times New Roman" w:eastAsia="仿宋_GB2312" w:cs="DengXian-Regular"/>
          <w:sz w:val="32"/>
          <w:szCs w:val="32"/>
        </w:rPr>
        <w:t>3029.71</w:t>
      </w:r>
      <w:r>
        <w:rPr>
          <w:rFonts w:hint="eastAsia" w:ascii="仿宋_GB2312" w:hAnsi="Times New Roman" w:eastAsia="仿宋_GB2312" w:cs="DengXian-Regular"/>
          <w:sz w:val="32"/>
          <w:szCs w:val="32"/>
        </w:rPr>
        <w:t>万元，比上年增加</w:t>
      </w:r>
      <w:r>
        <w:rPr>
          <w:rFonts w:ascii="仿宋_GB2312" w:hAnsi="Times New Roman" w:eastAsia="仿宋_GB2312" w:cs="DengXian-Regular"/>
          <w:sz w:val="32"/>
          <w:szCs w:val="32"/>
        </w:rPr>
        <w:t>338.59</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12.58%</w:t>
      </w:r>
      <w:r>
        <w:rPr>
          <w:rFonts w:hint="eastAsia" w:ascii="仿宋_GB2312" w:hAnsi="Times New Roman" w:eastAsia="仿宋_GB2312" w:cs="DengXian-Regular"/>
          <w:sz w:val="32"/>
          <w:szCs w:val="32"/>
        </w:rPr>
        <w:t>，主要原因是机构改革合并丰州镇政府；本年支出</w:t>
      </w:r>
      <w:r>
        <w:rPr>
          <w:rFonts w:ascii="仿宋_GB2312" w:hAnsi="Times New Roman" w:eastAsia="仿宋_GB2312" w:cs="DengXian-Regular"/>
          <w:sz w:val="32"/>
          <w:szCs w:val="32"/>
        </w:rPr>
        <w:t>3029.71</w:t>
      </w:r>
      <w:r>
        <w:rPr>
          <w:rFonts w:hint="eastAsia" w:ascii="仿宋_GB2312" w:hAnsi="Times New Roman" w:eastAsia="仿宋_GB2312" w:cs="DengXian-Regular"/>
          <w:sz w:val="32"/>
          <w:szCs w:val="32"/>
        </w:rPr>
        <w:t>万元，比上年增加</w:t>
      </w:r>
      <w:r>
        <w:rPr>
          <w:rFonts w:ascii="仿宋_GB2312" w:hAnsi="Times New Roman" w:eastAsia="仿宋_GB2312" w:cs="DengXian-Regular"/>
          <w:sz w:val="32"/>
          <w:szCs w:val="32"/>
        </w:rPr>
        <w:t>338.59</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12.58%</w:t>
      </w:r>
      <w:r>
        <w:rPr>
          <w:rFonts w:hint="eastAsia" w:ascii="仿宋_GB2312" w:hAnsi="Times New Roman" w:eastAsia="仿宋_GB2312" w:cs="DengXian-Regular"/>
          <w:sz w:val="32"/>
          <w:szCs w:val="32"/>
        </w:rPr>
        <w:t>，主要是机构改革合并丰州镇政府。</w:t>
      </w:r>
    </w:p>
    <w:p>
      <w:pPr>
        <w:snapToGrid w:val="0"/>
        <w:spacing w:line="580" w:lineRule="exact"/>
        <w:ind w:firstLine="315" w:firstLineChars="98"/>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年度财政拨款本年收入</w:t>
      </w:r>
      <w:r>
        <w:rPr>
          <w:rFonts w:ascii="仿宋_GB2312" w:hAnsi="Times New Roman" w:eastAsia="仿宋_GB2312" w:cs="DengXian-Regular"/>
          <w:sz w:val="32"/>
          <w:szCs w:val="32"/>
        </w:rPr>
        <w:t>8183.64</w:t>
      </w:r>
      <w:r>
        <w:rPr>
          <w:rFonts w:hint="eastAsia" w:ascii="仿宋_GB2312" w:hAnsi="Times New Roman" w:eastAsia="仿宋_GB2312" w:cs="DengXian-Regular"/>
          <w:sz w:val="32"/>
          <w:szCs w:val="32"/>
        </w:rPr>
        <w:t>万元，完成年初预算的</w:t>
      </w:r>
      <w:r>
        <w:rPr>
          <w:rFonts w:ascii="仿宋_GB2312" w:hAnsi="Times New Roman" w:eastAsia="仿宋_GB2312" w:cs="DengXian-Regular"/>
          <w:sz w:val="32"/>
          <w:szCs w:val="32"/>
        </w:rPr>
        <w:t>189.88%</w:t>
      </w:r>
      <w:r>
        <w:rPr>
          <w:rFonts w:hint="eastAsia" w:ascii="仿宋_GB2312" w:hAnsi="Times New Roman" w:eastAsia="仿宋_GB2312" w:cs="DengXian-Regular"/>
          <w:sz w:val="32"/>
          <w:szCs w:val="32"/>
        </w:rPr>
        <w:t>（如图</w:t>
      </w:r>
      <w:r>
        <w:rPr>
          <w:rFonts w:ascii="仿宋_GB2312" w:hAnsi="Times New Roman" w:eastAsia="仿宋_GB2312" w:cs="DengXian-Regular"/>
          <w:sz w:val="32"/>
          <w:szCs w:val="32"/>
        </w:rPr>
        <w:t>4</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w:t>
      </w:r>
      <w:r>
        <w:rPr>
          <w:rFonts w:ascii="仿宋_GB2312" w:hAnsi="Times New Roman" w:eastAsia="仿宋_GB2312" w:cs="DengXian-Regular"/>
          <w:sz w:val="32"/>
          <w:szCs w:val="32"/>
        </w:rPr>
        <w:t>3873.85</w:t>
      </w:r>
      <w:r>
        <w:rPr>
          <w:rFonts w:hint="eastAsia" w:ascii="仿宋_GB2312" w:hAnsi="Times New Roman" w:eastAsia="仿宋_GB2312" w:cs="DengXian-Regular"/>
          <w:sz w:val="32"/>
          <w:szCs w:val="32"/>
        </w:rPr>
        <w:t>万元，决算数大于（小于）预算数主要原因是机构改革合并丰州镇政府；本年支出</w:t>
      </w:r>
      <w:r>
        <w:rPr>
          <w:rFonts w:ascii="仿宋_GB2312" w:hAnsi="Times New Roman" w:eastAsia="仿宋_GB2312" w:cs="DengXian-Regular"/>
          <w:sz w:val="32"/>
          <w:szCs w:val="32"/>
        </w:rPr>
        <w:t>8151.4</w:t>
      </w:r>
      <w:r>
        <w:rPr>
          <w:rFonts w:hint="eastAsia" w:ascii="仿宋_GB2312" w:hAnsi="Times New Roman" w:eastAsia="仿宋_GB2312" w:cs="DengXian-Regular"/>
          <w:sz w:val="32"/>
          <w:szCs w:val="32"/>
        </w:rPr>
        <w:t>万元，完成年初预算的</w:t>
      </w:r>
      <w:r>
        <w:rPr>
          <w:rFonts w:ascii="仿宋_GB2312" w:hAnsi="Times New Roman" w:eastAsia="仿宋_GB2312" w:cs="DengXian-Regular"/>
          <w:sz w:val="32"/>
          <w:szCs w:val="32"/>
        </w:rPr>
        <w:t>189.14%,</w:t>
      </w:r>
      <w:r>
        <w:rPr>
          <w:rFonts w:hint="eastAsia" w:ascii="仿宋_GB2312" w:hAnsi="Times New Roman" w:eastAsia="仿宋_GB2312" w:cs="DengXian-Regular"/>
          <w:sz w:val="32"/>
          <w:szCs w:val="32"/>
        </w:rPr>
        <w:t>比年初预算增加</w:t>
      </w:r>
      <w:r>
        <w:rPr>
          <w:rFonts w:ascii="仿宋_GB2312" w:hAnsi="Times New Roman" w:eastAsia="仿宋_GB2312" w:cs="DengXian-Regular"/>
          <w:sz w:val="32"/>
          <w:szCs w:val="32"/>
        </w:rPr>
        <w:t>3841.61</w:t>
      </w:r>
      <w:r>
        <w:rPr>
          <w:rFonts w:hint="eastAsia" w:ascii="仿宋_GB2312" w:hAnsi="Times New Roman" w:eastAsia="仿宋_GB2312" w:cs="DengXian-Regular"/>
          <w:sz w:val="32"/>
          <w:szCs w:val="32"/>
        </w:rPr>
        <w:t>万元，决算数大于（小于）预算数主要原因是主要是机构改革合并丰州镇政府。具体情况如下：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w:t>
      </w:r>
      <w:r>
        <w:rPr>
          <w:rFonts w:ascii="仿宋_GB2312" w:hAnsi="Times New Roman" w:eastAsia="仿宋_GB2312" w:cs="DengXian-Regular"/>
          <w:sz w:val="32"/>
          <w:szCs w:val="32"/>
        </w:rPr>
        <w:t>184.23%</w:t>
      </w:r>
      <w:r>
        <w:rPr>
          <w:rFonts w:hint="eastAsia" w:ascii="仿宋_GB2312" w:hAnsi="Times New Roman" w:eastAsia="仿宋_GB2312" w:cs="DengXian-Regular"/>
          <w:sz w:val="32"/>
          <w:szCs w:val="32"/>
        </w:rPr>
        <w:t>，比年初预算增加</w:t>
      </w:r>
      <w:r>
        <w:rPr>
          <w:rFonts w:ascii="仿宋_GB2312" w:hAnsi="Times New Roman" w:eastAsia="仿宋_GB2312" w:cs="DengXian-Regular"/>
          <w:sz w:val="32"/>
          <w:szCs w:val="32"/>
        </w:rPr>
        <w:t>2356.35</w:t>
      </w:r>
      <w:r>
        <w:rPr>
          <w:rFonts w:hint="eastAsia" w:ascii="仿宋_GB2312" w:hAnsi="Times New Roman" w:eastAsia="仿宋_GB2312" w:cs="DengXian-Regular"/>
          <w:sz w:val="32"/>
          <w:szCs w:val="32"/>
        </w:rPr>
        <w:t>万元，主要是机构改革合并丰州镇政府；支出完成年初预算</w:t>
      </w:r>
      <w:r>
        <w:rPr>
          <w:rFonts w:ascii="仿宋_GB2312" w:hAnsi="Times New Roman" w:eastAsia="仿宋_GB2312" w:cs="DengXian-Regular"/>
          <w:sz w:val="32"/>
          <w:szCs w:val="32"/>
        </w:rPr>
        <w:t>183.08%</w:t>
      </w:r>
      <w:r>
        <w:rPr>
          <w:rFonts w:hint="eastAsia" w:ascii="仿宋_GB2312" w:hAnsi="Times New Roman" w:eastAsia="仿宋_GB2312" w:cs="DengXian-Regular"/>
          <w:sz w:val="32"/>
          <w:szCs w:val="32"/>
        </w:rPr>
        <w:t>，比年初预算增加</w:t>
      </w:r>
      <w:r>
        <w:rPr>
          <w:rFonts w:ascii="仿宋_GB2312" w:hAnsi="Times New Roman" w:eastAsia="仿宋_GB2312" w:cs="DengXian-Regular"/>
          <w:sz w:val="32"/>
          <w:szCs w:val="32"/>
        </w:rPr>
        <w:t>2324.1</w:t>
      </w:r>
      <w:r>
        <w:rPr>
          <w:rFonts w:hint="eastAsia" w:ascii="仿宋_GB2312" w:hAnsi="Times New Roman" w:eastAsia="仿宋_GB2312" w:cs="DengXian-Regular"/>
          <w:sz w:val="32"/>
          <w:szCs w:val="32"/>
        </w:rPr>
        <w:t>万元，主要是机构改革合并丰州镇政府。</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w:t>
      </w:r>
      <w:r>
        <w:rPr>
          <w:rFonts w:ascii="仿宋_GB2312" w:hAnsi="Times New Roman" w:eastAsia="仿宋_GB2312" w:cs="DengXian-Regular"/>
          <w:sz w:val="32"/>
          <w:szCs w:val="32"/>
        </w:rPr>
        <w:t>200.35%</w:t>
      </w:r>
      <w:r>
        <w:rPr>
          <w:rFonts w:hint="eastAsia" w:ascii="仿宋_GB2312" w:hAnsi="Times New Roman" w:eastAsia="仿宋_GB2312" w:cs="DengXian-Regular"/>
          <w:sz w:val="32"/>
          <w:szCs w:val="32"/>
        </w:rPr>
        <w:t>，比年初预算增加</w:t>
      </w:r>
      <w:r>
        <w:rPr>
          <w:rFonts w:ascii="仿宋_GB2312" w:hAnsi="Times New Roman" w:eastAsia="仿宋_GB2312" w:cs="DengXian-Regular"/>
          <w:sz w:val="32"/>
          <w:szCs w:val="32"/>
        </w:rPr>
        <w:t>1517.5</w:t>
      </w:r>
      <w:r>
        <w:rPr>
          <w:rFonts w:hint="eastAsia" w:ascii="仿宋_GB2312" w:hAnsi="Times New Roman" w:eastAsia="仿宋_GB2312" w:cs="DengXian-Regular"/>
          <w:sz w:val="32"/>
          <w:szCs w:val="32"/>
        </w:rPr>
        <w:t>万元，主要是机构改革合并丰州镇政府；支出完成年初预算</w:t>
      </w:r>
      <w:r>
        <w:rPr>
          <w:rFonts w:ascii="仿宋_GB2312" w:hAnsi="Times New Roman" w:eastAsia="仿宋_GB2312" w:cs="DengXian-Regular"/>
          <w:sz w:val="32"/>
          <w:szCs w:val="32"/>
        </w:rPr>
        <w:t>200.35%</w:t>
      </w:r>
      <w:r>
        <w:rPr>
          <w:rFonts w:hint="eastAsia" w:ascii="仿宋_GB2312" w:hAnsi="Times New Roman" w:eastAsia="仿宋_GB2312" w:cs="DengXian-Regular"/>
          <w:sz w:val="32"/>
          <w:szCs w:val="32"/>
        </w:rPr>
        <w:t>，比年初预算增加</w:t>
      </w:r>
      <w:r>
        <w:rPr>
          <w:rFonts w:ascii="仿宋_GB2312" w:hAnsi="Times New Roman" w:eastAsia="仿宋_GB2312" w:cs="DengXian-Regular"/>
          <w:sz w:val="32"/>
          <w:szCs w:val="32"/>
        </w:rPr>
        <w:t>1517.5</w:t>
      </w:r>
      <w:r>
        <w:rPr>
          <w:rFonts w:hint="eastAsia" w:ascii="仿宋_GB2312" w:hAnsi="Times New Roman" w:eastAsia="仿宋_GB2312" w:cs="DengXian-Regular"/>
          <w:sz w:val="32"/>
          <w:szCs w:val="32"/>
        </w:rPr>
        <w:t>万元，主要是机构改革合并丰州镇政府。</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w:t>
      </w:r>
      <w:r>
        <w:rPr>
          <w:rFonts w:ascii="仿宋_GB2312" w:hAnsi="Times New Roman" w:eastAsia="仿宋_GB2312" w:cs="DengXian-Regular"/>
          <w:sz w:val="32"/>
          <w:szCs w:val="32"/>
        </w:rPr>
        <w:t>8151.4</w:t>
      </w:r>
      <w:r>
        <w:rPr>
          <w:rFonts w:hint="eastAsia" w:ascii="仿宋_GB2312" w:hAnsi="Times New Roman" w:eastAsia="仿宋_GB2312" w:cs="DengXian-Regular"/>
          <w:sz w:val="32"/>
          <w:szCs w:val="32"/>
        </w:rPr>
        <w:t>万元，主要用于以下方面：一般公共服务（类）支出</w:t>
      </w:r>
      <w:r>
        <w:rPr>
          <w:rFonts w:ascii="仿宋_GB2312" w:hAnsi="Times New Roman" w:eastAsia="仿宋_GB2312" w:cs="DengXian-Regular"/>
          <w:sz w:val="32"/>
          <w:szCs w:val="32"/>
        </w:rPr>
        <w:t>1462.57</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17.94%</w:t>
      </w:r>
      <w:r>
        <w:rPr>
          <w:rFonts w:hint="eastAsia" w:ascii="仿宋_GB2312" w:hAnsi="Times New Roman" w:eastAsia="仿宋_GB2312" w:cs="DengXian-Regular"/>
          <w:sz w:val="32"/>
          <w:szCs w:val="32"/>
        </w:rPr>
        <w:t>；科学技术支出</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0.02%</w:t>
      </w:r>
      <w:r>
        <w:rPr>
          <w:rFonts w:hint="eastAsia" w:ascii="仿宋_GB2312" w:hAnsi="Times New Roman" w:eastAsia="仿宋_GB2312" w:cs="DengXian-Regular"/>
          <w:sz w:val="32"/>
          <w:szCs w:val="32"/>
        </w:rPr>
        <w:t>；文化旅游体育与传媒支出</w:t>
      </w:r>
      <w:r>
        <w:rPr>
          <w:rFonts w:ascii="仿宋_GB2312" w:hAnsi="Times New Roman" w:eastAsia="仿宋_GB2312" w:cs="DengXian-Regular"/>
          <w:sz w:val="32"/>
          <w:szCs w:val="32"/>
        </w:rPr>
        <w:t>395.94</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4.86%</w:t>
      </w:r>
      <w:r>
        <w:rPr>
          <w:rFonts w:hint="eastAsia" w:ascii="仿宋_GB2312" w:hAnsi="Times New Roman" w:eastAsia="仿宋_GB2312" w:cs="DengXian-Regular"/>
          <w:sz w:val="32"/>
          <w:szCs w:val="32"/>
        </w:rPr>
        <w:t>；社会保障和就业支出</w:t>
      </w:r>
      <w:r>
        <w:rPr>
          <w:rFonts w:ascii="仿宋_GB2312" w:hAnsi="Times New Roman" w:eastAsia="仿宋_GB2312" w:cs="DengXian-Regular"/>
          <w:sz w:val="32"/>
          <w:szCs w:val="32"/>
        </w:rPr>
        <w:t>256.37</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 xml:space="preserve"> 3.15%</w:t>
      </w:r>
      <w:r>
        <w:rPr>
          <w:rFonts w:hint="eastAsia" w:ascii="仿宋_GB2312" w:hAnsi="Times New Roman" w:eastAsia="仿宋_GB2312" w:cs="DengXian-Regular"/>
          <w:sz w:val="32"/>
          <w:szCs w:val="32"/>
        </w:rPr>
        <w:t>；卫生健康支出</w:t>
      </w:r>
      <w:r>
        <w:rPr>
          <w:rFonts w:ascii="仿宋_GB2312" w:hAnsi="Times New Roman" w:eastAsia="仿宋_GB2312" w:cs="DengXian-Regular"/>
          <w:sz w:val="32"/>
          <w:szCs w:val="32"/>
        </w:rPr>
        <w:t xml:space="preserve"> 81.61</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；节能环保支出</w:t>
      </w:r>
      <w:r>
        <w:rPr>
          <w:rFonts w:ascii="仿宋_GB2312" w:hAnsi="Times New Roman" w:eastAsia="仿宋_GB2312" w:cs="DengXian-Regular"/>
          <w:sz w:val="32"/>
          <w:szCs w:val="32"/>
        </w:rPr>
        <w:t>1256.83</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 xml:space="preserve"> 15.42%;</w:t>
      </w:r>
      <w:r>
        <w:rPr>
          <w:rFonts w:hint="eastAsia" w:ascii="仿宋_GB2312" w:hAnsi="Times New Roman" w:eastAsia="仿宋_GB2312" w:cs="DengXian-Regular"/>
          <w:sz w:val="32"/>
          <w:szCs w:val="32"/>
        </w:rPr>
        <w:t>城乡社区支出</w:t>
      </w:r>
      <w:r>
        <w:rPr>
          <w:rFonts w:ascii="仿宋_GB2312" w:hAnsi="Times New Roman" w:eastAsia="仿宋_GB2312" w:cs="DengXian-Regular"/>
          <w:sz w:val="32"/>
          <w:szCs w:val="32"/>
        </w:rPr>
        <w:t>3039.03</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37.28%</w:t>
      </w:r>
      <w:r>
        <w:rPr>
          <w:rFonts w:hint="eastAsia" w:ascii="仿宋_GB2312" w:hAnsi="Times New Roman" w:eastAsia="仿宋_GB2312" w:cs="DengXian-Regular"/>
          <w:sz w:val="32"/>
          <w:szCs w:val="32"/>
        </w:rPr>
        <w:t>；农林水支出</w:t>
      </w:r>
      <w:r>
        <w:rPr>
          <w:rFonts w:ascii="仿宋_GB2312" w:hAnsi="Times New Roman" w:eastAsia="仿宋_GB2312" w:cs="DengXian-Regular"/>
          <w:sz w:val="32"/>
          <w:szCs w:val="32"/>
        </w:rPr>
        <w:t>1529.83</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 xml:space="preserve"> 18.77%</w:t>
      </w:r>
      <w:r>
        <w:rPr>
          <w:rFonts w:hint="eastAsia" w:ascii="仿宋_GB2312" w:hAnsi="Times New Roman" w:eastAsia="仿宋_GB2312" w:cs="DengXian-Regular"/>
          <w:sz w:val="32"/>
          <w:szCs w:val="32"/>
        </w:rPr>
        <w:t>；交通运输支出</w:t>
      </w:r>
      <w:r>
        <w:rPr>
          <w:rFonts w:ascii="仿宋_GB2312" w:hAnsi="Times New Roman" w:eastAsia="仿宋_GB2312" w:cs="DengXian-Regular"/>
          <w:sz w:val="32"/>
          <w:szCs w:val="32"/>
        </w:rPr>
        <w:t>4.48</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,05%</w:t>
      </w:r>
      <w:r>
        <w:rPr>
          <w:rFonts w:hint="eastAsia" w:ascii="仿宋_GB2312" w:hAnsi="Times New Roman" w:eastAsia="仿宋_GB2312" w:cs="DengXian-Regular"/>
          <w:sz w:val="32"/>
          <w:szCs w:val="32"/>
        </w:rPr>
        <w:t>；资源勘探信息支出</w:t>
      </w:r>
      <w:r>
        <w:rPr>
          <w:rFonts w:ascii="仿宋_GB2312" w:hAnsi="Times New Roman" w:eastAsia="仿宋_GB2312" w:cs="DengXian-Regular"/>
          <w:sz w:val="32"/>
          <w:szCs w:val="32"/>
        </w:rPr>
        <w:t>11.54</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 xml:space="preserve"> 0.14%</w:t>
      </w:r>
      <w:r>
        <w:rPr>
          <w:rFonts w:hint="eastAsia" w:ascii="仿宋_GB2312" w:hAnsi="Times New Roman" w:eastAsia="仿宋_GB2312" w:cs="DengXian-Regular"/>
          <w:sz w:val="32"/>
          <w:szCs w:val="32"/>
        </w:rPr>
        <w:t>；住房保障支出</w:t>
      </w:r>
      <w:r>
        <w:rPr>
          <w:rFonts w:ascii="仿宋_GB2312" w:hAnsi="Times New Roman" w:eastAsia="仿宋_GB2312" w:cs="DengXian-Regular"/>
          <w:sz w:val="32"/>
          <w:szCs w:val="32"/>
        </w:rPr>
        <w:t>111.2</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 xml:space="preserve"> 1.37%</w:t>
      </w:r>
      <w:r>
        <w:rPr>
          <w:rFonts w:hint="eastAsia" w:ascii="仿宋_GB2312" w:hAnsi="Times New Roman" w:eastAsia="仿宋_GB2312" w:cs="DengXian-Regular"/>
          <w:sz w:val="32"/>
          <w:szCs w:val="32"/>
        </w:rPr>
        <w:t>。</w:t>
      </w:r>
    </w:p>
    <w:p>
      <w:pPr>
        <w:adjustRightInd w:val="0"/>
        <w:snapToGrid w:val="0"/>
        <w:spacing w:line="580" w:lineRule="exact"/>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w:t>
      </w:r>
      <w:r>
        <w:rPr>
          <w:rFonts w:ascii="仿宋_GB2312" w:hAnsi="Times New Roman" w:eastAsia="仿宋_GB2312" w:cs="DengXian-Regular"/>
          <w:sz w:val="32"/>
          <w:szCs w:val="32"/>
        </w:rPr>
        <w:t>1808.35</w:t>
      </w:r>
      <w:r>
        <w:rPr>
          <w:rFonts w:hint="eastAsia" w:ascii="仿宋_GB2312" w:hAnsi="Times New Roman" w:eastAsia="仿宋_GB2312" w:cs="DengXian-Regular"/>
          <w:sz w:val="32"/>
          <w:szCs w:val="32"/>
        </w:rPr>
        <w:t>万元，其中：人员经费</w:t>
      </w:r>
      <w:r>
        <w:rPr>
          <w:rFonts w:ascii="仿宋_GB2312" w:hAnsi="Times New Roman" w:eastAsia="仿宋_GB2312" w:cs="DengXian-Regular"/>
          <w:sz w:val="32"/>
          <w:szCs w:val="32"/>
        </w:rPr>
        <w:t xml:space="preserve"> 1669.65</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hAnsi="Times New Roman" w:eastAsia="仿宋_GB2312" w:cs="DengXian-Regular"/>
          <w:sz w:val="32"/>
          <w:szCs w:val="32"/>
        </w:rPr>
        <w:t>138.7</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w:t>
      </w:r>
      <w:r>
        <w:rPr>
          <w:rFonts w:ascii="仿宋_GB2312" w:hAnsi="Times New Roman" w:eastAsia="仿宋_GB2312" w:cs="DengXian-Regular"/>
          <w:sz w:val="32"/>
          <w:szCs w:val="32"/>
        </w:rPr>
        <w:t>7.51</w:t>
      </w:r>
      <w:r>
        <w:rPr>
          <w:rFonts w:hint="eastAsia" w:ascii="仿宋_GB2312" w:hAnsi="Times New Roman" w:eastAsia="仿宋_GB2312" w:cs="DengXian-Regular"/>
          <w:sz w:val="32"/>
          <w:szCs w:val="32"/>
        </w:rPr>
        <w:t>万元，完成预算的</w:t>
      </w:r>
      <w:r>
        <w:rPr>
          <w:rFonts w:ascii="仿宋_GB2312" w:hAnsi="Times New Roman" w:eastAsia="仿宋_GB2312" w:cs="DengXian-Regular"/>
          <w:sz w:val="32"/>
          <w:szCs w:val="32"/>
        </w:rPr>
        <w:t>136.3%,</w:t>
      </w:r>
      <w:r>
        <w:rPr>
          <w:rFonts w:hint="eastAsia" w:ascii="仿宋_GB2312" w:hAnsi="Times New Roman" w:eastAsia="仿宋_GB2312" w:cs="DengXian-Regular"/>
          <w:sz w:val="32"/>
          <w:szCs w:val="32"/>
        </w:rPr>
        <w:t>较预算增加</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36.3%</w:t>
      </w:r>
      <w:r>
        <w:rPr>
          <w:rFonts w:hint="eastAsia" w:ascii="仿宋_GB2312" w:hAnsi="Times New Roman" w:eastAsia="仿宋_GB2312" w:cs="DengXian-Regular"/>
          <w:sz w:val="32"/>
          <w:szCs w:val="32"/>
        </w:rPr>
        <w:t>，主要是机构改革合并丰州镇政府</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年公车运行费用；较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w:t>
      </w:r>
      <w:r>
        <w:rPr>
          <w:rFonts w:ascii="仿宋_GB2312" w:hAnsi="Times New Roman" w:eastAsia="仿宋_GB2312" w:cs="DengXian-Regular"/>
          <w:sz w:val="32"/>
          <w:szCs w:val="32"/>
        </w:rPr>
        <w:t>1.72</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22.9%</w:t>
      </w:r>
      <w:r>
        <w:rPr>
          <w:rFonts w:hint="eastAsia" w:ascii="仿宋_GB2312" w:hAnsi="Times New Roman" w:eastAsia="仿宋_GB2312" w:cs="DengXian-Regular"/>
          <w:sz w:val="32"/>
          <w:szCs w:val="32"/>
        </w:rPr>
        <w:t>，主要是机构改革合并丰州镇政府</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年公车运行费用。具体情况如下：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年度因公出国（境）团组</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个、共</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人</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参加其他单位组织的因公出国（境）团组</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个、共</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人</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无本单位组织的出国（境）团组。因公出国（境）费支出较预算增加（减少）</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万元，增长（降低）</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主要是我单位没有此项费用；较上年增加（减少）</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万元，增长（降低）</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主要是我单位没有此项费用。</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ascii="楷体_GB2312" w:hAnsi="Times New Roman" w:eastAsia="楷体_GB2312" w:cs="DengXian-Bold"/>
          <w:b/>
          <w:bCs/>
          <w:sz w:val="32"/>
          <w:szCs w:val="32"/>
        </w:rPr>
        <w:t>7.51</w:t>
      </w:r>
      <w:r>
        <w:rPr>
          <w:rFonts w:hint="eastAsia" w:ascii="楷体_GB2312" w:hAnsi="Times New Roman" w:eastAsia="楷体_GB2312" w:cs="DengXian-Bold"/>
          <w:b/>
          <w:bCs/>
          <w:sz w:val="32"/>
          <w:szCs w:val="32"/>
        </w:rPr>
        <w:t>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年度公务用车购置及运行维护费较预算增加</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36.3%,</w:t>
      </w:r>
      <w:r>
        <w:rPr>
          <w:rFonts w:hint="eastAsia" w:ascii="仿宋_GB2312" w:hAnsi="Times New Roman" w:eastAsia="仿宋_GB2312" w:cs="DengXian-Regular"/>
          <w:sz w:val="32"/>
          <w:szCs w:val="32"/>
        </w:rPr>
        <w:t>主要是机构改革合并丰州镇政府</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年公车运行费用；较上年增加</w:t>
      </w:r>
      <w:r>
        <w:rPr>
          <w:rFonts w:ascii="仿宋_GB2312" w:hAnsi="Times New Roman" w:eastAsia="仿宋_GB2312" w:cs="DengXian-Regular"/>
          <w:sz w:val="32"/>
          <w:szCs w:val="32"/>
        </w:rPr>
        <w:t>1.72</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22.9%</w:t>
      </w:r>
      <w:r>
        <w:rPr>
          <w:rFonts w:hint="eastAsia" w:ascii="仿宋_GB2312" w:hAnsi="Times New Roman" w:eastAsia="仿宋_GB2312" w:cs="DengXian-Regular"/>
          <w:sz w:val="32"/>
          <w:szCs w:val="32"/>
        </w:rPr>
        <w:t>，主要是机构改革合并丰州镇政府</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年公车运行费用。</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年度公务用车购置量</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辆，发生“公务用车购置”经费支出</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万元。公务用车购置费支出较预算增加（减少）</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万元，增长（降低）</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较上年增加（减少）</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万元，增长（降低）</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辆。公车运行维护费支出较预算增加</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36.3%,%</w:t>
      </w:r>
      <w:r>
        <w:rPr>
          <w:rFonts w:hint="eastAsia" w:ascii="仿宋_GB2312" w:hAnsi="Times New Roman" w:eastAsia="仿宋_GB2312" w:cs="DengXian-Regular"/>
          <w:sz w:val="32"/>
          <w:szCs w:val="32"/>
        </w:rPr>
        <w:t>主要是机构改革合并丰州镇政府</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年公车运行费用；较上年增加</w:t>
      </w:r>
      <w:r>
        <w:rPr>
          <w:rFonts w:ascii="仿宋_GB2312" w:hAnsi="Times New Roman" w:eastAsia="仿宋_GB2312" w:cs="DengXian-Regular"/>
          <w:sz w:val="32"/>
          <w:szCs w:val="32"/>
        </w:rPr>
        <w:t>1.72</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22.9%</w:t>
      </w:r>
      <w:r>
        <w:rPr>
          <w:rFonts w:hint="eastAsia" w:ascii="仿宋_GB2312" w:hAnsi="Times New Roman" w:eastAsia="仿宋_GB2312" w:cs="DengXian-Regular"/>
          <w:sz w:val="32"/>
          <w:szCs w:val="32"/>
        </w:rPr>
        <w:t>，主要是机构改革合并丰州镇政府</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年公车运行费用。</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年度公务接待共</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批次、</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人次。公务接待费支出较预算减少</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；较上年度减少</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年度一般公共预算项目支出全面开展绩效自评，其中，预算项目</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个，共涉及资金</w:t>
      </w:r>
      <w:r>
        <w:rPr>
          <w:rFonts w:ascii="仿宋_GB2312" w:hAnsi="仿宋_GB2312" w:eastAsia="仿宋_GB2312" w:cs="仿宋_GB2312"/>
          <w:sz w:val="32"/>
          <w:szCs w:val="32"/>
        </w:rPr>
        <w:t>3443</w:t>
      </w:r>
      <w:r>
        <w:rPr>
          <w:rFonts w:hint="eastAsia" w:ascii="仿宋_GB2312" w:hAnsi="仿宋_GB2312" w:eastAsia="仿宋_GB2312" w:cs="仿宋_GB2312"/>
          <w:sz w:val="32"/>
          <w:szCs w:val="32"/>
        </w:rPr>
        <w:t>万元。组织对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年度失地再就业补贴、项目占地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个政府性基金预算项目支出开展绩效自评，共涉及资金</w:t>
      </w:r>
      <w:r>
        <w:rPr>
          <w:rFonts w:ascii="仿宋_GB2312" w:hAnsi="仿宋_GB2312" w:eastAsia="仿宋_GB2312" w:cs="仿宋_GB2312"/>
          <w:sz w:val="32"/>
          <w:szCs w:val="32"/>
        </w:rPr>
        <w:t>2132</w:t>
      </w:r>
      <w:r>
        <w:rPr>
          <w:rFonts w:hint="eastAsia" w:ascii="仿宋_GB2312" w:hAnsi="仿宋_GB2312" w:eastAsia="仿宋_GB2312" w:cs="仿宋_GB2312"/>
          <w:sz w:val="32"/>
          <w:szCs w:val="32"/>
        </w:rPr>
        <w:t>万元，占政府性基金预算项目支出总额的</w:t>
      </w:r>
      <w:r>
        <w:rPr>
          <w:rFonts w:ascii="仿宋_GB2312" w:hAnsi="仿宋_GB2312" w:eastAsia="仿宋_GB2312" w:cs="仿宋_GB2312"/>
          <w:sz w:val="32"/>
          <w:szCs w:val="32"/>
        </w:rPr>
        <w:t>70.36%</w:t>
      </w:r>
      <w:r>
        <w:rPr>
          <w:rFonts w:hint="eastAsia" w:ascii="仿宋_GB2312" w:hAnsi="仿宋_GB2312" w:eastAsia="仿宋_GB2312" w:cs="仿宋_GB2312"/>
          <w:sz w:val="32"/>
          <w:szCs w:val="32"/>
        </w:rPr>
        <w:t>。组织对“村干部基础补贴”“服务群众专项经费”等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个项目开展了部门评价，涉及一般公共预算支出</w:t>
      </w:r>
      <w:r>
        <w:rPr>
          <w:rFonts w:ascii="仿宋_GB2312" w:hAnsi="仿宋_GB2312" w:eastAsia="仿宋_GB2312" w:cs="仿宋_GB2312"/>
          <w:sz w:val="32"/>
          <w:szCs w:val="32"/>
        </w:rPr>
        <w:t>1311</w:t>
      </w:r>
      <w:r>
        <w:rPr>
          <w:rFonts w:hint="eastAsia" w:ascii="仿宋_GB2312" w:hAnsi="仿宋_GB2312" w:eastAsia="仿宋_GB2312" w:cs="仿宋_GB2312"/>
          <w:sz w:val="32"/>
          <w:szCs w:val="32"/>
        </w:rPr>
        <w:t>万元，占一般预算预算项目支出总额的</w:t>
      </w:r>
      <w:r>
        <w:rPr>
          <w:rFonts w:ascii="仿宋_GB2312" w:hAnsi="仿宋_GB2312" w:eastAsia="仿宋_GB2312" w:cs="仿宋_GB2312"/>
          <w:sz w:val="32"/>
          <w:szCs w:val="32"/>
        </w:rPr>
        <w:t>72.49%</w:t>
      </w:r>
      <w:r>
        <w:rPr>
          <w:rFonts w:hint="eastAsia" w:ascii="仿宋_GB2312" w:hAnsi="仿宋_GB2312" w:eastAsia="仿宋_GB2312" w:cs="仿宋_GB2312"/>
          <w:sz w:val="32"/>
          <w:szCs w:val="32"/>
        </w:rPr>
        <w:t>。从评价情况来看，通过绩效自评，得分全部</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分以上，评价结果为良好。</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numPr>
          <w:ilvl w:val="0"/>
          <w:numId w:val="4"/>
        </w:numPr>
        <w:adjustRightInd w:val="0"/>
        <w:snapToGrid w:val="0"/>
        <w:spacing w:line="580" w:lineRule="exact"/>
        <w:ind w:left="42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本部门在今年部门决算公开中反映村干部基础补贴项目及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服务群众专项经费项目等</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个项目绩效自评结果。根据年初设定的绩效目标，</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个项目绩效自评得分为</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分以上。全年预算数为</w:t>
      </w:r>
      <w:r>
        <w:rPr>
          <w:rFonts w:ascii="仿宋_GB2312" w:hAnsi="仿宋_GB2312" w:eastAsia="仿宋_GB2312" w:cs="仿宋_GB2312"/>
          <w:sz w:val="32"/>
          <w:szCs w:val="32"/>
        </w:rPr>
        <w:t>3443</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3443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。评价结果为良好。</w:t>
      </w:r>
    </w:p>
    <w:p>
      <w:pPr>
        <w:keepNext/>
        <w:keepLines/>
        <w:snapToGrid w:val="0"/>
        <w:spacing w:line="580" w:lineRule="exact"/>
        <w:ind w:firstLine="470" w:firstLineChars="147"/>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w:t>
      </w:r>
      <w:r>
        <w:rPr>
          <w:rFonts w:ascii="仿宋_GB2312" w:hAnsi="Times New Roman" w:eastAsia="仿宋_GB2312" w:cs="DengXian-Regular"/>
          <w:sz w:val="32"/>
          <w:szCs w:val="32"/>
        </w:rPr>
        <w:t>138.7</w:t>
      </w:r>
      <w:r>
        <w:rPr>
          <w:rFonts w:hint="eastAsia" w:ascii="仿宋_GB2312" w:hAnsi="Times New Roman" w:eastAsia="仿宋_GB2312" w:cs="DengXian-Regular"/>
          <w:sz w:val="32"/>
          <w:szCs w:val="32"/>
        </w:rPr>
        <w:t>万元，比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eastAsia="zh-CN"/>
        </w:rPr>
        <w:t>决算数</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92.87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203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。主要原因是机构改革合并丰州镇政府</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年机关运行费用。</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万元、政府采购工程支出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万元、政府采购服务支出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万元。授予中小企业合同金</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，其中授予小微企业合同金额</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辆，比上年增持平。其中，副部（省）级及以上领导用车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辆，主要领导干部用车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辆，机要通信用车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辆，应急保障用车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辆，执法执勤用车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辆，特种专业技术用车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辆，离退休干部用车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辆，其他用车</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辆，其他用车主要是一般公务用车；</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台（套），比上年持平，单位价值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台（套）比上年持平。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480" w:firstLineChars="15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pict>
          <v:shape id="_x0000_s1040" o:spid="_x0000_s1040" o:spt="202" type="#_x0000_t202" style="position:absolute;left:0pt;margin-left:-80.45pt;margin-top:34.8pt;height:263.1pt;width:613.65pt;z-index:251669504;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w:r>
    </w:p>
    <w:p/>
    <w:p/>
    <w:p/>
    <w:p/>
    <w:p/>
    <w:p/>
    <w:p/>
    <w:p/>
    <w:p/>
    <w:p/>
    <w:p/>
    <w:p/>
    <w:p/>
    <w:p>
      <w:pPr>
        <w:tabs>
          <w:tab w:val="left" w:pos="886"/>
        </w:tabs>
        <w:jc w:val="left"/>
        <w:sectPr>
          <w:headerReference r:id="rId17" w:type="first"/>
          <w:pgSz w:w="11906" w:h="16838"/>
          <w:pgMar w:top="2041" w:right="1531" w:bottom="2041" w:left="1531" w:header="851" w:footer="992" w:gutter="0"/>
          <w:pgNumType w:fmt="numberInDash"/>
          <w:cols w:space="0" w:num="1"/>
          <w:titlePg/>
          <w:docGrid w:type="lines" w:linePitch="312" w:charSpace="0"/>
        </w:sectPr>
      </w:pPr>
    </w:p>
    <w:p>
      <w:pPr>
        <w:spacing w:after="160" w:line="480" w:lineRule="auto"/>
        <w:rPr>
          <w:rFonts w:ascii="仿宋_GB2312" w:hAnsi="宋体" w:eastAsia="仿宋_GB2312" w:cs="MS-UIGothic,Bold"/>
          <w:bCs/>
          <w:sz w:val="32"/>
          <w:szCs w:val="32"/>
        </w:rPr>
      </w:pP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tabs>
          <w:tab w:val="left" w:pos="235"/>
        </w:tabs>
        <w:jc w:val="left"/>
        <w:sectPr>
          <w:headerReference r:id="rId18" w:type="default"/>
          <w:pgSz w:w="11906" w:h="16838"/>
          <w:pgMar w:top="2098" w:right="1474" w:bottom="1985" w:left="1588" w:header="851" w:footer="992" w:gutter="0"/>
          <w:pgNumType w:fmt="numberInDash"/>
          <w:cols w:space="425" w:num="1"/>
          <w:docGrid w:type="lines" w:linePitch="312" w:charSpace="0"/>
        </w:sectPr>
      </w:pPr>
      <w:r>
        <w:pict>
          <v:shape id="_x0000_s1041" o:spid="_x0000_s1041" o:spt="202" type="#_x0000_t202" style="position:absolute;left:0pt;margin-left:-82.05pt;margin-top:135.85pt;height:263.1pt;width:613.65pt;z-index:-251656192;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tbl>
      <w:tblPr>
        <w:tblStyle w:val="7"/>
        <w:tblW w:w="11381" w:type="dxa"/>
        <w:tblInd w:w="-1733" w:type="dxa"/>
        <w:tblLayout w:type="fixed"/>
        <w:tblCellMar>
          <w:top w:w="0" w:type="dxa"/>
          <w:left w:w="108" w:type="dxa"/>
          <w:bottom w:w="0" w:type="dxa"/>
          <w:right w:w="108" w:type="dxa"/>
        </w:tblCellMar>
      </w:tblPr>
      <w:tblGrid>
        <w:gridCol w:w="3274"/>
        <w:gridCol w:w="624"/>
        <w:gridCol w:w="2151"/>
        <w:gridCol w:w="3195"/>
        <w:gridCol w:w="624"/>
        <w:gridCol w:w="1513"/>
      </w:tblGrid>
      <w:tr>
        <w:tblPrEx>
          <w:tblCellMar>
            <w:top w:w="0" w:type="dxa"/>
            <w:left w:w="108" w:type="dxa"/>
            <w:bottom w:w="0" w:type="dxa"/>
            <w:right w:w="108" w:type="dxa"/>
          </w:tblCellMar>
        </w:tblPrEx>
        <w:trPr>
          <w:trHeight w:val="390" w:hRule="atLeast"/>
        </w:trPr>
        <w:tc>
          <w:tcPr>
            <w:tcW w:w="11381" w:type="dxa"/>
            <w:gridSpan w:val="6"/>
            <w:tcBorders>
              <w:top w:val="nil"/>
              <w:left w:val="nil"/>
              <w:bottom w:val="nil"/>
              <w:right w:val="nil"/>
            </w:tcBorders>
            <w:noWrap/>
            <w:vAlign w:val="bottom"/>
          </w:tcPr>
          <w:p>
            <w:pPr>
              <w:widowControl/>
              <w:jc w:val="center"/>
              <w:rPr>
                <w:rFonts w:ascii="Arial" w:hAnsi="Arial" w:eastAsia="宋体" w:cs="Arial"/>
                <w:color w:val="000000"/>
                <w:kern w:val="0"/>
                <w:sz w:val="20"/>
                <w:szCs w:val="20"/>
              </w:rPr>
            </w:pP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3274"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624"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2151"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19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624"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513" w:type="dxa"/>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w:t>
            </w:r>
            <w:r>
              <w:rPr>
                <w:rFonts w:ascii="宋体" w:hAnsi="宋体" w:eastAsia="宋体" w:cs="Arial"/>
                <w:color w:val="000000"/>
                <w:kern w:val="0"/>
                <w:sz w:val="20"/>
                <w:szCs w:val="20"/>
              </w:rPr>
              <w:t>01</w:t>
            </w:r>
            <w:r>
              <w:rPr>
                <w:rFonts w:hint="eastAsia" w:ascii="宋体" w:hAnsi="宋体" w:eastAsia="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3274" w:type="dxa"/>
            <w:tcBorders>
              <w:top w:val="nil"/>
              <w:left w:val="nil"/>
              <w:bottom w:val="nil"/>
              <w:right w:val="nil"/>
            </w:tcBorders>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部门：平乡县中华路街道办事处</w:t>
            </w:r>
          </w:p>
        </w:tc>
        <w:tc>
          <w:tcPr>
            <w:tcW w:w="624"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2151"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19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624"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513" w:type="dxa"/>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049"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5332"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1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51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1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51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5,153.93</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29</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1,462.57</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30</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31</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32</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33</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6</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34</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7</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35</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395.94</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8</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36</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256.37</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9</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37</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81.61</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10</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38</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1,256.83</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11</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39</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3,039.03</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12</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40</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1,529.83</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13</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41</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14</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42</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15</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43</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16</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44</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17</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45</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18</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46</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19</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47</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20</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48</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21</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49</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22</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50</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23</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二十四、债务付息支出</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51</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24</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8,183.64</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52</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8,151.40</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25</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53</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26</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45.19</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54</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77.43</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27</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55</w:t>
            </w:r>
          </w:p>
        </w:tc>
        <w:tc>
          <w:tcPr>
            <w:tcW w:w="151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274"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28</w:t>
            </w:r>
          </w:p>
        </w:tc>
        <w:tc>
          <w:tcPr>
            <w:tcW w:w="2151"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8,228.83</w:t>
            </w:r>
          </w:p>
        </w:tc>
        <w:tc>
          <w:tcPr>
            <w:tcW w:w="319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2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56</w:t>
            </w:r>
          </w:p>
        </w:tc>
        <w:tc>
          <w:tcPr>
            <w:tcW w:w="151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8,228.83</w:t>
            </w:r>
          </w:p>
        </w:tc>
      </w:tr>
      <w:tr>
        <w:tblPrEx>
          <w:tblCellMar>
            <w:top w:w="0" w:type="dxa"/>
            <w:left w:w="108" w:type="dxa"/>
            <w:bottom w:w="0" w:type="dxa"/>
            <w:right w:w="108" w:type="dxa"/>
          </w:tblCellMar>
        </w:tblPrEx>
        <w:trPr>
          <w:trHeight w:val="308" w:hRule="atLeast"/>
        </w:trPr>
        <w:tc>
          <w:tcPr>
            <w:tcW w:w="11381" w:type="dxa"/>
            <w:gridSpan w:val="6"/>
            <w:tcBorders>
              <w:top w:val="nil"/>
              <w:left w:val="nil"/>
              <w:bottom w:val="nil"/>
              <w:right w:val="nil"/>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注：本表反映部门本年度的总收支和年末结转结余情况。</w:t>
            </w:r>
          </w:p>
        </w:tc>
      </w:tr>
    </w:tbl>
    <w:p>
      <w:pPr>
        <w:tabs>
          <w:tab w:val="left" w:pos="886"/>
        </w:tabs>
        <w:jc w:val="left"/>
      </w:pPr>
    </w:p>
    <w:p>
      <w:pPr>
        <w:jc w:val="left"/>
      </w:pPr>
    </w:p>
    <w:tbl>
      <w:tblPr>
        <w:tblStyle w:val="7"/>
        <w:tblW w:w="0" w:type="auto"/>
        <w:tblInd w:w="83" w:type="dxa"/>
        <w:tblLayout w:type="fixed"/>
        <w:tblCellMar>
          <w:top w:w="0" w:type="dxa"/>
          <w:left w:w="108" w:type="dxa"/>
          <w:bottom w:w="0" w:type="dxa"/>
          <w:right w:w="108" w:type="dxa"/>
        </w:tblCellMar>
      </w:tblPr>
      <w:tblGrid>
        <w:gridCol w:w="288"/>
        <w:gridCol w:w="288"/>
        <w:gridCol w:w="288"/>
        <w:gridCol w:w="3442"/>
        <w:gridCol w:w="1170"/>
        <w:gridCol w:w="1110"/>
        <w:gridCol w:w="345"/>
        <w:gridCol w:w="390"/>
        <w:gridCol w:w="405"/>
        <w:gridCol w:w="376"/>
        <w:gridCol w:w="1103"/>
      </w:tblGrid>
      <w:tr>
        <w:tblPrEx>
          <w:tblCellMar>
            <w:top w:w="0" w:type="dxa"/>
            <w:left w:w="108" w:type="dxa"/>
            <w:bottom w:w="0" w:type="dxa"/>
            <w:right w:w="108" w:type="dxa"/>
          </w:tblCellMar>
        </w:tblPrEx>
        <w:trPr>
          <w:trHeight w:val="390" w:hRule="atLeast"/>
        </w:trPr>
        <w:tc>
          <w:tcPr>
            <w:tcW w:w="288"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8917" w:type="dxa"/>
            <w:gridSpan w:val="10"/>
            <w:tcBorders>
              <w:top w:val="nil"/>
              <w:left w:val="nil"/>
              <w:bottom w:val="nil"/>
              <w:right w:val="nil"/>
            </w:tcBorders>
            <w:noWrap/>
            <w:vAlign w:val="bottom"/>
          </w:tcPr>
          <w:p>
            <w:pPr>
              <w:widowControl/>
              <w:jc w:val="center"/>
              <w:rPr>
                <w:rFonts w:ascii="Arial" w:hAnsi="Arial" w:eastAsia="宋体" w:cs="Arial"/>
                <w:color w:val="000000"/>
                <w:kern w:val="0"/>
                <w:sz w:val="20"/>
                <w:szCs w:val="2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288"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288"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288"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442"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7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1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4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9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40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76"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03" w:type="dxa"/>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w:t>
            </w:r>
            <w:r>
              <w:rPr>
                <w:rFonts w:ascii="宋体" w:hAnsi="宋体" w:eastAsia="宋体" w:cs="Arial"/>
                <w:color w:val="000000"/>
                <w:kern w:val="0"/>
                <w:sz w:val="20"/>
                <w:szCs w:val="20"/>
              </w:rPr>
              <w:t>02</w:t>
            </w:r>
            <w:r>
              <w:rPr>
                <w:rFonts w:hint="eastAsia" w:ascii="宋体" w:hAnsi="宋体" w:eastAsia="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4306" w:type="dxa"/>
            <w:gridSpan w:val="4"/>
            <w:tcBorders>
              <w:top w:val="nil"/>
              <w:left w:val="nil"/>
              <w:bottom w:val="nil"/>
              <w:right w:val="nil"/>
            </w:tcBorders>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部门：平乡县中华路街道办事处</w:t>
            </w:r>
          </w:p>
        </w:tc>
        <w:tc>
          <w:tcPr>
            <w:tcW w:w="117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1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4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9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40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76"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03" w:type="dxa"/>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3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11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34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39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40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37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10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86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44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1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6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1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6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1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30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17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w:t>
            </w:r>
          </w:p>
        </w:tc>
        <w:tc>
          <w:tcPr>
            <w:tcW w:w="111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w:t>
            </w:r>
          </w:p>
        </w:tc>
        <w:tc>
          <w:tcPr>
            <w:tcW w:w="34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w:t>
            </w:r>
          </w:p>
        </w:tc>
        <w:tc>
          <w:tcPr>
            <w:tcW w:w="40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6</w:t>
            </w:r>
          </w:p>
        </w:tc>
        <w:tc>
          <w:tcPr>
            <w:tcW w:w="110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7</w:t>
            </w:r>
          </w:p>
        </w:tc>
      </w:tr>
      <w:tr>
        <w:tblPrEx>
          <w:tblCellMar>
            <w:top w:w="0" w:type="dxa"/>
            <w:left w:w="108" w:type="dxa"/>
            <w:bottom w:w="0" w:type="dxa"/>
            <w:right w:w="108" w:type="dxa"/>
          </w:tblCellMar>
        </w:tblPrEx>
        <w:trPr>
          <w:trHeight w:val="308" w:hRule="atLeast"/>
        </w:trPr>
        <w:tc>
          <w:tcPr>
            <w:tcW w:w="430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8,183.64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8,183.64</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1,462.57</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1,462.57</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2010199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其他人大事务支出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20103</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1,438.05</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1,438.05</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2010301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1,407.55</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1,407.55</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2010308</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信访事务</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30.50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30.50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20129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群众团体事务</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2012901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2012999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其他群众团体事务支出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20131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党委办公厅（室）及相关机构事务</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2013101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2019999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其他一般公共服务支出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206</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20699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其他科学技术支出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2069901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科技奖励</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395.94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395.94</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2070101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2070108</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文化活动</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5.50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5.50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20703</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体育</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2070305</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体育竞赛</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其他文化体育与传媒支出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2079999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其他文化体育与传媒支出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256.37</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256.37</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c>
          <w:tcPr>
            <w:tcW w:w="345" w:type="dxa"/>
            <w:tcBorders>
              <w:top w:val="nil"/>
              <w:left w:val="nil"/>
              <w:bottom w:val="single" w:color="000000" w:sz="4" w:space="0"/>
              <w:right w:val="single" w:color="000000" w:sz="4" w:space="0"/>
            </w:tcBorders>
            <w:noWrap/>
            <w:vAlign w:val="center"/>
          </w:tcPr>
          <w:p>
            <w:pPr>
              <w:widowControl/>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2080199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其他人力资源和社会保障管理事务支出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20805</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2080505</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机关事业单位基本养老保险缴费支出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退役安置</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2080999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其他退役安置支出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20810</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2081004</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殡葬</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20827</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财政对其他社会保险基金的补助</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2082702</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财政对工伤保险基金的补助</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20828</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2082899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其他退役军人事务管理支出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81.61</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81.61</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21007</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12.17</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12.17</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2100716</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计划生育机构</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2100799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其他计划生育事务支出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7.17</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7.17</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21011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2101101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行政单位医疗</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1,289.08</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1,289.08</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环境保护管理事务</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2110101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21103</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1,027.30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1,027.30</w:t>
            </w:r>
          </w:p>
        </w:tc>
        <w:tc>
          <w:tcPr>
            <w:tcW w:w="345"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2110301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大气</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740.31</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740.31</w:t>
            </w:r>
          </w:p>
        </w:tc>
        <w:tc>
          <w:tcPr>
            <w:tcW w:w="345"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2110302</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水体</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286.99</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286.99</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21104</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2110402</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农村环境保护</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21113</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循环经济</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2111301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循环经济</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3,039.03</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3,039.03</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国有土地使用权出让收入及对应专项债务收入安排的支出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2120803</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城市建设支出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9.01</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9.01</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2120804</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农村基础设施建设支出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202.86</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202.86</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2120805</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补助被征地农民支出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2,817.84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2,817.84</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2129901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2129901</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1,529.83</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1,529.83</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611.87</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611.87</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1.97</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1.97</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2130126</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农村公益事业</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121.09</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121.09</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2130142</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农村道路建设</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471.81</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471.81</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其他农业支出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21302</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2130205</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森林培育</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21307</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653.41</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653.41</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2130705</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对村民委员会和村党支部的补助</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603.41</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603.41</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2130799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其他农村综合改革支出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c>
          <w:tcPr>
            <w:tcW w:w="345"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2139999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其他农林水支出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214</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21401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公路水路运输</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2140112</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公路运输管理</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215</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资源勘探信息等支出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21508</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支持中小企业发展和管理支出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345" w:type="dxa"/>
            <w:tcBorders>
              <w:top w:val="nil"/>
              <w:left w:val="nil"/>
              <w:bottom w:val="single" w:color="000000" w:sz="4" w:space="0"/>
              <w:right w:val="single" w:color="000000" w:sz="4" w:space="0"/>
            </w:tcBorders>
            <w:noWrap/>
            <w:vAlign w:val="center"/>
          </w:tcPr>
          <w:p>
            <w:pPr>
              <w:widowControl/>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2150899</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其他支持中小企业发展和管理支出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221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22102</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64"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2210201</w:t>
            </w:r>
          </w:p>
        </w:tc>
        <w:tc>
          <w:tcPr>
            <w:tcW w:w="344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住房公积金</w:t>
            </w:r>
          </w:p>
        </w:tc>
        <w:tc>
          <w:tcPr>
            <w:tcW w:w="117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11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34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4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76"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03"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9205" w:type="dxa"/>
            <w:gridSpan w:val="11"/>
            <w:tcBorders>
              <w:top w:val="nil"/>
              <w:left w:val="nil"/>
              <w:bottom w:val="nil"/>
              <w:right w:val="nil"/>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Pr>
        <w:jc w:val="left"/>
      </w:pPr>
    </w:p>
    <w:p>
      <w:pPr>
        <w:jc w:val="left"/>
      </w:pPr>
    </w:p>
    <w:p>
      <w:pPr>
        <w:jc w:val="left"/>
      </w:pPr>
    </w:p>
    <w:p>
      <w:pPr>
        <w:jc w:val="left"/>
      </w:pPr>
    </w:p>
    <w:p>
      <w:pPr>
        <w:jc w:val="left"/>
      </w:pPr>
    </w:p>
    <w:p>
      <w:pPr>
        <w:jc w:val="left"/>
      </w:pPr>
    </w:p>
    <w:tbl>
      <w:tblPr>
        <w:tblStyle w:val="7"/>
        <w:tblW w:w="9480" w:type="dxa"/>
        <w:tblInd w:w="83" w:type="dxa"/>
        <w:tblLayout w:type="fixed"/>
        <w:tblCellMar>
          <w:top w:w="0" w:type="dxa"/>
          <w:left w:w="108" w:type="dxa"/>
          <w:bottom w:w="0" w:type="dxa"/>
          <w:right w:w="108" w:type="dxa"/>
        </w:tblCellMar>
      </w:tblPr>
      <w:tblGrid>
        <w:gridCol w:w="292"/>
        <w:gridCol w:w="293"/>
        <w:gridCol w:w="293"/>
        <w:gridCol w:w="3233"/>
        <w:gridCol w:w="1260"/>
        <w:gridCol w:w="1155"/>
        <w:gridCol w:w="1125"/>
        <w:gridCol w:w="315"/>
        <w:gridCol w:w="384"/>
        <w:gridCol w:w="1130"/>
      </w:tblGrid>
      <w:tr>
        <w:tblPrEx>
          <w:tblCellMar>
            <w:top w:w="0" w:type="dxa"/>
            <w:left w:w="108" w:type="dxa"/>
            <w:bottom w:w="0" w:type="dxa"/>
            <w:right w:w="108" w:type="dxa"/>
          </w:tblCellMar>
        </w:tblPrEx>
        <w:trPr>
          <w:trHeight w:val="390" w:hRule="atLeast"/>
        </w:trPr>
        <w:tc>
          <w:tcPr>
            <w:tcW w:w="9480" w:type="dxa"/>
            <w:gridSpan w:val="10"/>
            <w:tcBorders>
              <w:top w:val="nil"/>
              <w:left w:val="nil"/>
              <w:bottom w:val="nil"/>
              <w:right w:val="nil"/>
            </w:tcBorders>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292"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293"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293"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233"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26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5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2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1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84"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30" w:type="dxa"/>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w:t>
            </w:r>
            <w:r>
              <w:rPr>
                <w:rFonts w:ascii="宋体" w:hAnsi="宋体" w:eastAsia="宋体" w:cs="Arial"/>
                <w:color w:val="000000"/>
                <w:kern w:val="0"/>
                <w:sz w:val="20"/>
                <w:szCs w:val="20"/>
              </w:rPr>
              <w:t>03</w:t>
            </w:r>
            <w:r>
              <w:rPr>
                <w:rFonts w:hint="eastAsia" w:ascii="宋体" w:hAnsi="宋体" w:eastAsia="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4111" w:type="dxa"/>
            <w:gridSpan w:val="4"/>
            <w:tcBorders>
              <w:top w:val="nil"/>
              <w:left w:val="nil"/>
              <w:bottom w:val="nil"/>
              <w:right w:val="nil"/>
            </w:tcBorders>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部门：平乡县中华路街道办事处</w:t>
            </w:r>
          </w:p>
        </w:tc>
        <w:tc>
          <w:tcPr>
            <w:tcW w:w="126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5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2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1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84"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30" w:type="dxa"/>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11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26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15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12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31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38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13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87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233"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7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23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7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23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111"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2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w:t>
            </w:r>
          </w:p>
        </w:tc>
        <w:tc>
          <w:tcPr>
            <w:tcW w:w="115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w:t>
            </w:r>
          </w:p>
        </w:tc>
        <w:tc>
          <w:tcPr>
            <w:tcW w:w="112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w:t>
            </w:r>
          </w:p>
        </w:tc>
        <w:tc>
          <w:tcPr>
            <w:tcW w:w="31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w:t>
            </w:r>
          </w:p>
        </w:tc>
        <w:tc>
          <w:tcPr>
            <w:tcW w:w="38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w:t>
            </w:r>
          </w:p>
        </w:tc>
        <w:tc>
          <w:tcPr>
            <w:tcW w:w="113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4111"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8,151.40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1,808.35</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6,343.04</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1,462.57</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1,450.57</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2010199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其他人大事务支出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20103</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1,438.05</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1,438.05</w:t>
            </w:r>
          </w:p>
        </w:tc>
        <w:tc>
          <w:tcPr>
            <w:tcW w:w="1125"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2010301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1,407.55</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1,407.55</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2010308</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信访事务</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30.50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30.50</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20129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群众团体事务</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2012901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2012999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其他群众团体事务支出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20131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党委办公厅（室）及相关机构事务</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2013101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2019999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其他一般公共服务支出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206</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20699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其他科学技术支出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2069901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科技奖励</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395.94</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395.94</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1155"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2070101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2070108</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文化活动</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5.50</w:t>
            </w:r>
          </w:p>
        </w:tc>
        <w:tc>
          <w:tcPr>
            <w:tcW w:w="1155"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5.50</w:t>
            </w:r>
          </w:p>
        </w:tc>
        <w:tc>
          <w:tcPr>
            <w:tcW w:w="315"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20703</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体育</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2070305</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体育竞赛</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其他文化体育与传媒支出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c>
          <w:tcPr>
            <w:tcW w:w="315"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2079999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其他文化体育与传媒支出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256.37</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175.17</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81.19</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2080199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其他人力资源和社会保障管理事务支出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c>
          <w:tcPr>
            <w:tcW w:w="315" w:type="dxa"/>
            <w:tcBorders>
              <w:top w:val="nil"/>
              <w:left w:val="nil"/>
              <w:bottom w:val="single" w:color="000000" w:sz="4" w:space="0"/>
              <w:right w:val="single" w:color="000000" w:sz="4" w:space="0"/>
            </w:tcBorders>
            <w:noWrap/>
            <w:vAlign w:val="center"/>
          </w:tcPr>
          <w:p>
            <w:pPr>
              <w:widowControl/>
              <w:jc w:val="center"/>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20805</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2080505</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机关事业单位基本养老保险缴费支出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退役安置</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2080999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其他退役安置支出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20810</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2081004</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殡葬</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20827</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财政对其他社会保险基金的补助</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2082702</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财政对工伤保险基金的补助</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20828</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2082899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其他退役军人事务管理支出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81.61</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12.17</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21007</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12.17</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12.17</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2100716</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计划生育机构</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2100799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其他计划生育事务支出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7.17</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7.17</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21011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2101101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行政单位医疗</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1,256.83</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1,256.83</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环境保护管理事务</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2110101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21103</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995.05</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995.05</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2110301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大气</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708.06</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708.06</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2110302</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水体</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286.99</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286.99</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21104</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2110402</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农村环境保护</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21113</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循环经济</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2111301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循环经济</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3,039.03</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3,039.03</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国有土地使用权出让收入及对应专项债务收入安排的支出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2120803</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城市建设支出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9.01</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9.01</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2120804</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农村基础设施建设支出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202.86</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202.86</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2120805</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补助被征地农民支出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2,817.84</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2,817.84</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2129901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2129901</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1,529.83</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1.97</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1,527.86</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611.87</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1.97</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609.90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1.97</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1.97</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2130126</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农村公益事业</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121.09</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121.09</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2130142</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农村道路建设</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471.81</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471.81</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其他农业支出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21302</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2130205</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森林培育</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21307</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653.41</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653.41</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2130705</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对村民委员会和村党支部的补助</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603.41</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603.41</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2130799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其他农村综合改革支出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2139999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其他农林水支出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214</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21401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公路水路运输</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2140112</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公路运输管理</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215</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资源勘探信息等支出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21508</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支持中小企业发展和管理支出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2150899</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其他支持中小企业发展和管理支出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221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22102</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78"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2210201</w:t>
            </w:r>
          </w:p>
        </w:tc>
        <w:tc>
          <w:tcPr>
            <w:tcW w:w="3233"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住房公积金</w:t>
            </w:r>
          </w:p>
        </w:tc>
        <w:tc>
          <w:tcPr>
            <w:tcW w:w="126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12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1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38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3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9480" w:type="dxa"/>
            <w:gridSpan w:val="10"/>
            <w:tcBorders>
              <w:top w:val="nil"/>
              <w:left w:val="nil"/>
              <w:bottom w:val="nil"/>
              <w:right w:val="nil"/>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jc w:val="left"/>
      </w:pPr>
    </w:p>
    <w:p>
      <w:pPr>
        <w:jc w:val="left"/>
      </w:pPr>
    </w:p>
    <w:p>
      <w:pPr>
        <w:jc w:val="left"/>
      </w:pPr>
    </w:p>
    <w:p>
      <w:pPr>
        <w:jc w:val="left"/>
      </w:pPr>
    </w:p>
    <w:tbl>
      <w:tblPr>
        <w:tblStyle w:val="7"/>
        <w:tblW w:w="0" w:type="auto"/>
        <w:tblInd w:w="83" w:type="dxa"/>
        <w:tblLayout w:type="autofit"/>
        <w:tblCellMar>
          <w:top w:w="0" w:type="dxa"/>
          <w:left w:w="108" w:type="dxa"/>
          <w:bottom w:w="0" w:type="dxa"/>
          <w:right w:w="108" w:type="dxa"/>
        </w:tblCellMar>
      </w:tblPr>
      <w:tblGrid>
        <w:gridCol w:w="266"/>
        <w:gridCol w:w="305"/>
        <w:gridCol w:w="1849"/>
        <w:gridCol w:w="365"/>
        <w:gridCol w:w="812"/>
        <w:gridCol w:w="2452"/>
        <w:gridCol w:w="365"/>
        <w:gridCol w:w="812"/>
        <w:gridCol w:w="813"/>
        <w:gridCol w:w="1166"/>
      </w:tblGrid>
      <w:tr>
        <w:tblPrEx>
          <w:tblCellMar>
            <w:top w:w="0" w:type="dxa"/>
            <w:left w:w="108" w:type="dxa"/>
            <w:bottom w:w="0" w:type="dxa"/>
            <w:right w:w="108" w:type="dxa"/>
          </w:tblCellMar>
        </w:tblPrEx>
        <w:trPr>
          <w:trHeight w:val="390" w:hRule="atLeast"/>
        </w:trPr>
        <w:tc>
          <w:tcPr>
            <w:tcW w:w="0" w:type="auto"/>
            <w:gridSpan w:val="10"/>
            <w:tcBorders>
              <w:top w:val="nil"/>
              <w:left w:val="nil"/>
              <w:bottom w:val="nil"/>
              <w:right w:val="nil"/>
            </w:tcBorders>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0" w:type="auto"/>
            <w:gridSpan w:val="3"/>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w:t>
            </w:r>
            <w:r>
              <w:rPr>
                <w:rFonts w:ascii="宋体" w:hAnsi="宋体" w:eastAsia="宋体" w:cs="Arial"/>
                <w:color w:val="000000"/>
                <w:kern w:val="0"/>
                <w:sz w:val="20"/>
                <w:szCs w:val="20"/>
              </w:rPr>
              <w:t>04</w:t>
            </w:r>
            <w:r>
              <w:rPr>
                <w:rFonts w:hint="eastAsia" w:ascii="宋体" w:hAnsi="宋体" w:eastAsia="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0" w:type="auto"/>
            <w:gridSpan w:val="3"/>
            <w:tcBorders>
              <w:top w:val="nil"/>
              <w:left w:val="nil"/>
              <w:bottom w:val="nil"/>
              <w:right w:val="nil"/>
            </w:tcBorders>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部门：平乡县中华路街道办事处</w:t>
            </w: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w:t>
            </w:r>
            <w:r>
              <w:rPr>
                <w:rFonts w:ascii="宋体" w:hAnsi="宋体" w:eastAsia="宋体" w:cs="Arial"/>
                <w:color w:val="000000"/>
                <w:kern w:val="0"/>
                <w:sz w:val="22"/>
              </w:rPr>
              <w:t xml:space="preserve">     </w:t>
            </w:r>
            <w:r>
              <w:rPr>
                <w:rFonts w:hint="eastAsia" w:ascii="宋体" w:hAnsi="宋体" w:eastAsia="宋体" w:cs="Arial"/>
                <w:color w:val="000000"/>
                <w:kern w:val="0"/>
                <w:sz w:val="22"/>
              </w:rPr>
              <w:t>入</w:t>
            </w:r>
          </w:p>
        </w:tc>
        <w:tc>
          <w:tcPr>
            <w:tcW w:w="0" w:type="auto"/>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w:t>
            </w:r>
            <w:r>
              <w:rPr>
                <w:rFonts w:ascii="宋体" w:hAnsi="宋体" w:eastAsia="宋体" w:cs="Arial"/>
                <w:color w:val="000000"/>
                <w:kern w:val="0"/>
                <w:sz w:val="22"/>
              </w:rPr>
              <w:t xml:space="preserve">     </w:t>
            </w:r>
            <w:r>
              <w:rPr>
                <w:rFonts w:hint="eastAsia" w:ascii="宋体" w:hAnsi="宋体" w:eastAsia="宋体" w:cs="Arial"/>
                <w:color w:val="000000"/>
                <w:kern w:val="0"/>
                <w:sz w:val="22"/>
              </w:rPr>
              <w:t>出</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r>
      <w:tr>
        <w:tblPrEx>
          <w:tblCellMar>
            <w:top w:w="0" w:type="dxa"/>
            <w:left w:w="108" w:type="dxa"/>
            <w:bottom w:w="0" w:type="dxa"/>
            <w:right w:w="108" w:type="dxa"/>
          </w:tblCellMar>
        </w:tblPrEx>
        <w:trPr>
          <w:trHeight w:val="615"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5,153.93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1,462.57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1,462.57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6</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35</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36</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395.94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395.94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256.37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256.37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9</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81.61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81.61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39</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1,256.83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1,256.83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3,039.03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r>
      <w:tr>
        <w:tblPrEx>
          <w:tblCellMar>
            <w:top w:w="0" w:type="dxa"/>
            <w:left w:w="108" w:type="dxa"/>
            <w:bottom w:w="0" w:type="dxa"/>
            <w:right w:w="108" w:type="dxa"/>
          </w:tblCellMar>
        </w:tblPrEx>
        <w:trPr>
          <w:gridBefore w:val="2"/>
          <w:wBefore w:w="152" w:type="dxa"/>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1,529.83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1,529.83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2"/>
          <w:wBefore w:w="152" w:type="dxa"/>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2"/>
          <w:wBefore w:w="152" w:type="dxa"/>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2"/>
          <w:wBefore w:w="152" w:type="dxa"/>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15</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2"/>
          <w:wBefore w:w="152" w:type="dxa"/>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16</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45</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2"/>
          <w:wBefore w:w="152" w:type="dxa"/>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46</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2"/>
          <w:wBefore w:w="152" w:type="dxa"/>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2"/>
          <w:wBefore w:w="152" w:type="dxa"/>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19</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wBefore w:w="76"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49</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wBefore w:w="76"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wBefore w:w="76"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wBefore w:w="76"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wBefore w:w="76"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8,183.64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8,151.40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5,121.68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r>
      <w:tr>
        <w:tblPrEx>
          <w:tblCellMar>
            <w:top w:w="0" w:type="dxa"/>
            <w:left w:w="108" w:type="dxa"/>
            <w:bottom w:w="0" w:type="dxa"/>
            <w:right w:w="108" w:type="dxa"/>
          </w:tblCellMar>
        </w:tblPrEx>
        <w:trPr>
          <w:gridBefore w:val="1"/>
          <w:wBefore w:w="76"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25</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45.19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77.43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77.43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wBefore w:w="76"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26</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45.19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55</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wBefore w:w="76"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56</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wBefore w:w="76"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wBefore w:w="76" w:type="dxa"/>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29</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8,228.83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8,228.83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5,199.12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r>
      <w:tr>
        <w:tblPrEx>
          <w:tblCellMar>
            <w:top w:w="0" w:type="dxa"/>
            <w:left w:w="108" w:type="dxa"/>
            <w:bottom w:w="0" w:type="dxa"/>
            <w:right w:w="108" w:type="dxa"/>
          </w:tblCellMar>
        </w:tblPrEx>
        <w:trPr>
          <w:gridBefore w:val="1"/>
          <w:wBefore w:w="76" w:type="dxa"/>
          <w:trHeight w:val="308" w:hRule="atLeast"/>
        </w:trPr>
        <w:tc>
          <w:tcPr>
            <w:tcW w:w="0" w:type="auto"/>
            <w:gridSpan w:val="9"/>
            <w:tcBorders>
              <w:top w:val="nil"/>
              <w:left w:val="nil"/>
              <w:bottom w:val="nil"/>
              <w:right w:val="nil"/>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注：本表反映部门本年度一般公共预算财政拨款和政府性基金预算财政拨款的总收支和年末结转结余情况。</w:t>
            </w:r>
          </w:p>
        </w:tc>
      </w:tr>
    </w:tbl>
    <w:p>
      <w:pPr>
        <w:jc w:val="left"/>
      </w:pPr>
    </w:p>
    <w:p>
      <w:pPr>
        <w:jc w:val="left"/>
      </w:pPr>
    </w:p>
    <w:p>
      <w:pPr>
        <w:jc w:val="left"/>
      </w:pPr>
    </w:p>
    <w:p>
      <w:pPr>
        <w:jc w:val="left"/>
      </w:pPr>
    </w:p>
    <w:p>
      <w:pPr>
        <w:jc w:val="left"/>
      </w:pPr>
    </w:p>
    <w:p>
      <w:pPr>
        <w:jc w:val="left"/>
      </w:pPr>
    </w:p>
    <w:p>
      <w:pPr>
        <w:jc w:val="left"/>
      </w:pPr>
    </w:p>
    <w:p>
      <w:bookmarkStart w:id="0" w:name="_GoBack"/>
      <w:bookmarkEnd w:id="0"/>
    </w:p>
    <w:p/>
    <w:tbl>
      <w:tblPr>
        <w:tblStyle w:val="7"/>
        <w:tblW w:w="0" w:type="auto"/>
        <w:tblInd w:w="83" w:type="dxa"/>
        <w:tblLayout w:type="autofit"/>
        <w:tblCellMar>
          <w:top w:w="0" w:type="dxa"/>
          <w:left w:w="108" w:type="dxa"/>
          <w:bottom w:w="0" w:type="dxa"/>
          <w:right w:w="108" w:type="dxa"/>
        </w:tblCellMar>
      </w:tblPr>
      <w:tblGrid>
        <w:gridCol w:w="325"/>
        <w:gridCol w:w="325"/>
        <w:gridCol w:w="325"/>
        <w:gridCol w:w="4288"/>
        <w:gridCol w:w="1139"/>
        <w:gridCol w:w="1139"/>
        <w:gridCol w:w="1664"/>
      </w:tblGrid>
      <w:tr>
        <w:tblPrEx>
          <w:tblCellMar>
            <w:top w:w="0" w:type="dxa"/>
            <w:left w:w="108" w:type="dxa"/>
            <w:bottom w:w="0" w:type="dxa"/>
            <w:right w:w="108" w:type="dxa"/>
          </w:tblCellMar>
        </w:tblPrEx>
        <w:trPr>
          <w:trHeight w:val="390" w:hRule="atLeast"/>
        </w:trPr>
        <w:tc>
          <w:tcPr>
            <w:tcW w:w="9205" w:type="dxa"/>
            <w:gridSpan w:val="7"/>
            <w:tcBorders>
              <w:top w:val="nil"/>
              <w:left w:val="nil"/>
              <w:bottom w:val="nil"/>
              <w:right w:val="nil"/>
            </w:tcBorders>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617" w:type="dxa"/>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w:t>
            </w:r>
            <w:r>
              <w:rPr>
                <w:rFonts w:ascii="宋体" w:hAnsi="宋体" w:eastAsia="宋体" w:cs="Arial"/>
                <w:color w:val="000000"/>
                <w:kern w:val="0"/>
                <w:sz w:val="20"/>
                <w:szCs w:val="20"/>
              </w:rPr>
              <w:t>05</w:t>
            </w:r>
            <w:r>
              <w:rPr>
                <w:rFonts w:hint="eastAsia" w:ascii="宋体" w:hAnsi="宋体" w:eastAsia="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部门：平乡县中华路街道办事处</w:t>
            </w: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617" w:type="dxa"/>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3823"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61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1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1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w:t>
            </w:r>
          </w:p>
        </w:tc>
        <w:tc>
          <w:tcPr>
            <w:tcW w:w="161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5,121.68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1,808.35</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3,313.33</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1,462.57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1,450.57</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2010199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其他人大事务支出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20103</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1,438.05</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1,438.05</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2010301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1,407.55</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1,407.55</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2010308</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信访事务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30.50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30.50</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20129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群众团体事务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2012901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2012999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其他群众团体事务支出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20131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党委办公厅（室）及相关机构事务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2013101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8.52</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2019999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其他一般公共服务支出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206</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20699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其他科学技术支出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2069901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科技奖励</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395.94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395.94</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2070101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2070108</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文化活动</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5.50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5.50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20703</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体育</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2070305</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体育竞赛</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29.94</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其他文化体育与传媒支出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2079999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其他文化体育与传媒支出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358.00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256.37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175.17</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81.19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2080199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其他人力资源和社会保障管理事务支出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5.76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20805</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2080505</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机关事业单位基本养老保险缴费支出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退役安置</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2080999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其他退役安置支出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69.08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20810</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2081004</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殡葬</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3.36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20827</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财政对其他社会保险基金的补助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2082702</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财政对工伤保险基金的补助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4.40</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20828</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2082899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其他退役军人事务管理支出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81.61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12.17</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21007</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12.17</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2100716</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计划生育机构</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2100799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其他计划生育事务支出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7.17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7.17</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21011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2101101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行政单位医疗</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1,256.83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1,256.83</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环境保护管理事务</w:t>
            </w:r>
          </w:p>
        </w:tc>
        <w:tc>
          <w:tcPr>
            <w:tcW w:w="0" w:type="auto"/>
            <w:tcBorders>
              <w:top w:val="nil"/>
              <w:left w:val="nil"/>
              <w:bottom w:val="single" w:color="000000" w:sz="4" w:space="0"/>
              <w:right w:val="single" w:color="000000" w:sz="4" w:space="0"/>
            </w:tcBorders>
            <w:noWrap/>
            <w:vAlign w:val="center"/>
          </w:tcPr>
          <w:p>
            <w:pPr>
              <w:widowControl/>
              <w:jc w:val="right"/>
              <w:rPr>
                <w:rFonts w:hint="default" w:ascii="宋体" w:hAnsi="宋体" w:eastAsia="宋体" w:cs="Arial"/>
                <w:color w:val="000000"/>
                <w:kern w:val="0"/>
                <w:sz w:val="22"/>
                <w:lang w:val="en-US" w:eastAsia="zh-CN"/>
              </w:rPr>
            </w:pPr>
            <w:r>
              <w:rPr>
                <w:rFonts w:ascii="宋体" w:hAnsi="宋体" w:eastAsia="宋体" w:cs="Arial"/>
                <w:color w:val="000000"/>
                <w:kern w:val="0"/>
                <w:sz w:val="22"/>
              </w:rPr>
              <w:t>1</w:t>
            </w:r>
            <w:r>
              <w:rPr>
                <w:rFonts w:hint="eastAsia" w:ascii="宋体" w:hAnsi="宋体" w:eastAsia="宋体" w:cs="Arial"/>
                <w:color w:val="000000"/>
                <w:kern w:val="0"/>
                <w:sz w:val="22"/>
                <w:lang w:val="en-US" w:eastAsia="zh-CN"/>
              </w:rPr>
              <w:t>.00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hint="default" w:ascii="宋体" w:hAnsi="宋体" w:eastAsia="宋体" w:cs="Arial"/>
                <w:color w:val="000000"/>
                <w:kern w:val="0"/>
                <w:sz w:val="22"/>
                <w:lang w:val="en-US" w:eastAsia="zh-CN"/>
              </w:rPr>
            </w:pPr>
            <w:r>
              <w:rPr>
                <w:rFonts w:ascii="宋体" w:hAnsi="宋体" w:eastAsia="宋体" w:cs="Arial"/>
                <w:color w:val="000000"/>
                <w:kern w:val="0"/>
                <w:sz w:val="22"/>
              </w:rPr>
              <w:t>1</w:t>
            </w:r>
            <w:r>
              <w:rPr>
                <w:rFonts w:hint="eastAsia" w:ascii="宋体" w:hAnsi="宋体" w:eastAsia="宋体" w:cs="Arial"/>
                <w:color w:val="000000"/>
                <w:kern w:val="0"/>
                <w:sz w:val="22"/>
                <w:lang w:val="en-US" w:eastAsia="zh-CN"/>
              </w:rPr>
              <w:t>.00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2110101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0" w:type="auto"/>
            <w:tcBorders>
              <w:top w:val="nil"/>
              <w:left w:val="nil"/>
              <w:bottom w:val="single" w:color="000000" w:sz="4" w:space="0"/>
              <w:right w:val="single" w:color="000000" w:sz="4" w:space="0"/>
            </w:tcBorders>
            <w:noWrap/>
            <w:vAlign w:val="center"/>
          </w:tcPr>
          <w:p>
            <w:pPr>
              <w:widowControl/>
              <w:jc w:val="right"/>
              <w:rPr>
                <w:rFonts w:hint="default" w:ascii="宋体" w:hAnsi="宋体" w:eastAsia="宋体" w:cs="Arial"/>
                <w:color w:val="000000"/>
                <w:kern w:val="0"/>
                <w:sz w:val="22"/>
                <w:lang w:val="en-US" w:eastAsia="zh-CN"/>
              </w:rPr>
            </w:pPr>
            <w:r>
              <w:rPr>
                <w:rFonts w:ascii="宋体" w:hAnsi="宋体" w:eastAsia="宋体" w:cs="Arial"/>
                <w:color w:val="000000"/>
                <w:kern w:val="0"/>
                <w:sz w:val="22"/>
              </w:rPr>
              <w:t>1</w:t>
            </w:r>
            <w:r>
              <w:rPr>
                <w:rFonts w:hint="eastAsia" w:ascii="宋体" w:hAnsi="宋体" w:eastAsia="宋体" w:cs="Arial"/>
                <w:color w:val="000000"/>
                <w:kern w:val="0"/>
                <w:sz w:val="22"/>
                <w:lang w:val="en-US" w:eastAsia="zh-CN"/>
              </w:rPr>
              <w:t>.00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hint="default" w:ascii="宋体" w:hAnsi="宋体" w:eastAsia="宋体" w:cs="Arial"/>
                <w:color w:val="000000"/>
                <w:kern w:val="0"/>
                <w:sz w:val="22"/>
                <w:lang w:val="en-US" w:eastAsia="zh-CN"/>
              </w:rPr>
            </w:pPr>
            <w:r>
              <w:rPr>
                <w:rFonts w:ascii="宋体" w:hAnsi="宋体" w:eastAsia="宋体" w:cs="Arial"/>
                <w:color w:val="000000"/>
                <w:kern w:val="0"/>
                <w:sz w:val="22"/>
              </w:rPr>
              <w:t>1</w:t>
            </w:r>
            <w:r>
              <w:rPr>
                <w:rFonts w:hint="eastAsia" w:ascii="宋体" w:hAnsi="宋体" w:eastAsia="宋体" w:cs="Arial"/>
                <w:color w:val="000000"/>
                <w:kern w:val="0"/>
                <w:sz w:val="22"/>
                <w:lang w:val="en-US" w:eastAsia="zh-CN"/>
              </w:rPr>
              <w:t>.00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21103</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995.05</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995.05</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2110301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大气</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708.06</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708.06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2110302</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水体</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286.99</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286.99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21104</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2110402</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农村环境保护</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151.78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21113</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循环经济</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2111301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循环经济</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10</w:t>
            </w:r>
            <w:r>
              <w:rPr>
                <w:rFonts w:hint="eastAsia" w:ascii="宋体" w:hAnsi="宋体" w:eastAsia="宋体" w:cs="Arial"/>
                <w:color w:val="000000"/>
                <w:kern w:val="0"/>
                <w:sz w:val="22"/>
              </w:rPr>
              <w:t>.00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2129901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2129901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9.32</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1,529.83</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1.97</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1,527.86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611.87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1.97</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609.90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行政运行</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1.97</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1.97</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2130126</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农村公益事业</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121.09</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121.09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2130142</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农村道路建设</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471.81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471.81</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2130199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其他农业支出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21302</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2130205</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森林培育</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39.54</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21307</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653.41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653.41</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2130705</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对村民委员会和村党支部的补助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603.41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603.41</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2130799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其他农村综合改革支出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2139999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其他农林水支出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225.00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214</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21401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公路水路运输</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2140112</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公路运输管理</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4.48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215</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资源勘探信息等支出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21508</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支持中小企业发展和管理支出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2150899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其他支持中小企业发展和管理支出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11.54</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221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22102</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2210201</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住房公积金</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1617"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bl>
    <w:p/>
    <w:p/>
    <w:p/>
    <w:p/>
    <w:p/>
    <w:p/>
    <w:p/>
    <w:p>
      <w:r>
        <w:br w:type="page"/>
      </w:r>
    </w:p>
    <w:tbl>
      <w:tblPr>
        <w:tblStyle w:val="7"/>
        <w:tblW w:w="0" w:type="auto"/>
        <w:tblInd w:w="83" w:type="dxa"/>
        <w:tblLayout w:type="autofit"/>
        <w:tblCellMar>
          <w:top w:w="0" w:type="dxa"/>
          <w:left w:w="108" w:type="dxa"/>
          <w:bottom w:w="0" w:type="dxa"/>
          <w:right w:w="108" w:type="dxa"/>
        </w:tblCellMar>
      </w:tblPr>
      <w:tblGrid>
        <w:gridCol w:w="498"/>
        <w:gridCol w:w="1912"/>
        <w:gridCol w:w="668"/>
        <w:gridCol w:w="499"/>
        <w:gridCol w:w="1347"/>
        <w:gridCol w:w="555"/>
        <w:gridCol w:w="499"/>
        <w:gridCol w:w="2364"/>
        <w:gridCol w:w="863"/>
      </w:tblGrid>
      <w:tr>
        <w:tblPrEx>
          <w:tblCellMar>
            <w:top w:w="0" w:type="dxa"/>
            <w:left w:w="108" w:type="dxa"/>
            <w:bottom w:w="0" w:type="dxa"/>
            <w:right w:w="108" w:type="dxa"/>
          </w:tblCellMar>
        </w:tblPrEx>
        <w:trPr>
          <w:trHeight w:val="390" w:hRule="atLeast"/>
        </w:trPr>
        <w:tc>
          <w:tcPr>
            <w:tcW w:w="0" w:type="auto"/>
            <w:gridSpan w:val="9"/>
            <w:tcBorders>
              <w:top w:val="nil"/>
              <w:left w:val="nil"/>
              <w:bottom w:val="nil"/>
              <w:right w:val="nil"/>
            </w:tcBorders>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w:t>
            </w:r>
            <w:r>
              <w:rPr>
                <w:rFonts w:ascii="宋体" w:hAnsi="宋体" w:eastAsia="宋体" w:cs="Arial"/>
                <w:color w:val="000000"/>
                <w:kern w:val="0"/>
                <w:sz w:val="18"/>
                <w:szCs w:val="18"/>
              </w:rPr>
              <w:t>06</w:t>
            </w:r>
            <w:r>
              <w:rPr>
                <w:rFonts w:hint="eastAsia" w:ascii="宋体" w:hAnsi="宋体" w:eastAsia="宋体" w:cs="Arial"/>
                <w:color w:val="000000"/>
                <w:kern w:val="0"/>
                <w:sz w:val="18"/>
                <w:szCs w:val="18"/>
              </w:rPr>
              <w:t>表</w:t>
            </w:r>
          </w:p>
        </w:tc>
      </w:tr>
      <w:tr>
        <w:tblPrEx>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部门：平乡县中华路街道办事处</w:t>
            </w: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1,669.53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138.70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基本工资</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894.62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办公费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91.95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30701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国内债务付息</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津贴补贴</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161.00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印刷费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30702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国外债务付息</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奖金</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131.02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咨询费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伙食补助费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手续费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房屋建筑物购建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绩效工资</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89.48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水费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办公设备购置</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机关事业单位基本养老保险缴费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170.78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电费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专用设备购置</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职业年金缴费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邮电费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基础设施建设</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职工基本医疗保险缴费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取暖费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大型修缮</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公务员医疗补助缴费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物业管理费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信息网络及软件购置更新</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其他社会保障缴费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13.03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差旅费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14.00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物资储备</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住房公积金</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111.20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因公出国（境）费用</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土地补偿</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30114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医疗费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69.44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维修（护）费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安置补助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30199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其他工资福利支出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28.97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30214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租赁费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地上附着物和青苗补偿</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0.12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30215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会议费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拆迁补偿</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离休费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30216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培训费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公务用车购置</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退休费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公务接待费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31019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其他交通工具购置</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退职（役）费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30218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专用材料费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31021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文物和陈列品购置</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抚恤金</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30224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被装购置费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31022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无形资产购置</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生活补助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0.12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30225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专用燃料费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31099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其他资本性支出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救济费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30226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劳务费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2.50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医疗费补助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30227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委托业务费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39906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赠与</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助学金</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30228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工会经费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5.18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39907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国家赔偿费用支出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奖励金</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30229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福利费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5.56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39908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对民间非营利组织和群众性自治组织补贴</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个人农业生产补贴</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30231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公务用车运行维护费</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7.51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39999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30399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其他对个人和家庭的补助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30239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其他交通费用</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30240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税金及附加费用</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30299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其他商品和服务支出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1,669.65</w:t>
            </w:r>
          </w:p>
        </w:tc>
        <w:tc>
          <w:tcPr>
            <w:tcW w:w="0" w:type="auto"/>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138.70</w:t>
            </w:r>
          </w:p>
        </w:tc>
      </w:tr>
    </w:tbl>
    <w:p/>
    <w:p/>
    <w:p/>
    <w:tbl>
      <w:tblPr>
        <w:tblStyle w:val="7"/>
        <w:tblW w:w="0" w:type="auto"/>
        <w:tblInd w:w="83" w:type="dxa"/>
        <w:tblLayout w:type="autofit"/>
        <w:tblCellMar>
          <w:top w:w="0" w:type="dxa"/>
          <w:left w:w="108" w:type="dxa"/>
          <w:bottom w:w="0" w:type="dxa"/>
          <w:right w:w="108" w:type="dxa"/>
        </w:tblCellMar>
      </w:tblPr>
      <w:tblGrid>
        <w:gridCol w:w="782"/>
        <w:gridCol w:w="1732"/>
        <w:gridCol w:w="570"/>
        <w:gridCol w:w="483"/>
        <w:gridCol w:w="670"/>
        <w:gridCol w:w="466"/>
        <w:gridCol w:w="570"/>
        <w:gridCol w:w="864"/>
        <w:gridCol w:w="570"/>
        <w:gridCol w:w="483"/>
        <w:gridCol w:w="670"/>
        <w:gridCol w:w="1345"/>
      </w:tblGrid>
      <w:tr>
        <w:tblPrEx>
          <w:tblCellMar>
            <w:top w:w="0" w:type="dxa"/>
            <w:left w:w="108" w:type="dxa"/>
            <w:bottom w:w="0" w:type="dxa"/>
            <w:right w:w="108" w:type="dxa"/>
          </w:tblCellMar>
        </w:tblPrEx>
        <w:trPr>
          <w:trHeight w:val="540" w:hRule="atLeast"/>
        </w:trPr>
        <w:tc>
          <w:tcPr>
            <w:tcW w:w="0" w:type="auto"/>
            <w:gridSpan w:val="12"/>
            <w:tcBorders>
              <w:top w:val="nil"/>
              <w:left w:val="nil"/>
              <w:bottom w:val="nil"/>
              <w:right w:val="nil"/>
            </w:tcBorders>
            <w:noWrap/>
            <w:vAlign w:val="bottom"/>
          </w:tcPr>
          <w:p>
            <w:pPr>
              <w:widowControl/>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一般公共预算财政拨款“三公”经费支出决算表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w:t>
            </w:r>
            <w:r>
              <w:rPr>
                <w:rFonts w:ascii="宋体" w:hAnsi="宋体" w:eastAsia="宋体" w:cs="Arial"/>
                <w:color w:val="000000"/>
                <w:kern w:val="0"/>
                <w:sz w:val="20"/>
                <w:szCs w:val="20"/>
              </w:rPr>
              <w:t>07</w:t>
            </w:r>
            <w:r>
              <w:rPr>
                <w:rFonts w:hint="eastAsia" w:ascii="宋体" w:hAnsi="宋体" w:eastAsia="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部门：平乡县中华路街道办事处</w:t>
            </w: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0" w:type="auto"/>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0" w:type="auto"/>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0" w:type="auto"/>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6</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7</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8</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9</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10</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11</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7.51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7.51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7.51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7.51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7.51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7.51</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bl>
    <w:p/>
    <w:p/>
    <w:p/>
    <w:p/>
    <w:tbl>
      <w:tblPr>
        <w:tblStyle w:val="7"/>
        <w:tblW w:w="9800" w:type="dxa"/>
        <w:tblInd w:w="83" w:type="dxa"/>
        <w:tblLayout w:type="fixed"/>
        <w:tblCellMar>
          <w:top w:w="0" w:type="dxa"/>
          <w:left w:w="108" w:type="dxa"/>
          <w:bottom w:w="0" w:type="dxa"/>
          <w:right w:w="108" w:type="dxa"/>
        </w:tblCellMar>
      </w:tblPr>
      <w:tblGrid>
        <w:gridCol w:w="307"/>
        <w:gridCol w:w="307"/>
        <w:gridCol w:w="308"/>
        <w:gridCol w:w="3652"/>
        <w:gridCol w:w="422"/>
        <w:gridCol w:w="1190"/>
        <w:gridCol w:w="1105"/>
        <w:gridCol w:w="300"/>
        <w:gridCol w:w="1155"/>
        <w:gridCol w:w="1054"/>
      </w:tblGrid>
      <w:tr>
        <w:tblPrEx>
          <w:tblCellMar>
            <w:top w:w="0" w:type="dxa"/>
            <w:left w:w="108" w:type="dxa"/>
            <w:bottom w:w="0" w:type="dxa"/>
            <w:right w:w="108" w:type="dxa"/>
          </w:tblCellMar>
        </w:tblPrEx>
        <w:trPr>
          <w:trHeight w:val="390" w:hRule="atLeast"/>
        </w:trPr>
        <w:tc>
          <w:tcPr>
            <w:tcW w:w="9800" w:type="dxa"/>
            <w:gridSpan w:val="10"/>
            <w:tcBorders>
              <w:top w:val="nil"/>
              <w:left w:val="nil"/>
              <w:bottom w:val="nil"/>
              <w:right w:val="nil"/>
            </w:tcBorders>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307"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07"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08"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652"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422"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9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0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0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5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054" w:type="dxa"/>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w:t>
            </w:r>
            <w:r>
              <w:rPr>
                <w:rFonts w:ascii="宋体" w:hAnsi="宋体" w:eastAsia="宋体" w:cs="Arial"/>
                <w:color w:val="000000"/>
                <w:kern w:val="0"/>
                <w:sz w:val="20"/>
                <w:szCs w:val="20"/>
              </w:rPr>
              <w:t>08</w:t>
            </w:r>
            <w:r>
              <w:rPr>
                <w:rFonts w:hint="eastAsia" w:ascii="宋体" w:hAnsi="宋体" w:eastAsia="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4574" w:type="dxa"/>
            <w:gridSpan w:val="4"/>
            <w:tcBorders>
              <w:top w:val="nil"/>
              <w:left w:val="nil"/>
              <w:bottom w:val="nil"/>
              <w:right w:val="nil"/>
            </w:tcBorders>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部门：平乡县中华路街道办事处</w:t>
            </w:r>
          </w:p>
        </w:tc>
        <w:tc>
          <w:tcPr>
            <w:tcW w:w="422"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9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0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300"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155" w:type="dxa"/>
            <w:tcBorders>
              <w:top w:val="nil"/>
              <w:left w:val="nil"/>
              <w:bottom w:val="nil"/>
              <w:right w:val="nil"/>
            </w:tcBorders>
            <w:noWrap/>
            <w:vAlign w:val="bottom"/>
          </w:tcPr>
          <w:p>
            <w:pPr>
              <w:widowControl/>
              <w:jc w:val="left"/>
              <w:rPr>
                <w:rFonts w:ascii="Arial" w:hAnsi="Arial" w:eastAsia="宋体" w:cs="Arial"/>
                <w:color w:val="000000"/>
                <w:kern w:val="0"/>
                <w:sz w:val="20"/>
                <w:szCs w:val="20"/>
              </w:rPr>
            </w:pPr>
          </w:p>
        </w:tc>
        <w:tc>
          <w:tcPr>
            <w:tcW w:w="1054" w:type="dxa"/>
            <w:tcBorders>
              <w:top w:val="nil"/>
              <w:left w:val="nil"/>
              <w:bottom w:val="nil"/>
              <w:right w:val="nil"/>
            </w:tcBorders>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57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2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19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256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105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92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65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42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9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30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15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2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9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2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9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574"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2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1</w:t>
            </w:r>
          </w:p>
        </w:tc>
        <w:tc>
          <w:tcPr>
            <w:tcW w:w="11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2</w:t>
            </w:r>
          </w:p>
        </w:tc>
        <w:tc>
          <w:tcPr>
            <w:tcW w:w="110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3</w:t>
            </w:r>
          </w:p>
        </w:tc>
        <w:tc>
          <w:tcPr>
            <w:tcW w:w="3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4</w:t>
            </w:r>
          </w:p>
        </w:tc>
        <w:tc>
          <w:tcPr>
            <w:tcW w:w="11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5</w:t>
            </w:r>
          </w:p>
        </w:tc>
        <w:tc>
          <w:tcPr>
            <w:tcW w:w="10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4574"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22"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p>
        </w:tc>
        <w:tc>
          <w:tcPr>
            <w:tcW w:w="11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3,029.71</w:t>
            </w:r>
          </w:p>
        </w:tc>
        <w:tc>
          <w:tcPr>
            <w:tcW w:w="11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3,029.71</w:t>
            </w:r>
          </w:p>
        </w:tc>
        <w:tc>
          <w:tcPr>
            <w:tcW w:w="30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3,029.71</w:t>
            </w:r>
          </w:p>
        </w:tc>
        <w:tc>
          <w:tcPr>
            <w:tcW w:w="105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b/>
                <w:bCs/>
                <w:color w:val="000000"/>
                <w:kern w:val="0"/>
                <w:sz w:val="22"/>
              </w:rPr>
            </w:pPr>
          </w:p>
        </w:tc>
      </w:tr>
      <w:tr>
        <w:tblPrEx>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w:t>
            </w:r>
          </w:p>
        </w:tc>
        <w:tc>
          <w:tcPr>
            <w:tcW w:w="365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422"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11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30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105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w:t>
            </w:r>
          </w:p>
        </w:tc>
        <w:tc>
          <w:tcPr>
            <w:tcW w:w="365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国有土地使用权出让收入及对应专项债务收入安排的支出</w:t>
            </w:r>
          </w:p>
        </w:tc>
        <w:tc>
          <w:tcPr>
            <w:tcW w:w="422"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11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30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3,029.71</w:t>
            </w:r>
          </w:p>
        </w:tc>
        <w:tc>
          <w:tcPr>
            <w:tcW w:w="105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2120803</w:t>
            </w:r>
          </w:p>
        </w:tc>
        <w:tc>
          <w:tcPr>
            <w:tcW w:w="365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城市建设支出</w:t>
            </w:r>
          </w:p>
        </w:tc>
        <w:tc>
          <w:tcPr>
            <w:tcW w:w="422"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9.01</w:t>
            </w:r>
          </w:p>
        </w:tc>
        <w:tc>
          <w:tcPr>
            <w:tcW w:w="11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9.01</w:t>
            </w:r>
          </w:p>
        </w:tc>
        <w:tc>
          <w:tcPr>
            <w:tcW w:w="30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9.01</w:t>
            </w:r>
          </w:p>
        </w:tc>
        <w:tc>
          <w:tcPr>
            <w:tcW w:w="105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2120804</w:t>
            </w:r>
          </w:p>
        </w:tc>
        <w:tc>
          <w:tcPr>
            <w:tcW w:w="365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农村基础设施建设支出</w:t>
            </w:r>
          </w:p>
        </w:tc>
        <w:tc>
          <w:tcPr>
            <w:tcW w:w="422"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202.86</w:t>
            </w:r>
          </w:p>
        </w:tc>
        <w:tc>
          <w:tcPr>
            <w:tcW w:w="11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202.86</w:t>
            </w:r>
          </w:p>
        </w:tc>
        <w:tc>
          <w:tcPr>
            <w:tcW w:w="30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202.86</w:t>
            </w:r>
          </w:p>
        </w:tc>
        <w:tc>
          <w:tcPr>
            <w:tcW w:w="105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2120805</w:t>
            </w:r>
          </w:p>
        </w:tc>
        <w:tc>
          <w:tcPr>
            <w:tcW w:w="3652" w:type="dxa"/>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补助被征地农民支出</w:t>
            </w:r>
          </w:p>
        </w:tc>
        <w:tc>
          <w:tcPr>
            <w:tcW w:w="422"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9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2,817.84</w:t>
            </w:r>
          </w:p>
        </w:tc>
        <w:tc>
          <w:tcPr>
            <w:tcW w:w="110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2,817.84</w:t>
            </w:r>
          </w:p>
        </w:tc>
        <w:tc>
          <w:tcPr>
            <w:tcW w:w="300"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c>
          <w:tcPr>
            <w:tcW w:w="1155"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r>
              <w:rPr>
                <w:rFonts w:ascii="宋体" w:hAnsi="宋体" w:eastAsia="宋体" w:cs="Arial"/>
                <w:color w:val="000000"/>
                <w:kern w:val="0"/>
                <w:sz w:val="22"/>
              </w:rPr>
              <w:t>2,817.84</w:t>
            </w:r>
          </w:p>
        </w:tc>
        <w:tc>
          <w:tcPr>
            <w:tcW w:w="1054" w:type="dxa"/>
            <w:tcBorders>
              <w:top w:val="nil"/>
              <w:left w:val="nil"/>
              <w:bottom w:val="single" w:color="000000" w:sz="4" w:space="0"/>
              <w:right w:val="single" w:color="000000" w:sz="4" w:space="0"/>
            </w:tcBorders>
            <w:noWrap/>
            <w:vAlign w:val="center"/>
          </w:tcPr>
          <w:p>
            <w:pPr>
              <w:widowControl/>
              <w:jc w:val="right"/>
              <w:rPr>
                <w:rFonts w:ascii="宋体" w:hAnsi="宋体" w:eastAsia="宋体" w:cs="Arial"/>
                <w:color w:val="000000"/>
                <w:kern w:val="0"/>
                <w:sz w:val="22"/>
              </w:rPr>
            </w:pPr>
          </w:p>
        </w:tc>
      </w:tr>
    </w:tbl>
    <w:p/>
    <w:p/>
    <w:p/>
    <w:p/>
    <w:p>
      <w:r>
        <w:br w:type="page"/>
      </w:r>
    </w:p>
    <w:p/>
    <w:tbl>
      <w:tblPr>
        <w:tblStyle w:val="7"/>
        <w:tblW w:w="9915" w:type="dxa"/>
        <w:jc w:val="center"/>
        <w:tblLayout w:type="autofit"/>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本部门本年度无相关支出情况，按要求空表列示。</w:t>
      </w:r>
      <w:r>
        <w:br w:type="page"/>
      </w:r>
    </w:p>
    <w:p>
      <w:r>
        <w:pict>
          <v:rect id="_x0000_s1042" o:spid="_x0000_s1042" o:spt="1" style="position:absolute;left:0pt;margin-left:-70.5pt;margin-top:-85.25pt;height:841.15pt;width:595.1pt;z-index:251670528;v-text-anchor:middle;mso-width-relative:page;mso-height-relative:page;" fillcolor="#FFC000" filled="t" stroked="f" coordsize="21600,21600">
            <v:path/>
            <v:fill on="t" focussize="0,0"/>
            <v:stroke on="f" weight="1pt"/>
            <v:imagedata o:title=""/>
            <o:lock v:ext="edit"/>
          </v:rect>
        </w:pic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方正粗黑宋简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MS Gothic"/>
    <w:panose1 w:val="00000000000000000000"/>
    <w:charset w:val="80"/>
    <w:family w:val="swiss"/>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思源黑体 HW Bold">
    <w:altName w:val="黑体"/>
    <w:panose1 w:val="00000000000000000000"/>
    <w:charset w:val="86"/>
    <w:family w:val="swiss"/>
    <w:pitch w:val="default"/>
    <w:sig w:usb0="00000000" w:usb1="00000000" w:usb2="00000010" w:usb3="00000000" w:csb0="00040000" w:csb1="00000000"/>
  </w:font>
  <w:font w:name="ArialUnicodeMS">
    <w:altName w:val="Dotum"/>
    <w:panose1 w:val="00000000000000000000"/>
    <w:charset w:val="81"/>
    <w:family w:val="auto"/>
    <w:pitch w:val="default"/>
    <w:sig w:usb0="00000000" w:usb1="00000000" w:usb2="00000010" w:usb3="00000000" w:csb0="00080001" w:csb1="00000000"/>
  </w:font>
  <w:font w:name="Dotum">
    <w:panose1 w:val="020B0600000101010101"/>
    <w:charset w:val="81"/>
    <w:family w:val="auto"/>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59950409"/>
    <w:multiLevelType w:val="singleLevel"/>
    <w:tmpl w:val="59950409"/>
    <w:lvl w:ilvl="0" w:tentative="0">
      <w:start w:val="1"/>
      <w:numFmt w:val="decimal"/>
      <w:suff w:val="space"/>
      <w:lvlText w:val="%1."/>
      <w:lvlJc w:val="left"/>
      <w:rPr>
        <w:rFonts w:cs="Times New Roman"/>
      </w:rPr>
    </w:lvl>
  </w:abstractNum>
  <w:abstractNum w:abstractNumId="2">
    <w:nsid w:val="5F222FFA"/>
    <w:multiLevelType w:val="singleLevel"/>
    <w:tmpl w:val="5F222FFA"/>
    <w:lvl w:ilvl="0" w:tentative="0">
      <w:start w:val="1"/>
      <w:numFmt w:val="decimal"/>
      <w:suff w:val="nothing"/>
      <w:lvlText w:val="（%1）"/>
      <w:lvlJc w:val="left"/>
      <w:rPr>
        <w:rFonts w:cs="Times New Roman"/>
      </w:rPr>
    </w:lvl>
  </w:abstractNum>
  <w:abstractNum w:abstractNumId="3">
    <w:nsid w:val="78C1413D"/>
    <w:multiLevelType w:val="singleLevel"/>
    <w:tmpl w:val="78C1413D"/>
    <w:lvl w:ilvl="0" w:tentative="0">
      <w:start w:val="1"/>
      <w:numFmt w:val="decimal"/>
      <w:suff w:val="space"/>
      <w:lvlText w:val="%1."/>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AF1C96"/>
    <w:rsid w:val="00006A93"/>
    <w:rsid w:val="00015831"/>
    <w:rsid w:val="0007063E"/>
    <w:rsid w:val="00073392"/>
    <w:rsid w:val="00073F4E"/>
    <w:rsid w:val="00086C89"/>
    <w:rsid w:val="000A39FB"/>
    <w:rsid w:val="000F429A"/>
    <w:rsid w:val="00117746"/>
    <w:rsid w:val="00120205"/>
    <w:rsid w:val="0013454E"/>
    <w:rsid w:val="001476CA"/>
    <w:rsid w:val="00156BFA"/>
    <w:rsid w:val="00163F95"/>
    <w:rsid w:val="00180A9A"/>
    <w:rsid w:val="001829C0"/>
    <w:rsid w:val="00184809"/>
    <w:rsid w:val="00192112"/>
    <w:rsid w:val="001B0127"/>
    <w:rsid w:val="001C12D5"/>
    <w:rsid w:val="001C69F7"/>
    <w:rsid w:val="00207B1D"/>
    <w:rsid w:val="00255834"/>
    <w:rsid w:val="002650EC"/>
    <w:rsid w:val="00276C7D"/>
    <w:rsid w:val="00283CAF"/>
    <w:rsid w:val="002A6C46"/>
    <w:rsid w:val="002C19B5"/>
    <w:rsid w:val="002E4CAE"/>
    <w:rsid w:val="003514CD"/>
    <w:rsid w:val="0037375C"/>
    <w:rsid w:val="003A4EE8"/>
    <w:rsid w:val="003D0327"/>
    <w:rsid w:val="003E45AE"/>
    <w:rsid w:val="00442CC2"/>
    <w:rsid w:val="00446244"/>
    <w:rsid w:val="00473C20"/>
    <w:rsid w:val="00490955"/>
    <w:rsid w:val="004B0E78"/>
    <w:rsid w:val="004D61CB"/>
    <w:rsid w:val="004F2213"/>
    <w:rsid w:val="005011D6"/>
    <w:rsid w:val="00503F2E"/>
    <w:rsid w:val="0052477D"/>
    <w:rsid w:val="00525E55"/>
    <w:rsid w:val="00552226"/>
    <w:rsid w:val="00566120"/>
    <w:rsid w:val="00581463"/>
    <w:rsid w:val="00582E6D"/>
    <w:rsid w:val="005954D5"/>
    <w:rsid w:val="005A53FA"/>
    <w:rsid w:val="005D1293"/>
    <w:rsid w:val="005D6CA2"/>
    <w:rsid w:val="005D76F0"/>
    <w:rsid w:val="00613326"/>
    <w:rsid w:val="00644D5F"/>
    <w:rsid w:val="006512A4"/>
    <w:rsid w:val="00661F73"/>
    <w:rsid w:val="006721FB"/>
    <w:rsid w:val="006727AD"/>
    <w:rsid w:val="00691425"/>
    <w:rsid w:val="006A0FAF"/>
    <w:rsid w:val="006A516E"/>
    <w:rsid w:val="006B0830"/>
    <w:rsid w:val="00716E2B"/>
    <w:rsid w:val="007218E9"/>
    <w:rsid w:val="0075712D"/>
    <w:rsid w:val="00770F18"/>
    <w:rsid w:val="00773B74"/>
    <w:rsid w:val="0078290C"/>
    <w:rsid w:val="00782C48"/>
    <w:rsid w:val="007C06CA"/>
    <w:rsid w:val="007E104E"/>
    <w:rsid w:val="008163FB"/>
    <w:rsid w:val="0082605B"/>
    <w:rsid w:val="0084024E"/>
    <w:rsid w:val="008507BC"/>
    <w:rsid w:val="00855C36"/>
    <w:rsid w:val="00857DBE"/>
    <w:rsid w:val="008701BC"/>
    <w:rsid w:val="00883D92"/>
    <w:rsid w:val="00887013"/>
    <w:rsid w:val="008A5362"/>
    <w:rsid w:val="008C65F9"/>
    <w:rsid w:val="008F21F1"/>
    <w:rsid w:val="008F221B"/>
    <w:rsid w:val="008F5A2D"/>
    <w:rsid w:val="009070D7"/>
    <w:rsid w:val="00921602"/>
    <w:rsid w:val="00924966"/>
    <w:rsid w:val="009479CC"/>
    <w:rsid w:val="00957EA1"/>
    <w:rsid w:val="00966E5B"/>
    <w:rsid w:val="009930AC"/>
    <w:rsid w:val="009967DD"/>
    <w:rsid w:val="009B0F38"/>
    <w:rsid w:val="009B4EF0"/>
    <w:rsid w:val="009B5B52"/>
    <w:rsid w:val="009C0562"/>
    <w:rsid w:val="009D271F"/>
    <w:rsid w:val="00A5091C"/>
    <w:rsid w:val="00A71FF5"/>
    <w:rsid w:val="00A929C2"/>
    <w:rsid w:val="00AD097F"/>
    <w:rsid w:val="00B24D4A"/>
    <w:rsid w:val="00B844F4"/>
    <w:rsid w:val="00BA06A1"/>
    <w:rsid w:val="00BA770A"/>
    <w:rsid w:val="00BE5AB3"/>
    <w:rsid w:val="00C054DE"/>
    <w:rsid w:val="00C35B44"/>
    <w:rsid w:val="00C533A4"/>
    <w:rsid w:val="00C54DC5"/>
    <w:rsid w:val="00C679A9"/>
    <w:rsid w:val="00C7541C"/>
    <w:rsid w:val="00CC0FAA"/>
    <w:rsid w:val="00CC780D"/>
    <w:rsid w:val="00CD0736"/>
    <w:rsid w:val="00D100F6"/>
    <w:rsid w:val="00D13AC6"/>
    <w:rsid w:val="00D1570F"/>
    <w:rsid w:val="00D32830"/>
    <w:rsid w:val="00DA3799"/>
    <w:rsid w:val="00DB399E"/>
    <w:rsid w:val="00DB7153"/>
    <w:rsid w:val="00DB7F05"/>
    <w:rsid w:val="00E028C3"/>
    <w:rsid w:val="00E14F77"/>
    <w:rsid w:val="00E20EF7"/>
    <w:rsid w:val="00E3076B"/>
    <w:rsid w:val="00E36978"/>
    <w:rsid w:val="00E57A48"/>
    <w:rsid w:val="00E80231"/>
    <w:rsid w:val="00E82A1E"/>
    <w:rsid w:val="00E87F39"/>
    <w:rsid w:val="00EA5695"/>
    <w:rsid w:val="00EC06F4"/>
    <w:rsid w:val="00EC59F4"/>
    <w:rsid w:val="00EE4E36"/>
    <w:rsid w:val="00F655B9"/>
    <w:rsid w:val="00F665F4"/>
    <w:rsid w:val="00FA0DB9"/>
    <w:rsid w:val="00FB149A"/>
    <w:rsid w:val="00FD225F"/>
    <w:rsid w:val="00FD418A"/>
    <w:rsid w:val="00FE26AA"/>
    <w:rsid w:val="00FF1A32"/>
    <w:rsid w:val="065F35AF"/>
    <w:rsid w:val="09FE09E9"/>
    <w:rsid w:val="178677D2"/>
    <w:rsid w:val="23DC3BAB"/>
    <w:rsid w:val="2C575774"/>
    <w:rsid w:val="31C2036A"/>
    <w:rsid w:val="320D02A5"/>
    <w:rsid w:val="348E566F"/>
    <w:rsid w:val="3A226944"/>
    <w:rsid w:val="3AEE6A48"/>
    <w:rsid w:val="3C1620AA"/>
    <w:rsid w:val="3D8F080F"/>
    <w:rsid w:val="3FB87E1A"/>
    <w:rsid w:val="44CE1FA4"/>
    <w:rsid w:val="45963ACF"/>
    <w:rsid w:val="487F73ED"/>
    <w:rsid w:val="4A347EAE"/>
    <w:rsid w:val="52600405"/>
    <w:rsid w:val="529B4319"/>
    <w:rsid w:val="57773DD6"/>
    <w:rsid w:val="578B79AB"/>
    <w:rsid w:val="5C6B4910"/>
    <w:rsid w:val="5CCD3FD5"/>
    <w:rsid w:val="61FA5F9D"/>
    <w:rsid w:val="64CD6910"/>
    <w:rsid w:val="667442BF"/>
    <w:rsid w:val="6789158D"/>
    <w:rsid w:val="67D81BA4"/>
    <w:rsid w:val="6AAF1C96"/>
    <w:rsid w:val="75092EE8"/>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99"/>
    <w:rPr>
      <w:rFonts w:ascii="仿宋_GB2312" w:hAnsi="仿宋_GB2312" w:eastAsia="仿宋_GB2312" w:cs="仿宋_GB2312"/>
      <w:sz w:val="32"/>
      <w:szCs w:val="32"/>
      <w:lang w:val="zh-CN"/>
    </w:rPr>
  </w:style>
  <w:style w:type="paragraph" w:styleId="4">
    <w:name w:val="Balloon Text"/>
    <w:basedOn w:val="1"/>
    <w:link w:val="15"/>
    <w:semiHidden/>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basedOn w:val="7"/>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
    <w:basedOn w:val="9"/>
    <w:link w:val="2"/>
    <w:locked/>
    <w:uiPriority w:val="99"/>
    <w:rPr>
      <w:rFonts w:ascii="等线" w:hAnsi="等线" w:eastAsia="等线" w:cs="Times New Roman"/>
      <w:b/>
      <w:bCs/>
      <w:kern w:val="44"/>
      <w:sz w:val="44"/>
      <w:szCs w:val="44"/>
    </w:rPr>
  </w:style>
  <w:style w:type="character" w:customStyle="1" w:styleId="11">
    <w:name w:val="正文文本 Char"/>
    <w:basedOn w:val="9"/>
    <w:link w:val="3"/>
    <w:semiHidden/>
    <w:locked/>
    <w:uiPriority w:val="99"/>
    <w:rPr>
      <w:rFonts w:ascii="等线" w:hAnsi="等线" w:eastAsia="等线" w:cs="Times New Roman"/>
    </w:rPr>
  </w:style>
  <w:style w:type="character" w:customStyle="1" w:styleId="12">
    <w:name w:val="页脚 Char"/>
    <w:basedOn w:val="9"/>
    <w:link w:val="5"/>
    <w:locked/>
    <w:uiPriority w:val="99"/>
    <w:rPr>
      <w:rFonts w:cs="Times New Roman"/>
      <w:sz w:val="18"/>
      <w:szCs w:val="18"/>
    </w:rPr>
  </w:style>
  <w:style w:type="character" w:customStyle="1" w:styleId="13">
    <w:name w:val="页眉 Char"/>
    <w:basedOn w:val="9"/>
    <w:link w:val="6"/>
    <w:locked/>
    <w:uiPriority w:val="99"/>
    <w:rPr>
      <w:rFonts w:ascii="等线" w:hAnsi="等线" w:eastAsia="等线" w:cs="Times New Roman"/>
      <w:sz w:val="18"/>
      <w:szCs w:val="18"/>
    </w:rPr>
  </w:style>
  <w:style w:type="paragraph" w:customStyle="1" w:styleId="14">
    <w:name w:val="列出段落1"/>
    <w:basedOn w:val="1"/>
    <w:uiPriority w:val="99"/>
    <w:pPr>
      <w:spacing w:before="2"/>
      <w:ind w:left="119" w:right="434" w:firstLine="643"/>
    </w:pPr>
    <w:rPr>
      <w:rFonts w:ascii="仿宋_GB2312" w:hAnsi="仿宋_GB2312" w:eastAsia="仿宋_GB2312" w:cs="仿宋_GB2312"/>
      <w:lang w:val="zh-CN"/>
    </w:rPr>
  </w:style>
  <w:style w:type="character" w:customStyle="1" w:styleId="15">
    <w:name w:val="批注框文本 Char"/>
    <w:basedOn w:val="9"/>
    <w:link w:val="4"/>
    <w:semiHidden/>
    <w:locked/>
    <w:uiPriority w:val="99"/>
    <w:rPr>
      <w:rFonts w:ascii="等线" w:hAnsi="等线" w:eastAsia="等线" w:cs="Times New Roman"/>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6.xml" Type="http://schemas.openxmlformats.org/officeDocument/2006/relationships/head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header8.xml" Type="http://schemas.openxmlformats.org/officeDocument/2006/relationships/header"/><Relationship Id="rId18" Target="header9.xml" Type="http://schemas.openxmlformats.org/officeDocument/2006/relationships/head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_rels/settings.xml.rels><?xml version="1.0" encoding="UTF-8" standalone="no"?><Relationships xmlns="http://schemas.openxmlformats.org/package/2006/relationships"><Relationship Id="rId1" Target="file:///C:/Users/wangmingxin/AppData/Roaming/kingsoft/office6/templates/download/5185bd05-a416-9a0b-b3d5-d2d8db942b83/&#31616;&#32422;&#25991;&#26723;&#23553;&#38754;&#27169;&#26495;.doc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1"/>
    <customShpInfo spid="_x0000_s1032"/>
    <customShpInfo spid="_x0000_s1030"/>
    <customShpInfo spid="_x0000_s1034"/>
    <customShpInfo spid="_x0000_s1035"/>
    <customShpInfo spid="_x0000_s1033"/>
    <customShpInfo spid="_x0000_s1036"/>
    <customShpInfo spid="_x0000_s1037"/>
    <customShpInfo spid="_x0000_s1038"/>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微软中国</Company>
  <Pages>38</Pages>
  <Words>9558</Words>
  <Characters>8893</Characters>
  <Lines>74</Lines>
  <Paragraphs>36</Paragraphs>
  <TotalTime>356</TotalTime>
  <ScaleCrop>false</ScaleCrop>
  <LinksUpToDate>false</LinksUpToDate>
  <CharactersWithSpaces>18415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2020-07-29T09:42:00Z</dcterms:created>
  <dc:creator>王明新TIAD</dc:creator>
  <cp:lastModifiedBy>Administrator</cp:lastModifiedBy>
  <cp:lastPrinted>2020-08-05T06:25:00Z</cp:lastPrinted>
  <dcterms:modified xsi:type="dcterms:W3CDTF">2021-06-04T07:27:04Z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5585AEB8ECDE4D45B61E7B7537065132</vt:lpwstr>
  </property>
</Properties>
</file>