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ascii="宋体" w:hAnsi="宋体" w:eastAsia="宋体" w:cs="宋体"/>
          <w:i w:val="0"/>
          <w:iCs w:val="0"/>
          <w:caps w:val="0"/>
          <w:color w:val="404040"/>
          <w:spacing w:val="0"/>
          <w:sz w:val="44"/>
          <w:szCs w:val="44"/>
          <w:u w:val="none"/>
        </w:rPr>
      </w:pPr>
      <w:r>
        <w:rPr>
          <w:rFonts w:hint="eastAsia" w:ascii="宋体" w:hAnsi="宋体" w:eastAsia="宋体" w:cs="宋体"/>
          <w:i w:val="0"/>
          <w:iCs w:val="0"/>
          <w:caps w:val="0"/>
          <w:color w:val="404040"/>
          <w:spacing w:val="0"/>
          <w:sz w:val="44"/>
          <w:szCs w:val="44"/>
          <w:u w:val="none"/>
          <w:shd w:val="clear" w:fill="FFFFFF"/>
          <w:lang w:eastAsia="zh-CN"/>
        </w:rPr>
        <w:t>平乡县教育局</w:t>
      </w:r>
      <w:r>
        <w:rPr>
          <w:rFonts w:hint="eastAsia" w:ascii="宋体" w:hAnsi="宋体" w:eastAsia="宋体" w:cs="宋体"/>
          <w:i w:val="0"/>
          <w:iCs w:val="0"/>
          <w:caps w:val="0"/>
          <w:color w:val="404040"/>
          <w:spacing w:val="0"/>
          <w:sz w:val="44"/>
          <w:szCs w:val="44"/>
          <w:u w:val="none"/>
          <w:shd w:val="clear" w:fill="FFFFFF"/>
        </w:rPr>
        <w:t>基层政务公开目录</w:t>
      </w:r>
    </w:p>
    <w:tbl>
      <w:tblPr>
        <w:tblStyle w:val="6"/>
        <w:tblW w:w="13140" w:type="dxa"/>
        <w:tblInd w:w="0" w:type="dxa"/>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0"/>
        <w:gridCol w:w="1410"/>
        <w:gridCol w:w="690"/>
        <w:gridCol w:w="1170"/>
        <w:gridCol w:w="1170"/>
        <w:gridCol w:w="690"/>
        <w:gridCol w:w="690"/>
        <w:gridCol w:w="3690"/>
        <w:gridCol w:w="480"/>
        <w:gridCol w:w="480"/>
        <w:gridCol w:w="480"/>
        <w:gridCol w:w="480"/>
        <w:gridCol w:w="480"/>
        <w:gridCol w:w="750"/>
      </w:tblGrid>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ascii="黑体" w:hAnsi="宋体" w:eastAsia="黑体" w:cs="黑体"/>
                <w:i w:val="0"/>
                <w:iCs w:val="0"/>
                <w:color w:val="000000"/>
                <w:sz w:val="27"/>
                <w:szCs w:val="27"/>
                <w:u w:val="none"/>
              </w:rPr>
              <w:t>序号</w:t>
            </w:r>
          </w:p>
        </w:tc>
        <w:tc>
          <w:tcPr>
            <w:tcW w:w="2100"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黑体" w:hAnsi="宋体" w:eastAsia="黑体" w:cs="黑体"/>
                <w:i w:val="0"/>
                <w:iCs w:val="0"/>
                <w:color w:val="000000"/>
                <w:sz w:val="27"/>
                <w:szCs w:val="27"/>
                <w:u w:val="none"/>
              </w:rPr>
              <w:t>公开事项</w:t>
            </w:r>
          </w:p>
        </w:tc>
        <w:tc>
          <w:tcPr>
            <w:tcW w:w="117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黑体" w:hAnsi="宋体" w:eastAsia="黑体" w:cs="黑体"/>
                <w:i w:val="0"/>
                <w:iCs w:val="0"/>
                <w:color w:val="000000"/>
                <w:sz w:val="27"/>
                <w:szCs w:val="27"/>
                <w:u w:val="none"/>
              </w:rPr>
              <w:t>公开内容（要素）</w:t>
            </w:r>
          </w:p>
        </w:tc>
        <w:tc>
          <w:tcPr>
            <w:tcW w:w="117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黑体" w:hAnsi="宋体" w:eastAsia="黑体" w:cs="黑体"/>
                <w:i w:val="0"/>
                <w:iCs w:val="0"/>
                <w:color w:val="000000"/>
                <w:sz w:val="27"/>
                <w:szCs w:val="27"/>
                <w:u w:val="none"/>
              </w:rPr>
              <w:t>公开依据</w:t>
            </w:r>
          </w:p>
        </w:tc>
        <w:tc>
          <w:tcPr>
            <w:tcW w:w="69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黑体" w:hAnsi="宋体" w:eastAsia="黑体" w:cs="黑体"/>
                <w:i w:val="0"/>
                <w:iCs w:val="0"/>
                <w:color w:val="000000"/>
                <w:sz w:val="27"/>
                <w:szCs w:val="27"/>
                <w:u w:val="none"/>
              </w:rPr>
              <w:t>公开时限</w:t>
            </w:r>
          </w:p>
        </w:tc>
        <w:tc>
          <w:tcPr>
            <w:tcW w:w="69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黑体" w:hAnsi="宋体" w:eastAsia="黑体" w:cs="黑体"/>
                <w:i w:val="0"/>
                <w:iCs w:val="0"/>
                <w:sz w:val="27"/>
                <w:szCs w:val="27"/>
                <w:u w:val="none"/>
              </w:rPr>
              <w:t>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黑体" w:hAnsi="宋体" w:eastAsia="黑体" w:cs="黑体"/>
                <w:i w:val="0"/>
                <w:iCs w:val="0"/>
                <w:sz w:val="27"/>
                <w:szCs w:val="27"/>
                <w:u w:val="none"/>
              </w:rPr>
              <w:t>主体</w:t>
            </w:r>
          </w:p>
        </w:tc>
        <w:tc>
          <w:tcPr>
            <w:tcW w:w="369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黑体" w:hAnsi="宋体" w:eastAsia="黑体" w:cs="黑体"/>
                <w:i w:val="0"/>
                <w:iCs w:val="0"/>
                <w:sz w:val="27"/>
                <w:szCs w:val="27"/>
                <w:u w:val="none"/>
              </w:rPr>
              <w:t>公开渠道和载体</w:t>
            </w:r>
          </w:p>
        </w:tc>
        <w:tc>
          <w:tcPr>
            <w:tcW w:w="960" w:type="dxa"/>
            <w:gridSpan w:val="2"/>
            <w:tcBorders>
              <w:top w:val="single" w:color="auto" w:sz="6" w:space="0"/>
              <w:left w:val="nil"/>
              <w:bottom w:val="nil"/>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黑体" w:hAnsi="宋体" w:eastAsia="黑体" w:cs="黑体"/>
                <w:i w:val="0"/>
                <w:iCs w:val="0"/>
                <w:color w:val="000000"/>
                <w:sz w:val="27"/>
                <w:szCs w:val="27"/>
                <w:u w:val="none"/>
              </w:rPr>
              <w:t>公开对象</w:t>
            </w:r>
          </w:p>
        </w:tc>
        <w:tc>
          <w:tcPr>
            <w:tcW w:w="960"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黑体" w:hAnsi="宋体" w:eastAsia="黑体" w:cs="黑体"/>
                <w:i w:val="0"/>
                <w:iCs w:val="0"/>
                <w:color w:val="000000"/>
                <w:sz w:val="27"/>
                <w:szCs w:val="27"/>
                <w:u w:val="none"/>
              </w:rPr>
              <w:t>公开方式</w:t>
            </w:r>
          </w:p>
        </w:tc>
        <w:tc>
          <w:tcPr>
            <w:tcW w:w="1230"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黑体" w:hAnsi="宋体" w:eastAsia="黑体" w:cs="黑体"/>
                <w:i w:val="0"/>
                <w:iCs w:val="0"/>
                <w:color w:val="000000"/>
                <w:sz w:val="27"/>
                <w:szCs w:val="27"/>
                <w:u w:val="none"/>
              </w:rPr>
              <w:t>公开层级</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7"/>
                <w:szCs w:val="27"/>
                <w:u w:val="none"/>
              </w:rPr>
            </w:pPr>
          </w:p>
        </w:tc>
        <w:tc>
          <w:tcPr>
            <w:tcW w:w="14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黑体" w:hAnsi="宋体" w:eastAsia="黑体" w:cs="黑体"/>
                <w:i w:val="0"/>
                <w:iCs w:val="0"/>
                <w:color w:val="000000"/>
                <w:sz w:val="27"/>
                <w:szCs w:val="27"/>
                <w:u w:val="none"/>
              </w:rPr>
              <w:t>一级事项</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黑体" w:hAnsi="宋体" w:eastAsia="黑体" w:cs="黑体"/>
                <w:i w:val="0"/>
                <w:iCs w:val="0"/>
                <w:color w:val="000000"/>
                <w:sz w:val="27"/>
                <w:szCs w:val="27"/>
                <w:u w:val="none"/>
              </w:rPr>
              <w:t>二级事项</w:t>
            </w:r>
          </w:p>
        </w:tc>
        <w:tc>
          <w:tcPr>
            <w:tcW w:w="117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7"/>
                <w:szCs w:val="27"/>
                <w:u w:val="none"/>
              </w:rPr>
            </w:pPr>
          </w:p>
        </w:tc>
        <w:tc>
          <w:tcPr>
            <w:tcW w:w="117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7"/>
                <w:szCs w:val="27"/>
                <w:u w:val="none"/>
              </w:rPr>
            </w:pPr>
          </w:p>
        </w:tc>
        <w:tc>
          <w:tcPr>
            <w:tcW w:w="69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7"/>
                <w:szCs w:val="27"/>
                <w:u w:val="none"/>
              </w:rPr>
            </w:pPr>
          </w:p>
        </w:tc>
        <w:tc>
          <w:tcPr>
            <w:tcW w:w="69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7"/>
                <w:szCs w:val="27"/>
                <w:u w:val="none"/>
              </w:rPr>
            </w:pPr>
          </w:p>
        </w:tc>
        <w:tc>
          <w:tcPr>
            <w:tcW w:w="369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7"/>
                <w:szCs w:val="27"/>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黑体" w:hAnsi="宋体" w:eastAsia="黑体" w:cs="黑体"/>
                <w:i w:val="0"/>
                <w:iCs w:val="0"/>
                <w:color w:val="000000"/>
                <w:sz w:val="27"/>
                <w:szCs w:val="27"/>
                <w:u w:val="none"/>
              </w:rPr>
              <w:t>全社会</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黑体" w:hAnsi="宋体" w:eastAsia="黑体" w:cs="黑体"/>
                <w:i w:val="0"/>
                <w:iCs w:val="0"/>
                <w:color w:val="000000"/>
                <w:sz w:val="27"/>
                <w:szCs w:val="27"/>
                <w:u w:val="none"/>
              </w:rPr>
              <w:t>特定群众</w:t>
            </w:r>
          </w:p>
        </w:tc>
        <w:tc>
          <w:tcPr>
            <w:tcW w:w="48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黑体" w:hAnsi="宋体" w:eastAsia="黑体" w:cs="黑体"/>
                <w:i w:val="0"/>
                <w:iCs w:val="0"/>
                <w:color w:val="000000"/>
                <w:sz w:val="27"/>
                <w:szCs w:val="27"/>
                <w:u w:val="none"/>
              </w:rPr>
              <w:t>主动</w:t>
            </w:r>
          </w:p>
        </w:tc>
        <w:tc>
          <w:tcPr>
            <w:tcW w:w="48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黑体" w:hAnsi="宋体" w:eastAsia="黑体" w:cs="黑体"/>
                <w:i w:val="0"/>
                <w:iCs w:val="0"/>
                <w:color w:val="000000"/>
                <w:sz w:val="27"/>
                <w:szCs w:val="27"/>
                <w:u w:val="none"/>
              </w:rPr>
              <w:t>依申请公开</w:t>
            </w:r>
          </w:p>
        </w:tc>
        <w:tc>
          <w:tcPr>
            <w:tcW w:w="48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黑体" w:hAnsi="宋体" w:eastAsia="黑体" w:cs="黑体"/>
                <w:i w:val="0"/>
                <w:iCs w:val="0"/>
                <w:color w:val="000000"/>
                <w:sz w:val="27"/>
                <w:szCs w:val="27"/>
                <w:u w:val="none"/>
              </w:rPr>
              <w:t>县级</w:t>
            </w:r>
          </w:p>
        </w:tc>
        <w:tc>
          <w:tcPr>
            <w:tcW w:w="75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sz w:val="27"/>
                <w:szCs w:val="27"/>
                <w:u w:val="none"/>
              </w:rPr>
            </w:pPr>
            <w:r>
              <w:rPr>
                <w:rFonts w:hint="eastAsia" w:ascii="黑体" w:hAnsi="宋体" w:eastAsia="黑体" w:cs="黑体"/>
                <w:i w:val="0"/>
                <w:iCs w:val="0"/>
                <w:color w:val="000000"/>
                <w:sz w:val="27"/>
                <w:szCs w:val="27"/>
                <w:u w:val="none"/>
              </w:rPr>
              <w:t>乡、村级</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0" w:hRule="atLeast"/>
        </w:trPr>
        <w:tc>
          <w:tcPr>
            <w:tcW w:w="48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1</w:t>
            </w:r>
          </w:p>
        </w:tc>
        <w:tc>
          <w:tcPr>
            <w:tcW w:w="141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政策</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文件</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教育法律</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与教育相关的法律、行政法规、部门规章</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《政府信息公开条例》</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bookmarkStart w:id="0" w:name="_GoBack"/>
            <w:bookmarkEnd w:id="0"/>
            <w:r>
              <w:rPr>
                <w:rFonts w:hint="eastAsia" w:ascii="宋体" w:hAnsi="宋体" w:eastAsia="宋体" w:cs="宋体"/>
                <w:i w:val="0"/>
                <w:iCs w:val="0"/>
                <w:color w:val="000000"/>
                <w:sz w:val="24"/>
                <w:szCs w:val="24"/>
                <w:u w:val="none"/>
              </w:rPr>
              <w:t>两微一端</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41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规范性文件</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县教育局制订的规范性文件、政策</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《政府信息公开条例》</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■政府公报</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■两微一端</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2</w:t>
            </w:r>
          </w:p>
        </w:tc>
        <w:tc>
          <w:tcPr>
            <w:tcW w:w="141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教育概况</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教育事业发展主要情况</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教育事业发展主要情况</w:t>
            </w:r>
          </w:p>
        </w:tc>
        <w:tc>
          <w:tcPr>
            <w:tcW w:w="117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《统计法》、《政府信息公开条例》、《教育统计管理规定》</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  </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■两微一端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■公开查阅点</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41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教育统计数据</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学校数据、在校生数据、教师数据、办学条件数据、县级汇总数据</w:t>
            </w:r>
          </w:p>
        </w:tc>
        <w:tc>
          <w:tcPr>
            <w:tcW w:w="11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  </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■两微一端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■公开查阅点</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41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义务教育学校名录</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学校名称、学校地址、办学层次、办学类型、办公电话</w:t>
            </w:r>
          </w:p>
        </w:tc>
        <w:tc>
          <w:tcPr>
            <w:tcW w:w="117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《民办教育促进法》、《政府信息公开条例》、《国务院关于鼓励社会力量兴办教育 促进民办教育健康发展的若干意见》</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■公开查阅点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■两微一端</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85" w:hRule="atLeast"/>
        </w:trPr>
        <w:tc>
          <w:tcPr>
            <w:tcW w:w="48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3</w:t>
            </w:r>
          </w:p>
        </w:tc>
        <w:tc>
          <w:tcPr>
            <w:tcW w:w="141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民办学校信息</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民办学校办学基本信息</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学校名称、办学许可证、办学规模、联系方式</w:t>
            </w:r>
          </w:p>
        </w:tc>
        <w:tc>
          <w:tcPr>
            <w:tcW w:w="11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行政审批局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■公开查阅点</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41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民办学校设立、变更、终止等事项行政审批、备案信息</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法律依据、办理流程、审批结果</w:t>
            </w:r>
          </w:p>
        </w:tc>
        <w:tc>
          <w:tcPr>
            <w:tcW w:w="11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行政审批局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■公开查阅点</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41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日常监管信息</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年检指标、年检程序、年检结果、行政处罚信息</w:t>
            </w:r>
          </w:p>
        </w:tc>
        <w:tc>
          <w:tcPr>
            <w:tcW w:w="11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■文件推送公示栏</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4</w:t>
            </w:r>
          </w:p>
        </w:tc>
        <w:tc>
          <w:tcPr>
            <w:tcW w:w="14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财务信息</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财务信息</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财务管理及监督办法、</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年度经费预决算信息、收费项目及收费标准</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《政府信息公开条例》</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w:t>
            </w:r>
            <w:r>
              <w:rPr>
                <w:rFonts w:hint="eastAsia" w:ascii="宋体" w:hAnsi="宋体" w:eastAsia="宋体" w:cs="宋体"/>
                <w:i w:val="0"/>
                <w:iCs w:val="0"/>
                <w:color w:val="000000"/>
                <w:sz w:val="24"/>
                <w:szCs w:val="24"/>
                <w:u w:val="none"/>
                <w:lang w:eastAsia="zh-CN"/>
              </w:rPr>
              <w:t>政府网站</w:t>
            </w:r>
            <w:r>
              <w:rPr>
                <w:rFonts w:hint="eastAsia" w:ascii="宋体" w:hAnsi="宋体" w:eastAsia="宋体" w:cs="宋体"/>
                <w:i w:val="0"/>
                <w:iCs w:val="0"/>
                <w:color w:val="000000"/>
                <w:sz w:val="24"/>
                <w:szCs w:val="24"/>
                <w:u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■公开查阅点</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5</w:t>
            </w:r>
          </w:p>
        </w:tc>
        <w:tc>
          <w:tcPr>
            <w:tcW w:w="141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招生管理</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学校介绍</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办学性质、办学地点、办学规模、办学基本条件、联系方式等</w:t>
            </w:r>
          </w:p>
        </w:tc>
        <w:tc>
          <w:tcPr>
            <w:tcW w:w="117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《政府信息公开条例》、《教育部关于进一步做好小学升入初中免试就近入学工作的实施意见》、《教育部关于推进中小学信息公开工作的意见》</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■两微一端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■公开查阅点</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41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招生政策</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各校招生工作实施方案；随迁子女入学办法；部分适龄儿童或少年延缓入学、休学等特殊需求的政策解读等</w:t>
            </w:r>
          </w:p>
        </w:tc>
        <w:tc>
          <w:tcPr>
            <w:tcW w:w="11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■两微一端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■电视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■纸质媒体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■公开查阅点  </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5</w:t>
            </w:r>
          </w:p>
        </w:tc>
        <w:tc>
          <w:tcPr>
            <w:tcW w:w="141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招生管理</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招生计划</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各校本年度招生计划</w:t>
            </w:r>
          </w:p>
        </w:tc>
        <w:tc>
          <w:tcPr>
            <w:tcW w:w="117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《政府信息公开条例》、《教育部关于进一步做好小学升入初中免试就近入学工作的实施意见》《教育部关于推进中小学信息公开工作的意见》</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■两微一端 </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41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招生范围</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招生范围、学区划分详细情况</w:t>
            </w:r>
          </w:p>
        </w:tc>
        <w:tc>
          <w:tcPr>
            <w:tcW w:w="11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■两微一端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■公开查阅点</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41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招生结果</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各校本年度招生结果</w:t>
            </w:r>
          </w:p>
        </w:tc>
        <w:tc>
          <w:tcPr>
            <w:tcW w:w="11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■两微一端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■学校公示栏（电子屏）    </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6</w:t>
            </w:r>
          </w:p>
        </w:tc>
        <w:tc>
          <w:tcPr>
            <w:tcW w:w="141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学生管理</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学籍管理</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区域内义务教育阶段学生休学、复学、转学相关政策及所需材料和办理流程；适龄儿童延缓入学所需材料及办理流程；学籍证明、毕（结）业证书遗失办理学历证明确认</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《义务教育法》、《政府信息公开条例》、《中小学生学籍管理办法》</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■政府网站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r>
              <w:rPr>
                <w:rFonts w:hint="eastAsia" w:ascii="宋体" w:hAnsi="宋体" w:eastAsia="宋体" w:cs="宋体"/>
                <w:i w:val="0"/>
                <w:iCs w:val="0"/>
                <w:color w:val="000000"/>
                <w:sz w:val="24"/>
                <w:szCs w:val="24"/>
                <w:u w:val="none"/>
              </w:rPr>
              <w:t>两微一端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■其他：中小学生学籍管理系统    </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41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义务教育学生资助政策</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统一城乡义务教育“两免一补”政策</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《政府信息公开条例》、《国务院关于进一步完善城乡义务教育经费保障机制的通知》</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■两微一端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■公开查阅点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■学校公示栏（电子屏）</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41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学生评优奖励</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省市县“三好学生”“优秀学生干部”评选标准；评比方法；表彰名单等</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《政府信息公开条例》，当地省市县表彰文件</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■政府网站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r>
              <w:rPr>
                <w:rFonts w:hint="eastAsia" w:ascii="宋体" w:hAnsi="宋体" w:eastAsia="宋体" w:cs="宋体"/>
                <w:i w:val="0"/>
                <w:iCs w:val="0"/>
                <w:color w:val="000000"/>
                <w:sz w:val="24"/>
                <w:szCs w:val="24"/>
                <w:u w:val="none"/>
              </w:rPr>
              <w:t>两微一端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■学校公示栏（电子屏）   </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6</w:t>
            </w:r>
          </w:p>
        </w:tc>
        <w:tc>
          <w:tcPr>
            <w:tcW w:w="14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学生管理</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优待政策</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■政府网站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■两微一端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■公开查阅点</w:t>
            </w:r>
            <w:r>
              <w:rPr>
                <w:rFonts w:hint="eastAsia" w:ascii="宋体" w:hAnsi="宋体" w:eastAsia="宋体" w:cs="宋体"/>
                <w:i w:val="0"/>
                <w:iCs w:val="0"/>
                <w:sz w:val="24"/>
                <w:szCs w:val="24"/>
                <w:u w:val="none"/>
              </w:rPr>
              <w:t xml:space="preserve">    </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7</w:t>
            </w:r>
          </w:p>
        </w:tc>
        <w:tc>
          <w:tcPr>
            <w:tcW w:w="141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教师管理</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教师培训</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教师培训政策文件、培训项目组织实施通知</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《教育法》、《教师法》、《中小学教师继续教育规定》</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■两微一端   </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41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教师资格认定</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教师资格认定申请材料；参加体检时间、医疗机构名单、体检合格标准；认定结果；咨询方式、监督举报方式、常见问题等</w:t>
            </w:r>
          </w:p>
        </w:tc>
        <w:tc>
          <w:tcPr>
            <w:tcW w:w="117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《教师法》、《政府信息公开条例》、《教师资格条例》及实施办法、《教育部关于印发〈教师资格证书管理规定〉的通知》</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     </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4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41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中小学、幼儿园教师资格证书补发、换发政策及流程</w:t>
            </w:r>
          </w:p>
        </w:tc>
        <w:tc>
          <w:tcPr>
            <w:tcW w:w="11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7</w:t>
            </w:r>
          </w:p>
        </w:tc>
        <w:tc>
          <w:tcPr>
            <w:tcW w:w="14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教师管理</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教师公开招聘</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教师招聘计划和公告、拟聘用人员名单公示</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《政府信息公开条例》、《事业单位公开招聘人员暂行规定》、《关于进一步规范事业单位公开招聘工作的通知》、《人力资源社会保障部关于事业单位公开招聘岗位条件设置有关问题的通知》</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教育局、人力资源和社会保障局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■两微一端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■电视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■纸质媒体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■学校公示栏（电子屏）  </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7</w:t>
            </w:r>
          </w:p>
        </w:tc>
        <w:tc>
          <w:tcPr>
            <w:tcW w:w="141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教师管理</w:t>
            </w:r>
          </w:p>
        </w:tc>
        <w:tc>
          <w:tcPr>
            <w:tcW w:w="69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教师</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行为</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规范</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教师职业行为准则及违规处理办法</w:t>
            </w:r>
          </w:p>
        </w:tc>
        <w:tc>
          <w:tcPr>
            <w:tcW w:w="117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信息公开条例》、《新时代中小学教师职业行为十项准则》、《新时代幼儿园教师职业行为十项准则》、《中小学教师违反职业道德行为处理办法（2018年修订）》、《幼儿园教师违反职业道德行为处理办法》等</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■两微一端   </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41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对教师有严重违反教师职业行为准则的行政处罚信息</w:t>
            </w:r>
          </w:p>
        </w:tc>
        <w:tc>
          <w:tcPr>
            <w:tcW w:w="11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   </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7</w:t>
            </w:r>
          </w:p>
        </w:tc>
        <w:tc>
          <w:tcPr>
            <w:tcW w:w="141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教师管理</w:t>
            </w:r>
          </w:p>
        </w:tc>
        <w:tc>
          <w:tcPr>
            <w:tcW w:w="69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教师评优评先</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优秀教师的表彰、奖励等行政奖励信息公示</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《教师法》、《中共中央 国务院关于全面深化新时代教师队伍建设改革的意见》</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    </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41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任教30年乡村教师以上教师申请荣誉证书相关政策</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《政府信息公开条例》、《关于做好乡村学校从教30年教师荣誉证书颁发工作的通知》</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  </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41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教师职称评审</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评审政策、评审通知、学校拟推荐人选名单、评审结果、最终结果</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《政府信息公开条例》、《人力资源社会保障部教育部关于印发深化中小学教师职称制度改革的指导意见的通知》</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信息形成（变更）3个工作日内，公示时间不少于7个工作日</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教师</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7</w:t>
            </w:r>
          </w:p>
        </w:tc>
        <w:tc>
          <w:tcPr>
            <w:tcW w:w="14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教师管理</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特岗教师招聘</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岗位设置管理政策、条件、程序等；特岗教师招聘文件及招聘公告；初审结果；笔试成绩；资格复审结果；参加面试人员、面试成绩；进入考察人员名单；拟聘用人员名单；最终聘用结果</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《政府信息公开条例》、《教育部 财政部 人事部 中央编办关于实施农村义务教育阶段学校教师特设岗位计划的通知》、《教育部 财政部 人力资源部 中央编办 关于继续组织实施“农村义务教育阶段学校教师特设岗位计划的通知”》等</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信息形成（变更）3个工作日内，公示时间不少于7个工作日</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r>
              <w:rPr>
                <w:rFonts w:hint="eastAsia" w:ascii="宋体" w:hAnsi="宋体" w:eastAsia="宋体" w:cs="宋体"/>
                <w:i w:val="0"/>
                <w:iCs w:val="0"/>
                <w:color w:val="000000"/>
                <w:sz w:val="24"/>
                <w:szCs w:val="24"/>
                <w:u w:val="none"/>
              </w:rPr>
              <w:t>两微一端 </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应聘人员</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7</w:t>
            </w:r>
          </w:p>
        </w:tc>
        <w:tc>
          <w:tcPr>
            <w:tcW w:w="141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教师管理</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乡村教师生活补助</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管理制度、实施方案、实施时间、补助范围、发放对象、补助档次标准、发放情况</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《政府信息公开条例》、《教育部 财政部关于落实2013年中央1号文件要求对在连片特困地区工作的乡村教师给予生活补助的通知》、《教育部关于加强乡村教师生活补助经费管理有关工作的通知》</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信息形成（变更）3个工作日内；教师申领情况进行常年公示</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■两微一端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■公开查阅点</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41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普通话培训及测试</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开展普通话培训、测试的通知；测试结果查询</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《政府信息公开条例》、《普通话水平测试管理规定》</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■政府网站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■政务新媒体 </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95" w:hRule="atLeast"/>
        </w:trPr>
        <w:tc>
          <w:tcPr>
            <w:tcW w:w="48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8</w:t>
            </w:r>
          </w:p>
        </w:tc>
        <w:tc>
          <w:tcPr>
            <w:tcW w:w="14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重要政策执行情况</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控辍保学</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“一县一策”控辍保学工作方案；年度工作进展情况（含义务教育学生失学、辍学的总体情况，建档立卡家庭贫困学生总体就学情况）</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《政府信息公开条例》、《国务院办公厅关于进一步加强控辍保学提高义务教育巩固水平的通知》</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■政府网站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■两微一端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■公开查阅点</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41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重要政策执行情况</w:t>
            </w:r>
          </w:p>
        </w:tc>
        <w:tc>
          <w:tcPr>
            <w:tcW w:w="69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农村义务教育学生营养改善计划</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有关政策法规、规章、规范性文件；组织机构和职责，举报电话、信箱或电子邮箱；供餐企业、托餐家庭名单</w:t>
            </w:r>
          </w:p>
        </w:tc>
        <w:tc>
          <w:tcPr>
            <w:tcW w:w="117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both"/>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《政府信息公开条例》、《国务院办公厅关于实施农村义务教育学生营养改善计划的意见》《教育部等十五部门关于印发〈农村义务教育学生营养改善计划实施细则〉等五个配套文件的通知》</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■政府网站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r>
              <w:rPr>
                <w:rFonts w:hint="eastAsia" w:ascii="宋体" w:hAnsi="宋体" w:eastAsia="宋体" w:cs="宋体"/>
                <w:i w:val="0"/>
                <w:iCs w:val="0"/>
                <w:color w:val="000000"/>
                <w:sz w:val="24"/>
                <w:szCs w:val="24"/>
                <w:u w:val="none"/>
              </w:rPr>
              <w:t>两微一端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■电视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■纸质媒体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■公开查阅点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■便民服务站</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41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学校食堂饭菜价格、带量食谱；学校膳食委员会名单；学校管理人员陪餐情况；食品安全突发事件应急预案</w:t>
            </w:r>
          </w:p>
        </w:tc>
        <w:tc>
          <w:tcPr>
            <w:tcW w:w="11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■政府网站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r>
              <w:rPr>
                <w:rFonts w:hint="eastAsia" w:ascii="宋体" w:hAnsi="宋体" w:eastAsia="宋体" w:cs="宋体"/>
                <w:i w:val="0"/>
                <w:iCs w:val="0"/>
                <w:color w:val="000000"/>
                <w:sz w:val="24"/>
                <w:szCs w:val="24"/>
                <w:u w:val="none"/>
              </w:rPr>
              <w:t>两微一端</w:t>
            </w:r>
            <w:r>
              <w:rPr>
                <w:rFonts w:hint="eastAsia" w:ascii="宋体" w:hAnsi="宋体" w:eastAsia="宋体" w:cs="宋体"/>
                <w:i w:val="0"/>
                <w:iCs w:val="0"/>
                <w:sz w:val="24"/>
                <w:szCs w:val="24"/>
                <w:u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■电视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■纸质媒体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■公开查阅点</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41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供餐企业（单位）配套管理制度，食品安全责任人、供餐方签约人；食品安全突发事件应急预案</w:t>
            </w:r>
          </w:p>
        </w:tc>
        <w:tc>
          <w:tcPr>
            <w:tcW w:w="11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■政府网站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r>
              <w:rPr>
                <w:rFonts w:hint="eastAsia" w:ascii="宋体" w:hAnsi="宋体" w:eastAsia="宋体" w:cs="宋体"/>
                <w:i w:val="0"/>
                <w:iCs w:val="0"/>
                <w:color w:val="000000"/>
                <w:sz w:val="24"/>
                <w:szCs w:val="24"/>
                <w:u w:val="none"/>
              </w:rPr>
              <w:t>两微一端</w:t>
            </w:r>
            <w:r>
              <w:rPr>
                <w:rFonts w:hint="eastAsia" w:ascii="宋体" w:hAnsi="宋体" w:eastAsia="宋体" w:cs="宋体"/>
                <w:i w:val="0"/>
                <w:iCs w:val="0"/>
                <w:sz w:val="24"/>
                <w:szCs w:val="24"/>
                <w:u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■电视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■纸质媒体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■公开查阅点</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8</w:t>
            </w:r>
          </w:p>
        </w:tc>
        <w:tc>
          <w:tcPr>
            <w:tcW w:w="141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重要政策执行情况</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学校体育评价</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《政府信息公开条例》、教育部关于印发《学生体质健康监测评价办法》等三个文件的通知</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■政府网站  </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41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学校美育评价</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《政府信息公开条例》、教育部关于印发《中小学生艺术素质测评办法》等三个文件的通知</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■政府网站    </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10" w:hRule="atLeast"/>
        </w:trPr>
        <w:tc>
          <w:tcPr>
            <w:tcW w:w="48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9</w:t>
            </w:r>
          </w:p>
        </w:tc>
        <w:tc>
          <w:tcPr>
            <w:tcW w:w="141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    教育督导</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机构队伍</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督导部门组成</w:t>
            </w:r>
          </w:p>
        </w:tc>
        <w:tc>
          <w:tcPr>
            <w:tcW w:w="117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《教育督导条例》、《县域义务教育均衡发展督导评估暂行办法》、《县域义务教育优质均衡发展督导评估办法》</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■政府网站  </w:t>
            </w:r>
            <w:r>
              <w:rPr>
                <w:rFonts w:hint="eastAsia" w:ascii="宋体" w:hAnsi="宋体" w:eastAsia="宋体" w:cs="宋体"/>
                <w:i w:val="0"/>
                <w:iCs w:val="0"/>
                <w:sz w:val="24"/>
                <w:szCs w:val="24"/>
                <w:u w:val="none"/>
              </w:rPr>
              <w:br w:type="textWrapping"/>
            </w:r>
            <w:r>
              <w:rPr>
                <w:rFonts w:hint="eastAsia" w:ascii="宋体" w:hAnsi="宋体" w:eastAsia="宋体" w:cs="宋体"/>
                <w:i w:val="0"/>
                <w:iCs w:val="0"/>
                <w:sz w:val="24"/>
                <w:szCs w:val="24"/>
                <w:u w:val="none"/>
              </w:rPr>
              <w:t>■</w:t>
            </w:r>
            <w:r>
              <w:rPr>
                <w:rFonts w:hint="eastAsia" w:ascii="宋体" w:hAnsi="宋体" w:eastAsia="宋体" w:cs="宋体"/>
                <w:i w:val="0"/>
                <w:iCs w:val="0"/>
                <w:color w:val="000000"/>
                <w:sz w:val="24"/>
                <w:szCs w:val="24"/>
                <w:u w:val="none"/>
              </w:rPr>
              <w:t>两微一端</w:t>
            </w:r>
            <w:r>
              <w:rPr>
                <w:rFonts w:hint="eastAsia" w:ascii="宋体" w:hAnsi="宋体" w:eastAsia="宋体" w:cs="宋体"/>
                <w:i w:val="0"/>
                <w:iCs w:val="0"/>
                <w:sz w:val="24"/>
                <w:szCs w:val="24"/>
                <w:u w:val="none"/>
              </w:rPr>
              <w:t>  </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41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学校督导评估</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责任区划分和责任督学名单、责任督学日常督导事项</w:t>
            </w:r>
          </w:p>
        </w:tc>
        <w:tc>
          <w:tcPr>
            <w:tcW w:w="11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■政府网站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r>
              <w:rPr>
                <w:rFonts w:hint="eastAsia" w:ascii="宋体" w:hAnsi="宋体" w:eastAsia="宋体" w:cs="宋体"/>
                <w:i w:val="0"/>
                <w:iCs w:val="0"/>
                <w:color w:val="000000"/>
                <w:sz w:val="24"/>
                <w:szCs w:val="24"/>
                <w:u w:val="none"/>
              </w:rPr>
              <w:t>两微一端</w:t>
            </w:r>
            <w:r>
              <w:rPr>
                <w:rFonts w:hint="eastAsia" w:ascii="宋体" w:hAnsi="宋体" w:eastAsia="宋体" w:cs="宋体"/>
                <w:i w:val="0"/>
                <w:iCs w:val="0"/>
                <w:sz w:val="24"/>
                <w:szCs w:val="24"/>
                <w:u w:val="none"/>
              </w:rPr>
              <w:t> </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141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义务教育均衡发展督导评估</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义务教育均衡发展有关政策文件</w:t>
            </w:r>
          </w:p>
        </w:tc>
        <w:tc>
          <w:tcPr>
            <w:tcW w:w="11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hAnsi="宋体" w:eastAsia="宋体" w:cs="宋体"/>
                <w:i w:val="0"/>
                <w:iCs w:val="0"/>
                <w:sz w:val="24"/>
                <w:szCs w:val="24"/>
                <w:u w:val="none"/>
              </w:rPr>
            </w:pP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■政府网站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r>
              <w:rPr>
                <w:rFonts w:hint="eastAsia" w:ascii="宋体" w:hAnsi="宋体" w:eastAsia="宋体" w:cs="宋体"/>
                <w:i w:val="0"/>
                <w:iCs w:val="0"/>
                <w:color w:val="000000"/>
                <w:sz w:val="24"/>
                <w:szCs w:val="24"/>
                <w:u w:val="none"/>
              </w:rPr>
              <w:t>两微一端</w:t>
            </w:r>
            <w:r>
              <w:rPr>
                <w:rFonts w:hint="eastAsia" w:ascii="宋体" w:hAnsi="宋体" w:eastAsia="宋体" w:cs="宋体"/>
                <w:i w:val="0"/>
                <w:iCs w:val="0"/>
                <w:sz w:val="24"/>
                <w:szCs w:val="24"/>
                <w:u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■电视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■纸质媒体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■公开查阅点</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10</w:t>
            </w:r>
          </w:p>
        </w:tc>
        <w:tc>
          <w:tcPr>
            <w:tcW w:w="14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校园安全</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校园安全管理</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校园安全管理法律法规、配套管理制度，学生住宿、用餐、组织活动等安全管理情况，校园安全突发事件应急预案、预警信息、应对情况、调查处理情况，校车使用许可申请政策规定及申请流程</w:t>
            </w:r>
          </w:p>
        </w:tc>
        <w:tc>
          <w:tcPr>
            <w:tcW w:w="11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《政府信息公开条例》、《国务院办公厅关于加强中小学幼儿园安全风险防控体系建设的意见》、《教育部关于推进中小学信息公开工作的意见》、《校车安全管理条例》</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信息形成或者变更之日起20个工作日内</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教育局</w:t>
            </w:r>
          </w:p>
        </w:tc>
        <w:tc>
          <w:tcPr>
            <w:tcW w:w="36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■政府网站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■电视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w:t>
            </w:r>
            <w:r>
              <w:rPr>
                <w:rFonts w:hint="eastAsia" w:ascii="宋体" w:hAnsi="宋体" w:eastAsia="宋体" w:cs="宋体"/>
                <w:i w:val="0"/>
                <w:iCs w:val="0"/>
                <w:sz w:val="24"/>
                <w:szCs w:val="24"/>
                <w:u w:val="none"/>
                <w:lang w:eastAsia="zh-CN"/>
              </w:rPr>
              <w:t>纸质媒体</w:t>
            </w:r>
            <w:r>
              <w:rPr>
                <w:rFonts w:hint="eastAsia" w:ascii="宋体" w:hAnsi="宋体" w:eastAsia="宋体" w:cs="宋体"/>
                <w:i w:val="0"/>
                <w:iCs w:val="0"/>
                <w:sz w:val="24"/>
                <w:szCs w:val="24"/>
                <w:u w:val="none"/>
              </w:rPr>
              <w:t>      </w:t>
            </w:r>
            <w:r>
              <w:rPr>
                <w:rFonts w:hint="eastAsia" w:ascii="宋体" w:hAnsi="宋体" w:eastAsia="宋体" w:cs="宋体"/>
                <w:i w:val="0"/>
                <w:iCs w:val="0"/>
                <w:sz w:val="24"/>
                <w:szCs w:val="24"/>
                <w:u w:val="none"/>
                <w:lang w:val="en-US" w:eastAsia="zh-CN"/>
              </w:rPr>
              <w:t xml:space="preserve">     </w:t>
            </w:r>
            <w:r>
              <w:rPr>
                <w:rFonts w:hint="eastAsia" w:ascii="宋体" w:hAnsi="宋体" w:eastAsia="宋体" w:cs="宋体"/>
                <w:i w:val="0"/>
                <w:iCs w:val="0"/>
                <w:sz w:val="24"/>
                <w:szCs w:val="24"/>
                <w:u w:val="none"/>
                <w:lang w:val="en-US" w:eastAsia="zh-CN"/>
              </w:rPr>
              <w:br w:type="textWrapping"/>
            </w:r>
            <w:r>
              <w:rPr>
                <w:rFonts w:hint="eastAsia" w:ascii="宋体" w:hAnsi="宋体" w:eastAsia="宋体" w:cs="宋体"/>
                <w:i w:val="0"/>
                <w:iCs w:val="0"/>
                <w:sz w:val="24"/>
                <w:szCs w:val="24"/>
                <w:u w:val="none"/>
              </w:rPr>
              <w:t>■公开查阅点</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c>
          <w:tcPr>
            <w:tcW w:w="4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宋体" w:hAnsi="宋体" w:eastAsia="宋体" w:cs="宋体"/>
                <w:i w:val="0"/>
                <w:iCs w:val="0"/>
                <w:sz w:val="24"/>
                <w:szCs w:val="24"/>
                <w:u w:val="none"/>
              </w:rPr>
            </w:pPr>
            <w:r>
              <w:rPr>
                <w:rFonts w:hint="eastAsia" w:ascii="宋体" w:hAnsi="宋体" w:eastAsia="宋体" w:cs="宋体"/>
                <w:i w:val="0"/>
                <w:iCs w:val="0"/>
                <w:color w:val="000000"/>
                <w:sz w:val="24"/>
                <w:szCs w:val="24"/>
                <w:u w:val="none"/>
              </w:rPr>
              <w:t>√</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line="510" w:lineRule="atLeast"/>
              <w:ind w:left="0" w:firstLine="0"/>
              <w:jc w:val="left"/>
              <w:rPr>
                <w:rFonts w:hint="eastAsia" w:ascii="宋体" w:hAnsi="宋体" w:eastAsia="宋体" w:cs="宋体"/>
                <w:i w:val="0"/>
                <w:iCs w:val="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A51CD"/>
    <w:rsid w:val="0EB843EA"/>
    <w:rsid w:val="118045F5"/>
    <w:rsid w:val="16D36F75"/>
    <w:rsid w:val="1DC67833"/>
    <w:rsid w:val="237A5348"/>
    <w:rsid w:val="263E665D"/>
    <w:rsid w:val="27814EF7"/>
    <w:rsid w:val="2A4D7312"/>
    <w:rsid w:val="54EC0F08"/>
    <w:rsid w:val="5BE038D3"/>
    <w:rsid w:val="5D017965"/>
    <w:rsid w:val="66143206"/>
    <w:rsid w:val="69DF2446"/>
    <w:rsid w:val="6BA421F9"/>
    <w:rsid w:val="751F49D4"/>
    <w:rsid w:val="77D9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2021-12-31T05:42:00Z</dcterms:created>
  <dc:creator>Administrator</dc:creator>
  <cp:lastModifiedBy>Administrator</cp:lastModifiedBy>
  <dcterms:modified xsi:type="dcterms:W3CDTF">2021-12-31T05:59:19Z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7936274D94E145E5957FE6B15FC265BF</vt:lpwstr>
  </property>
</Properties>
</file>