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中共平乡县委组织部</w:t>
      </w:r>
    </w:p>
    <w:p>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9</w:t>
      </w:r>
      <w:r>
        <w:rPr>
          <w:rFonts w:ascii="Times New Roman" w:hAnsi="Times New Roman" w:eastAsia="方正小标宋_GBK" w:cs="Times New Roman"/>
          <w:sz w:val="44"/>
          <w:szCs w:val="44"/>
        </w:rPr>
        <w:t>年部门预算信息公开</w:t>
      </w:r>
    </w:p>
    <w:p>
      <w:pPr>
        <w:spacing w:line="640" w:lineRule="exact"/>
        <w:jc w:val="center"/>
        <w:rPr>
          <w:rFonts w:ascii="Times New Roman" w:hAnsi="Times New Roman" w:eastAsia="方正小标宋_GBK" w:cs="Times New Roman"/>
          <w:sz w:val="44"/>
          <w:szCs w:val="44"/>
        </w:rPr>
      </w:pPr>
    </w:p>
    <w:p>
      <w:pPr>
        <w:spacing w:line="6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按照《预算法》、《地方预决算公开操作规程》和《河北省省级预算公开办法》规定，现将2019年部门预算公开如下：</w:t>
      </w:r>
    </w:p>
    <w:p>
      <w:pPr>
        <w:spacing w:line="640" w:lineRule="exact"/>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640" w:lineRule="exact"/>
        <w:ind w:firstLine="560"/>
        <w:rPr>
          <w:rFonts w:ascii="仿宋_GB2312" w:hAnsi="仿宋" w:eastAsia="仿宋_GB2312" w:cs="Times New Roman"/>
          <w:b/>
          <w:sz w:val="32"/>
          <w:szCs w:val="32"/>
        </w:rPr>
      </w:pPr>
      <w:r>
        <w:rPr>
          <w:rFonts w:hint="eastAsia" w:ascii="仿宋_GB2312" w:hAnsi="仿宋" w:eastAsia="仿宋_GB2312" w:cs="Times New Roman"/>
          <w:b/>
          <w:sz w:val="32"/>
          <w:szCs w:val="32"/>
        </w:rPr>
        <w:t>部门职责：</w:t>
      </w:r>
    </w:p>
    <w:p>
      <w:pPr>
        <w:spacing w:line="640" w:lineRule="exact"/>
        <w:ind w:firstLine="560"/>
        <w:rPr>
          <w:rFonts w:ascii="仿宋_GB2312" w:eastAsia="仿宋_GB2312"/>
          <w:sz w:val="32"/>
          <w:szCs w:val="32"/>
        </w:rPr>
      </w:pPr>
      <w:r>
        <w:rPr>
          <w:rFonts w:hint="eastAsia" w:ascii="仿宋_GB2312" w:eastAsia="仿宋_GB2312"/>
          <w:sz w:val="32"/>
          <w:szCs w:val="32"/>
        </w:rPr>
        <w:t>1、加强基层领导班子建设；加强全县大学生村官队伍建设；健全全县党的组织制度、党内生活制度建设；加强民主集中制建设和民主生活会宏观指导；协调和组织指导县乡党代会、人代会；做好代表补选、罢免等。</w:t>
      </w:r>
    </w:p>
    <w:p>
      <w:pPr>
        <w:spacing w:line="640" w:lineRule="exact"/>
        <w:ind w:firstLine="560"/>
        <w:rPr>
          <w:rFonts w:ascii="仿宋_GB2312" w:eastAsia="仿宋_GB2312"/>
          <w:sz w:val="32"/>
          <w:szCs w:val="32"/>
        </w:rPr>
      </w:pPr>
      <w:r>
        <w:rPr>
          <w:rFonts w:hint="eastAsia" w:ascii="仿宋_GB2312" w:eastAsia="仿宋_GB2312"/>
          <w:sz w:val="32"/>
          <w:szCs w:val="32"/>
        </w:rPr>
        <w:t>2、落实国家工资政策和涉及领导干部收入分配的相关政策，准确高效办理工资及退休费审批；</w:t>
      </w:r>
    </w:p>
    <w:p>
      <w:pPr>
        <w:spacing w:line="640" w:lineRule="exact"/>
        <w:ind w:firstLine="560"/>
        <w:rPr>
          <w:rFonts w:ascii="仿宋_GB2312" w:eastAsia="仿宋_GB2312"/>
          <w:sz w:val="32"/>
          <w:szCs w:val="32"/>
        </w:rPr>
      </w:pPr>
      <w:r>
        <w:rPr>
          <w:rFonts w:hint="eastAsia" w:ascii="仿宋_GB2312" w:eastAsia="仿宋_GB2312"/>
          <w:sz w:val="32"/>
          <w:szCs w:val="32"/>
        </w:rPr>
        <w:t>3、加强党员干部教育培训；培养锻炼党员、干部，提高干部整体素质；进一步增强我县干部教育培训工作的统筹性、针对性、有效性，不断提高干部素质和业务能力。</w:t>
      </w:r>
    </w:p>
    <w:p>
      <w:pPr>
        <w:spacing w:line="640" w:lineRule="exact"/>
        <w:ind w:firstLine="560"/>
        <w:rPr>
          <w:rFonts w:ascii="仿宋_GB2312" w:eastAsia="仿宋_GB2312"/>
          <w:sz w:val="32"/>
          <w:szCs w:val="32"/>
        </w:rPr>
      </w:pPr>
      <w:r>
        <w:rPr>
          <w:rFonts w:hint="eastAsia" w:ascii="仿宋_GB2312" w:eastAsia="仿宋_GB2312"/>
          <w:sz w:val="32"/>
          <w:szCs w:val="32"/>
        </w:rPr>
        <w:t>4、加强人才队伍建设，做好组织史资料征集和编制工作。</w:t>
      </w:r>
    </w:p>
    <w:p>
      <w:pPr>
        <w:spacing w:line="640" w:lineRule="exact"/>
        <w:ind w:firstLine="560"/>
        <w:rPr>
          <w:rFonts w:ascii="仿宋_GB2312" w:eastAsia="仿宋_GB2312"/>
          <w:sz w:val="32"/>
          <w:szCs w:val="32"/>
        </w:rPr>
      </w:pPr>
      <w:r>
        <w:rPr>
          <w:rFonts w:hint="eastAsia" w:ascii="仿宋_GB2312" w:eastAsia="仿宋_GB2312"/>
          <w:sz w:val="32"/>
          <w:szCs w:val="32"/>
        </w:rPr>
        <w:t>5、做好部机关机要、文秘、信访、会议、固定资产等工作的计划安排和管理；干部、人事政策科学合理；做好老干部综合服务和保障工作；做到新闻工作网宣与舆情监控到位、处置及时。</w:t>
      </w:r>
    </w:p>
    <w:p>
      <w:pPr>
        <w:spacing w:line="640" w:lineRule="exact"/>
        <w:ind w:firstLine="560"/>
        <w:rPr>
          <w:rFonts w:ascii="仿宋_GB2312" w:eastAsia="仿宋_GB2312"/>
          <w:sz w:val="32"/>
          <w:szCs w:val="32"/>
        </w:rPr>
      </w:pPr>
      <w:r>
        <w:rPr>
          <w:rFonts w:hint="eastAsia" w:ascii="仿宋_GB2312" w:eastAsia="仿宋_GB2312"/>
          <w:sz w:val="32"/>
          <w:szCs w:val="32"/>
        </w:rPr>
        <w:t>6、做好各级党组织的远程教育站点的建设与站点间网络的联接及维护，做好对平乡党建网的维护与管理，做好远程教育课件的制作与发报。</w:t>
      </w:r>
    </w:p>
    <w:p>
      <w:pPr>
        <w:spacing w:line="640" w:lineRule="exact"/>
        <w:ind w:firstLine="560"/>
        <w:rPr>
          <w:rFonts w:ascii="仿宋_GB2312" w:eastAsia="仿宋_GB2312"/>
          <w:sz w:val="32"/>
          <w:szCs w:val="32"/>
        </w:rPr>
      </w:pPr>
      <w:r>
        <w:rPr>
          <w:rFonts w:hint="eastAsia" w:ascii="仿宋_GB2312" w:eastAsia="仿宋_GB2312"/>
          <w:sz w:val="32"/>
          <w:szCs w:val="32"/>
        </w:rPr>
        <w:t>7、加强对农村干部的管理，制定目标、完善制度、落实待遇、全员培训、考核评议。</w:t>
      </w:r>
    </w:p>
    <w:p>
      <w:pPr>
        <w:spacing w:line="640" w:lineRule="exact"/>
        <w:ind w:firstLine="560"/>
        <w:rPr>
          <w:rFonts w:ascii="仿宋_GB2312" w:eastAsia="仿宋_GB2312"/>
          <w:sz w:val="32"/>
          <w:szCs w:val="32"/>
        </w:rPr>
      </w:pPr>
      <w:r>
        <w:rPr>
          <w:rFonts w:hint="eastAsia" w:ascii="仿宋_GB2312" w:eastAsia="仿宋_GB2312"/>
          <w:sz w:val="32"/>
          <w:szCs w:val="32"/>
        </w:rPr>
        <w:t>8、加强全县大学生村官工作规范化、制度化，提高大学生村官教育管理培养水平，发挥其应有作用。</w:t>
      </w:r>
    </w:p>
    <w:p>
      <w:pPr>
        <w:spacing w:line="640" w:lineRule="exact"/>
        <w:ind w:firstLine="560"/>
        <w:rPr>
          <w:rFonts w:ascii="仿宋_GB2312" w:eastAsia="仿宋_GB2312"/>
          <w:sz w:val="32"/>
          <w:szCs w:val="32"/>
        </w:rPr>
      </w:pPr>
      <w:r>
        <w:rPr>
          <w:rFonts w:hint="eastAsia" w:ascii="仿宋_GB2312" w:eastAsia="仿宋_GB2312"/>
          <w:sz w:val="32"/>
          <w:szCs w:val="32"/>
        </w:rPr>
        <w:t>9、加强村级活动场所建设，按照“新建一批、改扩建一批、规范完善一批”的要求，解决没有活动场所或场所不能使用问题，突出提升活动场所标准不高问题。</w:t>
      </w:r>
    </w:p>
    <w:p>
      <w:pPr>
        <w:spacing w:line="640" w:lineRule="exact"/>
        <w:ind w:firstLine="560"/>
        <w:rPr>
          <w:rFonts w:ascii="仿宋_GB2312" w:eastAsia="仿宋_GB2312"/>
          <w:sz w:val="32"/>
          <w:szCs w:val="32"/>
        </w:rPr>
      </w:pPr>
      <w:r>
        <w:rPr>
          <w:rFonts w:hint="eastAsia" w:ascii="仿宋_GB2312" w:eastAsia="仿宋_GB2312"/>
          <w:sz w:val="32"/>
          <w:szCs w:val="32"/>
        </w:rPr>
        <w:t>10、完善村级便民服务平台建设，以建设基层服务型党组织为目标，将与群众生产生活密切相关的事项集中办理或代为办理，打造各级党委政府了解民情、办理民事、解决民忧、凝聚民心的平台。</w:t>
      </w:r>
    </w:p>
    <w:p>
      <w:pPr>
        <w:spacing w:line="640" w:lineRule="exact"/>
        <w:ind w:firstLine="560"/>
        <w:rPr>
          <w:rFonts w:ascii="仿宋_GB2312" w:eastAsia="仿宋_GB2312"/>
          <w:sz w:val="32"/>
          <w:szCs w:val="32"/>
        </w:rPr>
      </w:pPr>
      <w:r>
        <w:rPr>
          <w:rFonts w:hint="eastAsia" w:ascii="仿宋_GB2312" w:eastAsia="仿宋_GB2312"/>
          <w:sz w:val="32"/>
          <w:szCs w:val="32"/>
        </w:rPr>
        <w:t>11、加强对后进村的整顿。通过5集中整顿，党组织班子配齐配优，凝聚力战斗力显著增强;党员干部队伍结构优化、素质提升，服务群众能力明显提高;制度机制健全规范，党内活动能够正常有序开展;突出问题得到解决，信访、安全隐患有效化解，群众满意度明显提高。</w:t>
      </w:r>
    </w:p>
    <w:p>
      <w:pPr>
        <w:spacing w:line="640" w:lineRule="exact"/>
        <w:ind w:firstLine="560"/>
        <w:rPr>
          <w:rFonts w:ascii="仿宋_GB2312" w:eastAsia="仿宋_GB2312"/>
          <w:sz w:val="32"/>
          <w:szCs w:val="32"/>
        </w:rPr>
      </w:pPr>
      <w:r>
        <w:rPr>
          <w:rFonts w:hint="eastAsia" w:ascii="仿宋_GB2312" w:eastAsia="仿宋_GB2312"/>
          <w:sz w:val="32"/>
          <w:szCs w:val="32"/>
        </w:rPr>
        <w:t>12、做好企业党员的培养与管理，企业党支部的发展。</w:t>
      </w:r>
    </w:p>
    <w:p>
      <w:pPr>
        <w:spacing w:line="640" w:lineRule="exact"/>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机构设置：</w:t>
      </w:r>
    </w:p>
    <w:p>
      <w:pPr>
        <w:spacing w:line="640" w:lineRule="exact"/>
        <w:jc w:val="center"/>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5"/>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tblHeader/>
          <w:jc w:val="center"/>
        </w:trPr>
        <w:tc>
          <w:tcPr>
            <w:tcW w:w="4417" w:type="dxa"/>
            <w:vMerge w:val="restart"/>
            <w:vAlign w:val="center"/>
          </w:tcPr>
          <w:p>
            <w:pPr>
              <w:spacing w:line="64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134" w:type="dxa"/>
            <w:vMerge w:val="restart"/>
            <w:vAlign w:val="center"/>
          </w:tcPr>
          <w:p>
            <w:pPr>
              <w:spacing w:line="64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276" w:type="dxa"/>
            <w:vMerge w:val="restart"/>
            <w:vAlign w:val="center"/>
          </w:tcPr>
          <w:p>
            <w:pPr>
              <w:spacing w:line="64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w:t>
            </w:r>
          </w:p>
          <w:p>
            <w:pPr>
              <w:spacing w:line="64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规格</w:t>
            </w:r>
          </w:p>
        </w:tc>
        <w:tc>
          <w:tcPr>
            <w:tcW w:w="2902" w:type="dxa"/>
            <w:vMerge w:val="restart"/>
            <w:vAlign w:val="center"/>
          </w:tcPr>
          <w:p>
            <w:pPr>
              <w:spacing w:line="64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tblHeader/>
          <w:jc w:val="center"/>
        </w:trPr>
        <w:tc>
          <w:tcPr>
            <w:tcW w:w="4417" w:type="dxa"/>
            <w:vMerge w:val="continue"/>
            <w:vAlign w:val="center"/>
          </w:tcPr>
          <w:p>
            <w:pPr>
              <w:spacing w:line="640" w:lineRule="exact"/>
              <w:jc w:val="left"/>
              <w:outlineLvl w:val="0"/>
              <w:rPr>
                <w:rFonts w:ascii="仿宋_GB2312" w:hAnsi="Times New Roman" w:eastAsia="仿宋_GB2312" w:cs="Times New Roman"/>
                <w:sz w:val="32"/>
                <w:szCs w:val="32"/>
              </w:rPr>
            </w:pPr>
          </w:p>
        </w:tc>
        <w:tc>
          <w:tcPr>
            <w:tcW w:w="1134" w:type="dxa"/>
            <w:vMerge w:val="continue"/>
            <w:vAlign w:val="center"/>
          </w:tcPr>
          <w:p>
            <w:pPr>
              <w:spacing w:line="640" w:lineRule="exact"/>
              <w:jc w:val="left"/>
              <w:outlineLvl w:val="0"/>
              <w:rPr>
                <w:rFonts w:ascii="仿宋_GB2312" w:hAnsi="Times New Roman" w:eastAsia="仿宋_GB2312" w:cs="Times New Roman"/>
                <w:sz w:val="32"/>
                <w:szCs w:val="32"/>
              </w:rPr>
            </w:pPr>
          </w:p>
        </w:tc>
        <w:tc>
          <w:tcPr>
            <w:tcW w:w="1276" w:type="dxa"/>
            <w:vMerge w:val="continue"/>
            <w:vAlign w:val="center"/>
          </w:tcPr>
          <w:p>
            <w:pPr>
              <w:spacing w:line="640" w:lineRule="exact"/>
              <w:jc w:val="left"/>
              <w:outlineLvl w:val="0"/>
              <w:rPr>
                <w:rFonts w:ascii="仿宋_GB2312" w:hAnsi="Times New Roman" w:eastAsia="仿宋_GB2312" w:cs="Times New Roman"/>
                <w:sz w:val="32"/>
                <w:szCs w:val="32"/>
              </w:rPr>
            </w:pPr>
          </w:p>
        </w:tc>
        <w:tc>
          <w:tcPr>
            <w:tcW w:w="2902" w:type="dxa"/>
            <w:vMerge w:val="continue"/>
            <w:vAlign w:val="center"/>
          </w:tcPr>
          <w:p>
            <w:pPr>
              <w:spacing w:line="640" w:lineRule="exact"/>
              <w:jc w:val="left"/>
              <w:outlineLvl w:val="0"/>
              <w:rPr>
                <w:rFonts w:ascii="仿宋_GB2312" w:hAnsi="Times New Roman"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4417" w:type="dxa"/>
            <w:vAlign w:val="center"/>
          </w:tcPr>
          <w:p>
            <w:pPr>
              <w:spacing w:line="640" w:lineRule="exact"/>
              <w:jc w:val="left"/>
              <w:rPr>
                <w:rFonts w:ascii="仿宋_GB2312" w:hAnsi="Times New Roman" w:eastAsia="仿宋_GB2312" w:cs="Times New Roman"/>
                <w:sz w:val="32"/>
                <w:szCs w:val="32"/>
              </w:rPr>
            </w:pPr>
            <w:r>
              <w:rPr>
                <w:rFonts w:hint="eastAsia" w:ascii="仿宋_GB2312" w:eastAsia="仿宋_GB2312"/>
                <w:sz w:val="32"/>
                <w:szCs w:val="32"/>
              </w:rPr>
              <w:t>中共平乡县委组织部</w:t>
            </w:r>
          </w:p>
        </w:tc>
        <w:tc>
          <w:tcPr>
            <w:tcW w:w="1134" w:type="dxa"/>
            <w:vAlign w:val="center"/>
          </w:tcPr>
          <w:p>
            <w:pPr>
              <w:spacing w:line="640" w:lineRule="exact"/>
              <w:jc w:val="center"/>
              <w:rPr>
                <w:rFonts w:ascii="仿宋_GB2312" w:hAnsi="Times New Roman" w:eastAsia="仿宋_GB2312" w:cs="Times New Roman"/>
                <w:sz w:val="32"/>
                <w:szCs w:val="32"/>
              </w:rPr>
            </w:pPr>
            <w:r>
              <w:rPr>
                <w:rFonts w:hint="eastAsia" w:ascii="仿宋_GB2312" w:eastAsia="仿宋_GB2312"/>
                <w:sz w:val="32"/>
                <w:szCs w:val="32"/>
              </w:rPr>
              <w:t>行政</w:t>
            </w:r>
          </w:p>
        </w:tc>
        <w:tc>
          <w:tcPr>
            <w:tcW w:w="1276" w:type="dxa"/>
            <w:vAlign w:val="center"/>
          </w:tcPr>
          <w:p>
            <w:pPr>
              <w:spacing w:line="640" w:lineRule="exact"/>
              <w:jc w:val="center"/>
              <w:rPr>
                <w:rFonts w:ascii="仿宋_GB2312" w:hAnsi="Times New Roman" w:eastAsia="仿宋_GB2312" w:cs="Times New Roman"/>
                <w:sz w:val="32"/>
                <w:szCs w:val="32"/>
              </w:rPr>
            </w:pPr>
            <w:r>
              <w:rPr>
                <w:rFonts w:hint="eastAsia" w:ascii="仿宋_GB2312" w:eastAsia="仿宋_GB2312"/>
                <w:sz w:val="32"/>
                <w:szCs w:val="32"/>
              </w:rPr>
              <w:t>正科级</w:t>
            </w:r>
          </w:p>
        </w:tc>
        <w:tc>
          <w:tcPr>
            <w:tcW w:w="2902" w:type="dxa"/>
            <w:vAlign w:val="center"/>
          </w:tcPr>
          <w:p>
            <w:pPr>
              <w:spacing w:line="640" w:lineRule="exact"/>
              <w:jc w:val="center"/>
              <w:rPr>
                <w:rFonts w:ascii="仿宋_GB2312" w:hAnsi="Times New Roman" w:eastAsia="仿宋_GB2312" w:cs="Times New Roman"/>
                <w:sz w:val="32"/>
                <w:szCs w:val="32"/>
              </w:rPr>
            </w:pPr>
            <w:r>
              <w:rPr>
                <w:rFonts w:hint="eastAsia" w:ascii="仿宋_GB2312" w:eastAsia="仿宋_GB2312"/>
                <w:sz w:val="32"/>
                <w:szCs w:val="32"/>
              </w:rPr>
              <w:t>财政拨款</w:t>
            </w:r>
          </w:p>
        </w:tc>
      </w:tr>
    </w:tbl>
    <w:p>
      <w:pPr>
        <w:spacing w:line="640" w:lineRule="exact"/>
        <w:ind w:firstLine="640"/>
        <w:rPr>
          <w:rFonts w:ascii="仿宋_GB2312" w:hAnsi="黑体" w:eastAsia="仿宋_GB2312" w:cs="Times New Roman"/>
          <w:sz w:val="32"/>
          <w:szCs w:val="32"/>
        </w:rPr>
      </w:pPr>
    </w:p>
    <w:p>
      <w:pPr>
        <w:spacing w:line="640" w:lineRule="exact"/>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64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按照预算管理有关规定，目前我县部门预算的编制实行综合预算制度，即全部收入和支出都反映的预算中。 </w:t>
      </w:r>
    </w:p>
    <w:p>
      <w:pPr>
        <w:spacing w:line="640" w:lineRule="exact"/>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1、收入说明</w:t>
      </w:r>
    </w:p>
    <w:p>
      <w:pPr>
        <w:spacing w:line="64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反应本部门当年全部收入。2019年预算收入1578.03万元，其中：一般公共预算收入1578.03万元，基金预算收入0万元，财政专户核拨收入0万元，其他来源收入0万元。</w:t>
      </w:r>
    </w:p>
    <w:p>
      <w:pPr>
        <w:spacing w:line="640" w:lineRule="exact"/>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2、支出说明</w:t>
      </w:r>
    </w:p>
    <w:p>
      <w:pPr>
        <w:spacing w:line="64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平乡县委组织部年度部门预算中支出预算的总体情况。2019年部门支出预算为1578.03万元，其中基本支出629.25万元，包括人员经费596.59万元和日常公用经费32.66万元；项目支出948.78万元。</w:t>
      </w:r>
    </w:p>
    <w:p>
      <w:pPr>
        <w:spacing w:line="640" w:lineRule="exact"/>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3、比上年增减情况</w:t>
      </w:r>
    </w:p>
    <w:p>
      <w:pPr>
        <w:spacing w:line="64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2019年，部门预算收支安排1578.03万元，</w:t>
      </w:r>
      <w:r>
        <w:rPr>
          <w:rFonts w:hint="eastAsia" w:ascii="仿宋_GB2312" w:hAnsi="Times New Roman" w:eastAsia="仿宋_GB2312" w:cs="Times New Roman"/>
          <w:sz w:val="32"/>
          <w:szCs w:val="32"/>
        </w:rPr>
        <w:t>较2018年增加606.60万元，其中：基本支出减少10.28万元，减少的主要原因是人员调出造成；项目支出增加616.88万元，增加的主要原因是全县75个县级精准扶贫驻村工作队每个队工作经费按要求增加到8万元造成。</w:t>
      </w:r>
    </w:p>
    <w:p>
      <w:pPr>
        <w:spacing w:line="640" w:lineRule="exact"/>
        <w:ind w:firstLine="64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spacing w:line="64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2019年，我部门机关运行经费共计安排32.66元，主要用于保证机关正常运转的办公费、邮电费、差旅费、公务车运行维护费、车补等支出。</w:t>
      </w:r>
    </w:p>
    <w:p>
      <w:pPr>
        <w:spacing w:line="640" w:lineRule="exact"/>
        <w:ind w:firstLine="640"/>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spacing w:line="64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财政拨款“三公”经费预算安排4.30万元，其中：因公出国（境）费0万元；公务用车购置及运维费2.50万元（其中：公务用车运行维护费2.50万元，公务用车购置费0万元)；公务接待费1.80万元。“三公”经费与上年减少4万元，主要原因：一是机构改革后部门减少；二是</w:t>
      </w:r>
      <w:r>
        <w:rPr>
          <w:rFonts w:hint="eastAsia" w:ascii="仿宋" w:hAnsi="仿宋" w:eastAsia="仿宋" w:cs="仿宋_GB2312"/>
          <w:kern w:val="0"/>
          <w:sz w:val="32"/>
          <w:szCs w:val="32"/>
          <w:lang w:val="zh-CN"/>
        </w:rPr>
        <w:t>我单位积极响应国家号召，厉行节约，大力压减公务用车运行费用，尽可能减少公车出行。</w:t>
      </w:r>
    </w:p>
    <w:p>
      <w:pPr>
        <w:spacing w:line="6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560" w:firstLineChars="200"/>
        <w:jc w:val="left"/>
        <w:rPr>
          <w:rFonts w:ascii="黑体" w:hAnsi="黑体" w:eastAsia="黑体"/>
          <w:b/>
          <w:sz w:val="28"/>
        </w:rPr>
      </w:pPr>
      <w:bookmarkStart w:id="0" w:name="_Toc471398463"/>
      <w:r>
        <w:rPr>
          <w:rFonts w:hint="eastAsia" w:ascii="黑体" w:hAnsi="黑体" w:eastAsia="黑体"/>
          <w:sz w:val="28"/>
        </w:rPr>
        <w:t>（一）、年度发展规划目标</w:t>
      </w:r>
    </w:p>
    <w:p>
      <w:pPr>
        <w:ind w:firstLine="562" w:firstLineChars="200"/>
        <w:jc w:val="left"/>
        <w:rPr>
          <w:rFonts w:ascii="方正楷体_GBK" w:eastAsia="方正楷体_GBK"/>
          <w:b/>
          <w:sz w:val="28"/>
        </w:rPr>
      </w:pPr>
      <w:r>
        <w:rPr>
          <w:rFonts w:hint="eastAsia" w:ascii="方正楷体_GBK" w:eastAsia="方正楷体_GBK"/>
          <w:b/>
          <w:sz w:val="28"/>
        </w:rPr>
        <w:t>总体目标：</w:t>
      </w:r>
    </w:p>
    <w:p>
      <w:pPr>
        <w:spacing w:line="500" w:lineRule="exact"/>
        <w:ind w:firstLine="560"/>
        <w:rPr>
          <w:rFonts w:ascii="仿宋" w:hAnsi="仿宋" w:eastAsia="仿宋"/>
          <w:sz w:val="28"/>
        </w:rPr>
      </w:pPr>
      <w:r>
        <w:rPr>
          <w:rFonts w:ascii="仿宋" w:hAnsi="仿宋" w:eastAsia="仿宋"/>
          <w:sz w:val="28"/>
        </w:rPr>
        <w:t>全县组织工作总体要求是:坚持以习近平新时代中国特色社会主义思想和党的十九大精神为统领，牢牢把握坚决维护习近平总书记党中央的核心、全党的核心地位，坚决维护党中央权威和集中统一领导这个根本政治责任，牢牢把握坚持和加强党的全面领导这个根本原则，牢牢把握坚持党要管党、全面从严治党这个指导方针，全面落实新时代党的建设总要求，以党的政治建设为统领，以“不忘初心、牢记使命”主题教育、重点工作大督查为重点，统筹推进领导班子和干部队伍建设、基层党组织和党员队伍建设、人才队伍建设，坚持稳中求进工作总基调，不断提高组织工作质量和水平，为奋力建设新时代“经济强县、美丽平乡”提供坚强的组织保障。</w:t>
      </w:r>
    </w:p>
    <w:p>
      <w:pPr>
        <w:spacing w:line="500" w:lineRule="exact"/>
        <w:ind w:firstLine="560"/>
        <w:rPr>
          <w:rFonts w:ascii="仿宋" w:hAnsi="仿宋" w:eastAsia="仿宋"/>
          <w:sz w:val="28"/>
        </w:rPr>
      </w:pPr>
      <w:r>
        <w:rPr>
          <w:rFonts w:ascii="仿宋" w:hAnsi="仿宋" w:eastAsia="仿宋"/>
          <w:sz w:val="28"/>
        </w:rPr>
        <w:t>（一）进一步加快基层组织“三化”建设进程。标准化打造，抓好“传统战线”巩固提升。制度化管理，抓好“隐蔽战线”挖掘规范。智慧化引领，抓好“新兴战线”开辟建立。</w:t>
      </w:r>
    </w:p>
    <w:p>
      <w:pPr>
        <w:spacing w:line="500" w:lineRule="exact"/>
        <w:ind w:firstLine="560"/>
        <w:rPr>
          <w:rFonts w:ascii="仿宋" w:hAnsi="仿宋" w:eastAsia="仿宋"/>
          <w:sz w:val="28"/>
        </w:rPr>
      </w:pPr>
      <w:r>
        <w:rPr>
          <w:rFonts w:ascii="仿宋" w:hAnsi="仿宋" w:eastAsia="仿宋"/>
          <w:sz w:val="28"/>
        </w:rPr>
        <w:t>（二）扎实开展“不忘初心、牢记使命”主题教育。不断深化理论武装.坚持把学习贯彻习近平新时代中国特色社会主义思想,作为当前和今后一个时期党员干部教育培训工作的首要政治任务,精心办好各类专题培训班,切实用新思想武装头脑、指导实践、推动工作。</w:t>
      </w:r>
    </w:p>
    <w:p>
      <w:pPr>
        <w:spacing w:line="500" w:lineRule="exact"/>
        <w:ind w:firstLine="560"/>
        <w:rPr>
          <w:rFonts w:ascii="仿宋" w:hAnsi="仿宋" w:eastAsia="仿宋"/>
          <w:sz w:val="28"/>
        </w:rPr>
      </w:pPr>
      <w:r>
        <w:rPr>
          <w:rFonts w:ascii="仿宋" w:hAnsi="仿宋" w:eastAsia="仿宋"/>
          <w:sz w:val="28"/>
        </w:rPr>
        <w:t>（三）切实加强基层组织及党员规范管理。持续抓好党性教育，精心办好各类党性教育专题培训班，建立健全党内激励、关怀、帮扶机制，打好党性教育的“组合拳”，不断增强党员对党组织的认同感、归属感、荣誉感。</w:t>
      </w:r>
    </w:p>
    <w:p>
      <w:pPr>
        <w:spacing w:line="500" w:lineRule="exact"/>
        <w:ind w:firstLine="560"/>
        <w:rPr>
          <w:rFonts w:ascii="仿宋" w:hAnsi="仿宋" w:eastAsia="仿宋"/>
          <w:sz w:val="28"/>
        </w:rPr>
      </w:pPr>
      <w:r>
        <w:rPr>
          <w:rFonts w:ascii="仿宋" w:hAnsi="仿宋" w:eastAsia="仿宋"/>
          <w:sz w:val="28"/>
        </w:rPr>
        <w:t>（四）强力推进智慧党建工作，促使党建工作迈向规范化、智能化、便捷化、精准化，实现党员参与党建活动圈覆盖，为党建工作开展注入新活力。</w:t>
      </w:r>
    </w:p>
    <w:p>
      <w:pPr>
        <w:spacing w:line="500" w:lineRule="exact"/>
        <w:ind w:firstLine="560"/>
        <w:rPr>
          <w:rFonts w:ascii="仿宋" w:hAnsi="仿宋" w:eastAsia="仿宋"/>
          <w:sz w:val="28"/>
        </w:rPr>
      </w:pPr>
      <w:r>
        <w:rPr>
          <w:rFonts w:ascii="仿宋" w:hAnsi="仿宋" w:eastAsia="仿宋"/>
          <w:sz w:val="28"/>
        </w:rPr>
        <w:t>（五）加强培训，着力提升党员队伍整体素质。加强思想教育，着力提高党员的理论素养，加强党纪教育，着力提高党员的纪律修养，创新培训方式，着力提高党员的能力水平。</w:t>
      </w:r>
    </w:p>
    <w:p>
      <w:pPr>
        <w:spacing w:line="500" w:lineRule="exact"/>
        <w:ind w:firstLine="560"/>
        <w:rPr>
          <w:rFonts w:ascii="仿宋" w:hAnsi="仿宋" w:eastAsia="仿宋"/>
          <w:sz w:val="28"/>
        </w:rPr>
      </w:pPr>
      <w:r>
        <w:rPr>
          <w:rFonts w:ascii="仿宋" w:hAnsi="仿宋" w:eastAsia="仿宋"/>
          <w:sz w:val="28"/>
        </w:rPr>
        <w:t>（六）加大人才培养引进力度，拓宽招才引智渠道，有效提升人才聚集的规模层次，优化人才发展环境。</w:t>
      </w:r>
    </w:p>
    <w:p>
      <w:pPr>
        <w:spacing w:line="500" w:lineRule="exact"/>
        <w:ind w:firstLine="560"/>
        <w:rPr>
          <w:rFonts w:ascii="仿宋" w:hAnsi="仿宋" w:eastAsia="仿宋"/>
          <w:sz w:val="28"/>
        </w:rPr>
      </w:pPr>
      <w:r>
        <w:rPr>
          <w:rFonts w:ascii="仿宋" w:hAnsi="仿宋" w:eastAsia="仿宋"/>
          <w:sz w:val="28"/>
        </w:rPr>
        <w:t>（七）扎实开展重点工作大督查工作。聚焦重点难点，改进督查方式方法，对发现的问题一盯到底并督促解决到位，不断提高督查质量和水平。</w:t>
      </w:r>
    </w:p>
    <w:p>
      <w:pPr>
        <w:spacing w:line="500" w:lineRule="exact"/>
        <w:ind w:firstLine="560"/>
        <w:rPr>
          <w:rFonts w:ascii="仿宋" w:hAnsi="仿宋" w:eastAsia="仿宋"/>
          <w:sz w:val="28"/>
        </w:rPr>
      </w:pPr>
      <w:r>
        <w:rPr>
          <w:rFonts w:ascii="仿宋" w:hAnsi="仿宋" w:eastAsia="仿宋"/>
          <w:sz w:val="28"/>
        </w:rPr>
        <w:t>（八）进一步发展壮大村级集体经济。增强基层党组织创造力、凝聚力和战斗力，优化村“两委”班子。</w:t>
      </w:r>
    </w:p>
    <w:p>
      <w:pPr>
        <w:spacing w:line="500" w:lineRule="exact"/>
        <w:ind w:firstLine="560"/>
        <w:rPr>
          <w:rFonts w:ascii="仿宋" w:hAnsi="仿宋" w:eastAsia="仿宋"/>
          <w:sz w:val="28"/>
        </w:rPr>
      </w:pPr>
      <w:r>
        <w:rPr>
          <w:rFonts w:ascii="仿宋" w:hAnsi="仿宋" w:eastAsia="仿宋"/>
          <w:sz w:val="28"/>
        </w:rPr>
        <w:t>（九）深入推进组织部门自身建设。在坚持全面从严治党的背景下，增强质量意识、强化精准思维、提升专业水平、弘扬改革精神、发挥表率作用，将组织工作提高到新的高度。</w:t>
      </w:r>
    </w:p>
    <w:p>
      <w:pPr>
        <w:spacing w:line="500" w:lineRule="exact"/>
        <w:ind w:firstLine="560"/>
        <w:rPr>
          <w:rFonts w:ascii="方正仿宋_GBK" w:eastAsia="方正仿宋_GBK"/>
          <w:sz w:val="28"/>
        </w:rPr>
      </w:pPr>
    </w:p>
    <w:p>
      <w:pPr>
        <w:jc w:val="left"/>
        <w:rPr>
          <w:rFonts w:ascii="方正楷体_GBK" w:eastAsia="方正楷体_GBK"/>
          <w:b/>
          <w:sz w:val="28"/>
        </w:rPr>
      </w:pPr>
      <w:r>
        <w:rPr>
          <w:rFonts w:hint="eastAsia" w:ascii="方正楷体_GBK" w:eastAsia="方正楷体_GBK"/>
          <w:b/>
          <w:sz w:val="28"/>
        </w:rPr>
        <w:t xml:space="preserve">    职责分类绩效目标：</w:t>
      </w:r>
    </w:p>
    <w:p>
      <w:pPr>
        <w:spacing w:line="500" w:lineRule="exact"/>
        <w:ind w:firstLine="560"/>
        <w:rPr>
          <w:rFonts w:ascii="仿宋" w:hAnsi="仿宋" w:eastAsia="仿宋"/>
          <w:sz w:val="28"/>
        </w:rPr>
      </w:pPr>
      <w:r>
        <w:rPr>
          <w:rFonts w:ascii="仿宋" w:hAnsi="仿宋" w:eastAsia="仿宋"/>
          <w:sz w:val="28"/>
        </w:rPr>
        <w:t>部门职责:</w:t>
      </w:r>
    </w:p>
    <w:p>
      <w:pPr>
        <w:spacing w:line="500" w:lineRule="exact"/>
        <w:ind w:firstLine="560"/>
        <w:rPr>
          <w:rFonts w:ascii="仿宋" w:hAnsi="仿宋" w:eastAsia="仿宋"/>
          <w:sz w:val="28"/>
        </w:rPr>
      </w:pPr>
      <w:r>
        <w:rPr>
          <w:rFonts w:ascii="仿宋" w:hAnsi="仿宋" w:eastAsia="仿宋"/>
          <w:sz w:val="28"/>
        </w:rPr>
        <w:t>1.加强基层领导班子建设;加强全县大学生村官队伍建设;健全全县党的组织制度、党内生活制度建设；加强民主集中制建设和民主生活会宏观指导；协调和组织指导县乡党代会、人代会；做好代表补选、罢免等。</w:t>
      </w:r>
    </w:p>
    <w:p>
      <w:pPr>
        <w:spacing w:line="500" w:lineRule="exact"/>
        <w:ind w:firstLine="560"/>
        <w:rPr>
          <w:rFonts w:ascii="仿宋" w:hAnsi="仿宋" w:eastAsia="仿宋"/>
          <w:sz w:val="28"/>
        </w:rPr>
      </w:pPr>
      <w:r>
        <w:rPr>
          <w:rFonts w:ascii="仿宋" w:hAnsi="仿宋" w:eastAsia="仿宋"/>
          <w:sz w:val="28"/>
        </w:rPr>
        <w:t>2.落实国家工资政策和涉及领导干部收入分配的相关政策，准确高效办理工资及退休费审批。</w:t>
      </w:r>
    </w:p>
    <w:p>
      <w:pPr>
        <w:spacing w:line="500" w:lineRule="exact"/>
        <w:ind w:firstLine="560"/>
        <w:rPr>
          <w:rFonts w:ascii="仿宋" w:hAnsi="仿宋" w:eastAsia="仿宋"/>
          <w:sz w:val="28"/>
        </w:rPr>
      </w:pPr>
      <w:r>
        <w:rPr>
          <w:rFonts w:ascii="仿宋" w:hAnsi="仿宋" w:eastAsia="仿宋"/>
          <w:sz w:val="28"/>
        </w:rPr>
        <w:t>3.加强党员干部教育培训；培养锻炼党员、干部，提高干部整体素质；进一步增强我县干部教育培训工作的统筹性、针对性、有效性，不断提高干部素质和业务能力。</w:t>
      </w:r>
    </w:p>
    <w:p>
      <w:pPr>
        <w:spacing w:line="500" w:lineRule="exact"/>
        <w:ind w:firstLine="560"/>
        <w:rPr>
          <w:rFonts w:ascii="仿宋" w:hAnsi="仿宋" w:eastAsia="仿宋"/>
          <w:sz w:val="28"/>
        </w:rPr>
      </w:pPr>
      <w:r>
        <w:rPr>
          <w:rFonts w:ascii="仿宋" w:hAnsi="仿宋" w:eastAsia="仿宋"/>
          <w:sz w:val="28"/>
        </w:rPr>
        <w:t>4.加强人才队伍建设，做好组织史资料征集和编制工作。</w:t>
      </w:r>
    </w:p>
    <w:p>
      <w:pPr>
        <w:spacing w:line="500" w:lineRule="exact"/>
        <w:ind w:firstLine="560"/>
        <w:rPr>
          <w:rFonts w:ascii="仿宋" w:hAnsi="仿宋" w:eastAsia="仿宋"/>
          <w:sz w:val="28"/>
        </w:rPr>
      </w:pPr>
      <w:r>
        <w:rPr>
          <w:rFonts w:ascii="仿宋" w:hAnsi="仿宋" w:eastAsia="仿宋"/>
          <w:sz w:val="28"/>
        </w:rPr>
        <w:t>5.做好部机关机要、文秘、信访、会议、固定资产等工作的计划安排和管理；做好老干部综合服务和保障工作；做到新闻工作网宣与舆情监控到位、处置及时。</w:t>
      </w:r>
    </w:p>
    <w:p>
      <w:pPr>
        <w:spacing w:line="500" w:lineRule="exact"/>
        <w:ind w:firstLine="560"/>
        <w:rPr>
          <w:rFonts w:ascii="仿宋" w:hAnsi="仿宋" w:eastAsia="仿宋"/>
          <w:sz w:val="28"/>
        </w:rPr>
      </w:pPr>
      <w:r>
        <w:rPr>
          <w:rFonts w:ascii="仿宋" w:hAnsi="仿宋" w:eastAsia="仿宋"/>
          <w:sz w:val="28"/>
        </w:rPr>
        <w:t>6.做好各级党组织的远程教育站点的建设与站点间网络的联接及维护，做好对平乡党建网的维护与管理，做好远程教育课件的制作与发报。</w:t>
      </w:r>
    </w:p>
    <w:p>
      <w:pPr>
        <w:spacing w:line="500" w:lineRule="exact"/>
        <w:ind w:firstLine="560"/>
        <w:rPr>
          <w:rFonts w:ascii="仿宋" w:hAnsi="仿宋" w:eastAsia="仿宋"/>
          <w:sz w:val="28"/>
        </w:rPr>
      </w:pPr>
      <w:r>
        <w:rPr>
          <w:rFonts w:ascii="仿宋" w:hAnsi="仿宋" w:eastAsia="仿宋"/>
          <w:sz w:val="28"/>
        </w:rPr>
        <w:t>7.加强对农村干部的管理，制定目标、完善制度、落实待遇、全员培训、考核评议。</w:t>
      </w:r>
    </w:p>
    <w:p>
      <w:pPr>
        <w:spacing w:line="500" w:lineRule="exact"/>
        <w:ind w:firstLine="560"/>
        <w:rPr>
          <w:rFonts w:ascii="仿宋" w:hAnsi="仿宋" w:eastAsia="仿宋"/>
          <w:sz w:val="28"/>
        </w:rPr>
      </w:pPr>
      <w:r>
        <w:rPr>
          <w:rFonts w:ascii="仿宋" w:hAnsi="仿宋" w:eastAsia="仿宋"/>
          <w:sz w:val="28"/>
        </w:rPr>
        <w:t>8.加强全县大学生村官工作规范化、制度化，提高大学生村官教育管理培养水平，发挥其应有作用。</w:t>
      </w:r>
    </w:p>
    <w:p>
      <w:pPr>
        <w:spacing w:line="500" w:lineRule="exact"/>
        <w:ind w:firstLine="560"/>
        <w:rPr>
          <w:rFonts w:ascii="仿宋" w:hAnsi="仿宋" w:eastAsia="仿宋"/>
          <w:sz w:val="28"/>
        </w:rPr>
      </w:pPr>
      <w:r>
        <w:rPr>
          <w:rFonts w:ascii="仿宋" w:hAnsi="仿宋" w:eastAsia="仿宋"/>
          <w:sz w:val="28"/>
        </w:rPr>
        <w:t>9.加强村级活动场所建设，按照“新建一批、改扩建一批、规范完善一批”的要求，解决没有活动场所或场所不能使用问题，突出提升活动场所标准不高问题。</w:t>
      </w:r>
    </w:p>
    <w:p>
      <w:pPr>
        <w:spacing w:line="500" w:lineRule="exact"/>
        <w:ind w:firstLine="560"/>
        <w:rPr>
          <w:rFonts w:ascii="仿宋" w:hAnsi="仿宋" w:eastAsia="仿宋"/>
          <w:sz w:val="28"/>
        </w:rPr>
      </w:pPr>
      <w:r>
        <w:rPr>
          <w:rFonts w:ascii="仿宋" w:hAnsi="仿宋" w:eastAsia="仿宋"/>
          <w:sz w:val="28"/>
        </w:rPr>
        <w:t>10.完善村级便民服务平台建设，以建设基层服务型党组织为目标，将与群众生产生活密切相关的事项集中办理或代为办理，打造各级党委政府了解民情、办理民事、解决民忧、凝聚民心的平台。</w:t>
      </w:r>
    </w:p>
    <w:p>
      <w:pPr>
        <w:spacing w:line="500" w:lineRule="exact"/>
        <w:ind w:firstLine="560"/>
        <w:rPr>
          <w:rFonts w:ascii="仿宋" w:hAnsi="仿宋" w:eastAsia="仿宋"/>
          <w:sz w:val="28"/>
        </w:rPr>
      </w:pPr>
      <w:r>
        <w:rPr>
          <w:rFonts w:ascii="仿宋" w:hAnsi="仿宋" w:eastAsia="仿宋"/>
          <w:sz w:val="28"/>
        </w:rPr>
        <w:t>11.加强对后进村的整顿。通过集中整顿，党组织班子配齐配优，凝聚力战斗力显著增强；党员干部队伍结构优化、素质提升，服务群众能力明显提高；制度机制健全规范，党内生活能够正常有序开展；突出问题得到解决，信访、安全隐患有效化解，群众满意度明显提高。</w:t>
      </w:r>
    </w:p>
    <w:p>
      <w:pPr>
        <w:spacing w:line="500" w:lineRule="exact"/>
        <w:ind w:firstLine="560"/>
        <w:rPr>
          <w:rFonts w:ascii="仿宋" w:hAnsi="仿宋" w:eastAsia="仿宋"/>
          <w:sz w:val="28"/>
        </w:rPr>
      </w:pPr>
      <w:r>
        <w:rPr>
          <w:rFonts w:ascii="仿宋" w:hAnsi="仿宋" w:eastAsia="仿宋"/>
          <w:sz w:val="28"/>
        </w:rPr>
        <w:t>12.做好企业党员的培养与管理，企业党支部的发展。</w:t>
      </w:r>
    </w:p>
    <w:p>
      <w:pPr>
        <w:spacing w:line="500" w:lineRule="exact"/>
        <w:ind w:firstLine="560"/>
        <w:rPr>
          <w:rFonts w:ascii="黑体" w:hAnsi="黑体" w:eastAsia="黑体"/>
          <w:sz w:val="28"/>
        </w:rPr>
      </w:pPr>
      <w:r>
        <w:rPr>
          <w:rFonts w:ascii="黑体" w:hAnsi="黑体" w:eastAsia="黑体"/>
          <w:sz w:val="28"/>
        </w:rPr>
        <w:t>职责分类绩效目标：</w:t>
      </w:r>
    </w:p>
    <w:p>
      <w:pPr>
        <w:spacing w:line="500" w:lineRule="exact"/>
        <w:ind w:firstLine="560"/>
        <w:rPr>
          <w:rFonts w:ascii="仿宋" w:hAnsi="仿宋" w:eastAsia="仿宋"/>
          <w:sz w:val="28"/>
        </w:rPr>
      </w:pPr>
      <w:r>
        <w:rPr>
          <w:rFonts w:ascii="仿宋" w:hAnsi="仿宋" w:eastAsia="仿宋"/>
          <w:sz w:val="28"/>
        </w:rPr>
        <w:t>1.反映县、乡两级党委、人大、政府、政协的换届情况以及村级“两委”的换届情况。</w:t>
      </w:r>
    </w:p>
    <w:p>
      <w:pPr>
        <w:spacing w:line="500" w:lineRule="exact"/>
        <w:ind w:firstLine="560"/>
        <w:rPr>
          <w:rFonts w:ascii="仿宋" w:hAnsi="仿宋" w:eastAsia="仿宋"/>
          <w:sz w:val="28"/>
        </w:rPr>
      </w:pPr>
      <w:r>
        <w:rPr>
          <w:rFonts w:ascii="仿宋" w:hAnsi="仿宋" w:eastAsia="仿宋"/>
          <w:sz w:val="28"/>
        </w:rPr>
        <w:t>2.反映党员现代远程教育片的制作和购置课件情况；“平乡党建网”的维护与运行情况；县乡村各级远程教育站点的建设与维护运行情况；电教室设备的更新与维护情况等。</w:t>
      </w:r>
    </w:p>
    <w:p>
      <w:pPr>
        <w:spacing w:line="500" w:lineRule="exact"/>
        <w:ind w:firstLine="560"/>
        <w:rPr>
          <w:rFonts w:ascii="仿宋" w:hAnsi="仿宋" w:eastAsia="仿宋"/>
          <w:sz w:val="28"/>
        </w:rPr>
      </w:pPr>
      <w:r>
        <w:rPr>
          <w:rFonts w:ascii="仿宋" w:hAnsi="仿宋" w:eastAsia="仿宋"/>
          <w:sz w:val="28"/>
        </w:rPr>
        <w:t>3.反映每年的党员统计工作完成情况；党员的教育培训与发展培养情况；建国前老党员补助发放情况；处置不合格党员工作的完成情况；《共产党员》杂志的征订情况；县级党员服务中心的运行情况；党的群众路线教育实践活动开展情况等。</w:t>
      </w:r>
    </w:p>
    <w:p>
      <w:pPr>
        <w:spacing w:line="500" w:lineRule="exact"/>
        <w:ind w:firstLine="560"/>
        <w:rPr>
          <w:rFonts w:ascii="仿宋" w:hAnsi="仿宋" w:eastAsia="仿宋"/>
          <w:sz w:val="28"/>
        </w:rPr>
      </w:pPr>
      <w:r>
        <w:rPr>
          <w:rFonts w:ascii="仿宋" w:hAnsi="仿宋" w:eastAsia="仿宋"/>
          <w:sz w:val="28"/>
        </w:rPr>
        <w:t>4.反映每年的“七一表彰”情况；组织史资料的征编与印刷情况；企业党组织建设情况等。</w:t>
      </w:r>
    </w:p>
    <w:p>
      <w:pPr>
        <w:spacing w:line="500" w:lineRule="exact"/>
        <w:ind w:firstLine="560"/>
        <w:rPr>
          <w:rFonts w:ascii="仿宋" w:hAnsi="仿宋" w:eastAsia="仿宋"/>
          <w:sz w:val="28"/>
        </w:rPr>
      </w:pPr>
      <w:r>
        <w:rPr>
          <w:rFonts w:ascii="仿宋" w:hAnsi="仿宋" w:eastAsia="仿宋"/>
          <w:sz w:val="28"/>
        </w:rPr>
        <w:t>5.反映年内组织全县性干部考核、督导检查、专项调研工作的次数。</w:t>
      </w:r>
    </w:p>
    <w:p>
      <w:pPr>
        <w:spacing w:line="500" w:lineRule="exact"/>
        <w:ind w:firstLine="560"/>
        <w:rPr>
          <w:rFonts w:ascii="仿宋" w:hAnsi="仿宋" w:eastAsia="仿宋"/>
          <w:sz w:val="28"/>
        </w:rPr>
      </w:pPr>
      <w:r>
        <w:rPr>
          <w:rFonts w:ascii="仿宋" w:hAnsi="仿宋" w:eastAsia="仿宋"/>
          <w:sz w:val="28"/>
        </w:rPr>
        <w:t>6.反映年度内落实培养选拔后备干部、妇女干部、少数民族干部工作计划完成程度。</w:t>
      </w:r>
    </w:p>
    <w:p>
      <w:pPr>
        <w:spacing w:line="500" w:lineRule="exact"/>
        <w:ind w:firstLine="560"/>
        <w:rPr>
          <w:rFonts w:ascii="仿宋" w:hAnsi="仿宋" w:eastAsia="仿宋"/>
          <w:sz w:val="28"/>
        </w:rPr>
      </w:pPr>
      <w:r>
        <w:rPr>
          <w:rFonts w:ascii="仿宋" w:hAnsi="仿宋" w:eastAsia="仿宋"/>
          <w:sz w:val="28"/>
        </w:rPr>
        <w:t>7.反映干部信息系统的管理与维护；全县的干部信息统计情况；公务员信息系统的录入与维护；干部职工的工资管理等。</w:t>
      </w:r>
    </w:p>
    <w:p>
      <w:pPr>
        <w:spacing w:line="500" w:lineRule="exact"/>
        <w:ind w:firstLine="560"/>
        <w:rPr>
          <w:rFonts w:ascii="仿宋" w:hAnsi="仿宋" w:eastAsia="仿宋"/>
          <w:sz w:val="28"/>
        </w:rPr>
      </w:pPr>
      <w:r>
        <w:rPr>
          <w:rFonts w:ascii="仿宋" w:hAnsi="仿宋" w:eastAsia="仿宋"/>
          <w:sz w:val="28"/>
        </w:rPr>
        <w:t>8.反映实际培训完成情况占计划的比重（选取人数、培训次数两个因素，各占50%权重计算）。</w:t>
      </w:r>
    </w:p>
    <w:p>
      <w:pPr>
        <w:spacing w:line="500" w:lineRule="exact"/>
        <w:ind w:firstLine="560"/>
        <w:rPr>
          <w:rFonts w:ascii="仿宋" w:hAnsi="仿宋" w:eastAsia="仿宋"/>
          <w:sz w:val="28"/>
        </w:rPr>
      </w:pPr>
      <w:r>
        <w:rPr>
          <w:rFonts w:ascii="仿宋" w:hAnsi="仿宋" w:eastAsia="仿宋"/>
          <w:sz w:val="28"/>
        </w:rPr>
        <w:t>9.反映每年培养审核全县青年业务骨干和学科学术带头人情况。</w:t>
      </w:r>
    </w:p>
    <w:p>
      <w:pPr>
        <w:spacing w:line="500" w:lineRule="exact"/>
        <w:ind w:firstLine="560"/>
        <w:rPr>
          <w:rFonts w:ascii="仿宋" w:hAnsi="仿宋" w:eastAsia="仿宋"/>
          <w:sz w:val="28"/>
        </w:rPr>
      </w:pPr>
      <w:r>
        <w:rPr>
          <w:rFonts w:ascii="仿宋" w:hAnsi="仿宋" w:eastAsia="仿宋"/>
          <w:sz w:val="28"/>
        </w:rPr>
        <w:t>10.反映部机关固定资产的更新维护情况；招商引资工作队完成情况。</w:t>
      </w:r>
    </w:p>
    <w:p>
      <w:pPr>
        <w:spacing w:line="500" w:lineRule="exact"/>
        <w:ind w:firstLine="560"/>
        <w:rPr>
          <w:rFonts w:ascii="仿宋" w:hAnsi="仿宋" w:eastAsia="仿宋"/>
          <w:sz w:val="28"/>
        </w:rPr>
      </w:pPr>
      <w:r>
        <w:rPr>
          <w:rFonts w:ascii="仿宋" w:hAnsi="仿宋" w:eastAsia="仿宋"/>
          <w:sz w:val="28"/>
        </w:rPr>
        <w:t>11.反映大组工网按要求全年每天24小时实现安全、稳定、高效运转；以及所有网络、安全、保障类硬件设备正常稳定运转，各类业务应用系统和数据库安全高效运行。</w:t>
      </w:r>
    </w:p>
    <w:p>
      <w:pPr>
        <w:spacing w:line="500" w:lineRule="exact"/>
        <w:ind w:firstLine="560"/>
        <w:rPr>
          <w:rFonts w:ascii="仿宋" w:hAnsi="仿宋" w:eastAsia="仿宋"/>
          <w:sz w:val="28"/>
        </w:rPr>
      </w:pPr>
    </w:p>
    <w:p>
      <w:pPr>
        <w:jc w:val="left"/>
        <w:rPr>
          <w:rFonts w:ascii="黑体" w:hAnsi="黑体" w:eastAsia="黑体"/>
          <w:sz w:val="28"/>
        </w:rPr>
      </w:pPr>
      <w:r>
        <w:rPr>
          <w:rFonts w:hint="eastAsia" w:ascii="方正黑体_GBK" w:eastAsia="方正黑体_GBK"/>
          <w:sz w:val="28"/>
        </w:rPr>
        <w:t xml:space="preserve">  </w:t>
      </w:r>
      <w:r>
        <w:rPr>
          <w:rFonts w:hint="eastAsia" w:ascii="黑体" w:hAnsi="黑体" w:eastAsia="黑体"/>
          <w:sz w:val="28"/>
        </w:rPr>
        <w:t xml:space="preserve">  （二）、实现年度发展规划目标的保障措施</w:t>
      </w:r>
    </w:p>
    <w:p>
      <w:pPr>
        <w:spacing w:line="500" w:lineRule="exact"/>
        <w:ind w:firstLine="560"/>
        <w:rPr>
          <w:rFonts w:ascii="仿宋" w:hAnsi="仿宋" w:eastAsia="仿宋"/>
          <w:sz w:val="28"/>
        </w:rPr>
      </w:pPr>
      <w:r>
        <w:rPr>
          <w:rFonts w:ascii="仿宋" w:hAnsi="仿宋" w:eastAsia="仿宋"/>
          <w:sz w:val="28"/>
        </w:rPr>
        <w:t>一、按照既定的平乡县基层组织“三化”建设推进方案，对照省委关于加强基层党建工作的有关要求，围绕规范组织生活、强化政治功能、组织活动场所利用、日常党员教育管理等方面，切实推进基层组织建设标准化智慧化信息化要求落到实处，取得明显成果。</w:t>
      </w:r>
    </w:p>
    <w:p>
      <w:pPr>
        <w:spacing w:line="500" w:lineRule="exact"/>
        <w:ind w:firstLine="560"/>
        <w:rPr>
          <w:rFonts w:ascii="仿宋" w:hAnsi="仿宋" w:eastAsia="仿宋"/>
          <w:sz w:val="28"/>
        </w:rPr>
      </w:pPr>
      <w:r>
        <w:rPr>
          <w:rFonts w:ascii="仿宋" w:hAnsi="仿宋" w:eastAsia="仿宋"/>
          <w:sz w:val="28"/>
        </w:rPr>
        <w:t>二、按照中央和省委、市委、县委部署要求，深入开展专题调研，精心制定方案，教育引导党员干部悟初心、守初心、践初心，着力解决部分党员干部信念不坚定、宗旨不牢固、初心缺失、使命感不强、担当不力等突出问题。用好中心组学习这个重要载体，抓住“关键少数”，发挥“头雁”效应，使党的创新理论成果家喻户晓，并围绕活动开展打造一批我县的特色做法和特色品牌。</w:t>
      </w:r>
    </w:p>
    <w:p>
      <w:pPr>
        <w:spacing w:line="500" w:lineRule="exact"/>
        <w:ind w:firstLine="560"/>
        <w:rPr>
          <w:rFonts w:ascii="仿宋" w:hAnsi="仿宋" w:eastAsia="仿宋"/>
          <w:sz w:val="28"/>
        </w:rPr>
      </w:pPr>
      <w:r>
        <w:rPr>
          <w:rFonts w:ascii="仿宋" w:hAnsi="仿宋" w:eastAsia="仿宋"/>
          <w:sz w:val="28"/>
        </w:rPr>
        <w:t>三、依托市委组织部印发的《党支部工作手册填写规范》，进一步加强对基层党组织“三会一课”主题党日等基本制度的落实。制定印发关于发展党员、党费收缴使用等方面的制度印发，进一步提高发展党员工作的规范化水平，着力解决三年未发展党员村问题。加强对党员教育管理，适时组织开展新发展党员和普通党员专题培训工作，着力提升全县党员队伍整体素质。继续做好涉嫌违纪违法党员组织处理等工作。认真做好党费收缴管理、组织史编修、发展党员、党员远程教育发展等工作。</w:t>
      </w:r>
    </w:p>
    <w:p>
      <w:pPr>
        <w:spacing w:line="500" w:lineRule="exact"/>
        <w:ind w:firstLine="560"/>
        <w:rPr>
          <w:rFonts w:ascii="仿宋" w:hAnsi="仿宋" w:eastAsia="仿宋"/>
          <w:sz w:val="28"/>
        </w:rPr>
      </w:pPr>
      <w:r>
        <w:rPr>
          <w:rFonts w:ascii="仿宋" w:hAnsi="仿宋" w:eastAsia="仿宋"/>
          <w:sz w:val="28"/>
        </w:rPr>
        <w:t xml:space="preserve">四、实现党务工作可视化、数据化、智能化管理、实现三级视频会议、智能便民服务等。宣传习近平新时代我县党员的新风貌，党建工作的新亮点，完成8部党员电教专题片的拍摄。强化硬件建设，农村党员远程教育站点提档升级。 </w:t>
      </w:r>
    </w:p>
    <w:p>
      <w:pPr>
        <w:spacing w:line="500" w:lineRule="exact"/>
        <w:ind w:firstLine="560"/>
        <w:rPr>
          <w:rFonts w:ascii="仿宋" w:hAnsi="仿宋" w:eastAsia="仿宋"/>
          <w:sz w:val="28"/>
        </w:rPr>
      </w:pPr>
      <w:r>
        <w:rPr>
          <w:rFonts w:ascii="仿宋" w:hAnsi="仿宋" w:eastAsia="仿宋"/>
          <w:sz w:val="28"/>
        </w:rPr>
        <w:t>五、制定《平乡县2019年干部教育培训计划》。重点开展乡村新任职干部主体班次、专题培训、基本能力培训、党校主体培训、实践锻炼、领导干部上讲台讲党课等培训，用习近平新时代中国特色社会主义思想武装全县党员干部。</w:t>
      </w:r>
    </w:p>
    <w:p>
      <w:pPr>
        <w:spacing w:line="500" w:lineRule="exact"/>
        <w:ind w:firstLine="560"/>
        <w:rPr>
          <w:rFonts w:ascii="仿宋" w:hAnsi="仿宋" w:eastAsia="仿宋"/>
          <w:sz w:val="28"/>
        </w:rPr>
      </w:pPr>
      <w:r>
        <w:rPr>
          <w:rFonts w:ascii="仿宋" w:hAnsi="仿宋" w:eastAsia="仿宋"/>
          <w:sz w:val="28"/>
        </w:rPr>
        <w:t>六、以培育本土人才为根本，举办人才示范培训班；以激励优秀人才为手段，开展“引老乡、回故乡、建家乡”行动，鼓励平乡籍优秀人才回乡创业；以引进高端人才为突破，探索建立人才引进与项目开发相结合的引才机制，通过“项目+人才”模式，把招商引资与招才引智结合起来，引进一批高层次人才。</w:t>
      </w:r>
    </w:p>
    <w:p>
      <w:pPr>
        <w:spacing w:line="500" w:lineRule="exact"/>
        <w:ind w:firstLine="560"/>
        <w:rPr>
          <w:rFonts w:ascii="仿宋" w:hAnsi="仿宋" w:eastAsia="仿宋"/>
          <w:sz w:val="28"/>
        </w:rPr>
      </w:pPr>
      <w:r>
        <w:rPr>
          <w:rFonts w:ascii="仿宋" w:hAnsi="仿宋" w:eastAsia="仿宋"/>
          <w:sz w:val="28"/>
        </w:rPr>
        <w:t>七、结合县委中心工作，积极主动与市委驻县督查组、县委督查室、政府督查室联合开展督查，将县里所有重点纳入大督查，促进我县各项工作跨上新台阶。</w:t>
      </w:r>
    </w:p>
    <w:p>
      <w:pPr>
        <w:spacing w:line="500" w:lineRule="exact"/>
        <w:ind w:firstLine="560"/>
        <w:rPr>
          <w:rFonts w:ascii="仿宋" w:hAnsi="仿宋" w:eastAsia="仿宋"/>
          <w:sz w:val="28"/>
        </w:rPr>
      </w:pPr>
      <w:r>
        <w:rPr>
          <w:rFonts w:ascii="仿宋" w:hAnsi="仿宋" w:eastAsia="仿宋"/>
          <w:sz w:val="28"/>
        </w:rPr>
        <w:t>八、以党建引领，充分发挥村级党组织作用，不断探索适宜村级的集体项目，发挥自我的“造血功能”，培养能人带头发展产业。依托“脱贫小院”，发展“实体型”集体经济，鼓励本村在外经商人员、村周边能人或企业到村里，创办扶贫小院。引导贫困村结合全县产业发展规划，引进企业、技术开展经营，实现村级集体经济收入有所突破。</w:t>
      </w:r>
    </w:p>
    <w:p>
      <w:pPr>
        <w:spacing w:line="500" w:lineRule="exact"/>
        <w:ind w:firstLine="560"/>
        <w:rPr>
          <w:rFonts w:ascii="仿宋" w:hAnsi="仿宋" w:eastAsia="仿宋"/>
          <w:sz w:val="28"/>
        </w:rPr>
      </w:pPr>
      <w:r>
        <w:rPr>
          <w:rFonts w:ascii="仿宋" w:hAnsi="仿宋" w:eastAsia="仿宋"/>
          <w:sz w:val="28"/>
        </w:rPr>
        <w:t>九、进一步加强组工干部队伍建设，加大组织工作自主创新力度，不断丰富组织工作内涵，推动组织工作创新发展，提高组织工作落实水平，持续执行组工干部“十严禁”纪律要求，全面提升组工干部形象。</w:t>
      </w:r>
    </w:p>
    <w:p>
      <w:pPr>
        <w:spacing w:line="500" w:lineRule="exact"/>
        <w:ind w:firstLine="560"/>
        <w:rPr>
          <w:rFonts w:ascii="方正仿宋_GBK" w:eastAsia="方正仿宋_GBK"/>
          <w:sz w:val="28"/>
        </w:rPr>
      </w:pPr>
    </w:p>
    <w:p>
      <w:pPr>
        <w:jc w:val="left"/>
        <w:sectPr>
          <w:headerReference r:id="rId4" w:type="default"/>
          <w:footerReference r:id="rId5" w:type="default"/>
          <w:pgSz w:w="16839" w:h="11907" w:orient="landscape"/>
          <w:pgMar w:top="1134" w:right="1531" w:bottom="1134" w:left="1474" w:header="851" w:footer="992" w:gutter="0"/>
          <w:pgNumType w:start="1"/>
          <w:cols w:space="425" w:num="1"/>
          <w:docGrid w:type="lines" w:linePitch="312" w:charSpace="0"/>
        </w:sectPr>
      </w:pPr>
    </w:p>
    <w:p>
      <w:pPr>
        <w:autoSpaceDE w:val="0"/>
        <w:autoSpaceDN w:val="0"/>
        <w:adjustRightInd w:val="0"/>
        <w:spacing w:line="640" w:lineRule="exact"/>
        <w:jc w:val="left"/>
        <w:rPr>
          <w:rFonts w:ascii="Times New Roman" w:hAnsi="Times New Roman" w:eastAsia="仿宋" w:cs="Times New Roman"/>
          <w:b/>
          <w:sz w:val="32"/>
          <w:szCs w:val="32"/>
        </w:rPr>
      </w:pPr>
      <w:bookmarkStart w:id="1" w:name="_Toc793567"/>
      <w:r>
        <w:rPr>
          <w:rFonts w:hint="eastAsia" w:ascii="Times New Roman" w:hAnsi="Times New Roman" w:eastAsia="仿宋" w:cs="Times New Roman"/>
          <w:b/>
          <w:sz w:val="32"/>
          <w:szCs w:val="32"/>
        </w:rPr>
        <w:t>部门职责及工作活动绩效目标指标：</w:t>
      </w:r>
    </w:p>
    <w:p>
      <w:pPr>
        <w:jc w:val="center"/>
        <w:outlineLvl w:val="0"/>
        <w:rPr>
          <w:rFonts w:ascii="方正小标宋_GBK" w:eastAsia="方正小标宋_GBK"/>
          <w:color w:val="FFFFFF"/>
          <w:sz w:val="32"/>
        </w:rPr>
      </w:pPr>
      <w:r>
        <w:rPr>
          <w:rFonts w:hint="eastAsia" w:ascii="方正小标宋_GBK" w:eastAsia="方正小标宋_GBK"/>
          <w:sz w:val="32"/>
        </w:rPr>
        <w:t>部门职责-工作活动绩效目标</w:t>
      </w:r>
      <w:r>
        <w:rPr>
          <w:rStyle w:val="8"/>
          <w:rFonts w:ascii="方正小标宋_GBK" w:eastAsia="方正小标宋_GBK"/>
          <w:color w:val="FFFFFF"/>
          <w:sz w:val="32"/>
        </w:rPr>
        <w:footnoteReference w:id="0" w:customMarkFollows="1"/>
        <w:sym w:font="Symbol" w:char="F020"/>
      </w:r>
      <w:bookmarkEnd w:id="1"/>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203</w:t>
            </w:r>
            <w:r>
              <w:rPr>
                <w:rFonts w:hint="eastAsia" w:ascii="方正小标宋_GBK" w:eastAsia="方正小标宋_GBK"/>
                <w:sz w:val="24"/>
              </w:rPr>
              <w:t>组织部</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一、党员和党组织建设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247.58</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负责全县党组织建设；负责县委基层组织建设党的牵头抓总工作；研究和提出党内生活制度建设的意见；协调、规划和指导全县党员教育工作；主管党员的管理和发展工作。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基层领导班子建设；加强非公经济组织和社会组织党建工作；加强全县大学生村官队伍建设；健全全县党的组织制度、党内生活制度建设；加强民主集中制建设和民主生活会宏观指导；乡镇党代会、人代会；做好代表补选、罢免等事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、党组织建设及党员教育管理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247.58</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负责全县党组织建设；负责县委非公经济和县委基层组织建设党的牵头抓总工作；研究和提出党内生活制度建设的意见；协调、规划和指导全县党员教育工作。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加强党组织建设</w:t>
            </w:r>
            <w:bookmarkStart w:id="3" w:name="_GoBack"/>
            <w:bookmarkEnd w:id="3"/>
            <w:r>
              <w:rPr>
                <w:rFonts w:hint="eastAsia" w:ascii="方正书宋_GBK" w:eastAsia="方正书宋_GBK"/>
              </w:rPr>
              <w:t>和党员管理</w:t>
            </w:r>
            <w:r>
              <w:rPr>
                <w:rFonts w:ascii="方正书宋_GBK" w:eastAsia="方正书宋_GBK"/>
              </w:rPr>
              <w:t>,</w:t>
            </w:r>
            <w:r>
              <w:rPr>
                <w:rFonts w:hint="eastAsia" w:ascii="方正书宋_GBK" w:eastAsia="方正书宋_GBK"/>
              </w:rPr>
              <w:t>不断提高执政能力和领导水平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党员现代远程教育课时量完成情况（部</w:t>
            </w:r>
            <w:r>
              <w:rPr>
                <w:rFonts w:ascii="方正书宋_GBK" w:eastAsia="方正书宋_GBK"/>
              </w:rPr>
              <w:t>/</w:t>
            </w:r>
            <w:r>
              <w:rPr>
                <w:rFonts w:hint="eastAsia" w:ascii="方正书宋_GBK" w:eastAsia="方正书宋_GBK"/>
              </w:rPr>
              <w:t>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大学生村官到岗率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农村党组织换届工作完成率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非公经济组织和社会组织党的组织和工作覆盖率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二、干部管理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41.50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换届工作，选优配强各级领导班子；负责省市及县委管理干部及全县干部队伍管理、干部培养选拔、干部调配、挂职、交流和安置；对县委管理领导班子和领导干部的考核工作，以及全县干部考核工作的督导检查；指导领导班子的思想作风建设；负责对全县组织部门干部监督工作的综合、协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国家工资政策和涉及领导干部收入分配的相关政策，准确高效办理县委管理干部的工资及退休费审批；培养锻炼干部，提高干部整体素质；为各级领导班子储配人才；进一步增强我县干部教育培训工作的统筹性、针对性、有效性，不断提高干部素质和业务能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、省市及县委管理干部管理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配合省市组织部做好干部任职考察；做好乡镇领导班子换届工作；负责县委管理干部的考察和办理任免、工资、待遇、退（离）休审批手续；参与研究全县干部工资政策和县管干部离退休待遇政策；落实省市管理干部工资、审批县管干部工资及退休费。</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落实好省市、县管干部相关待遇政策；研究制定换届政策和文件，组织全县换届工作会议，认真组织换届考察工作，提出乡镇班子换届人事安排方案，指导乡镇进行换届选举。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省市、县管干部个人待遇政策落实率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乡镇领导班子组织换届率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省市、县管干部规范管理率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、干部队伍管理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11.50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负责组织对全县干部考核工作的指导和督导检查</w:t>
            </w:r>
            <w:r>
              <w:rPr>
                <w:rFonts w:ascii="方正书宋_GBK" w:eastAsia="方正书宋_GBK"/>
              </w:rPr>
              <w:t>,</w:t>
            </w:r>
            <w:r>
              <w:rPr>
                <w:rFonts w:hint="eastAsia" w:ascii="方正书宋_GBK" w:eastAsia="方正书宋_GBK"/>
              </w:rPr>
              <w:t>组织实施县委管理领导班子和领导干部的年度综合考核评价工作；负责对全县组织部门干部监督工作的综合、协调和宏观指导；承办部分干部的调配、交流及安置事宜；承办选调优秀应届大学毕业生到基层工作。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完成县管领导班子和领导干部年度综合考核评价工作，加强干部调研。</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县管领导班子和领导干部年度综合考核评价工作完成率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对《干部任用条例》及有关党内法规贯彻执行情况进行监督检查工作的完成率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、干部培养选拔</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组织落实培养选拔后备干部、妇女干部、少数民族干部、党外干部和年轻干部工作。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组织落实培养选拔后备干部、妇女干部、少数民族干部工作。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干部选拔工作完成率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、干部教育培训</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主管全县的干部教育培训工作。承担县委干部教育工作领导小组办公室的职责任务；研究和探索适合我县情况的干部培训制度。</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建立规范的干部教育培训体系。</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干部教育培训计划完成情况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三、全县人才工作及队伍建设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19.70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负责全县人才工作牵头抓总职能的落实，对全县人才工作和人才队伍建设进行指导、协调和督促检查；负责全县有关专项人才支持计划组织实施工作；负责收集、掌握、反映全县人才工作动态。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全局性人才工作事项的统筹谋划；承担县委人才工作领导小组有关会议筹备、文件起草、协调联络服务等工作；围绕人才理论和全县人才工作进展中的实际问题开展调查研究，提出加强和改进人才工作的意见和建议。</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、全县人才工作及队伍建设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19.70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负责全县人才工作牵头抓总职能的落实，对全县人才工作和人才队伍建设进行指导、协调和督促检查；负责全县有关专项人才支持计划组织实施工作；负责收集、掌握、反映全县人才工作动态。</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全局性人才工作事项的统筹谋划；承担县委人才工作领导小组有关会议筹备、文件起草、协调联络服务等工作；围绕人才理论和全县人才工作进展中的实际问题开展调查研究，提出加强和改进人才工作的意见和建议。</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县委人才工作要点工作完成率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重点人才工程年度目标任务完成率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四、组织事务管理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640.00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负责做好部机关机要、文秘、信访、会议、固定资产等工作的计划安排和管理；负责机关自身建设；负责老干部综合服务和保障工作；负责组织史征编工作；组织系统信息化建设。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做好部机关机要、文秘、信访、会议、固定资产等工作的计划安排和管理；干部、人事政策科学合理；做好老干部综合服务和保障工作；完成组织史征编工作；信息系统运行无障碍。</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640.00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组织史资料征编；组织、干部工作综合研究，相关政策法规起草、制定、审核；信息、信访工作。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组织史资料征编；组织、干部工作综合研究，相关政策法规起草、制定、审核；信息、信访工作。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各项综合事务工作完成率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大组工网出现故障次数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 xml:space="preserve"> 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bookmarkEnd w:id="0"/>
    <w:p>
      <w:pPr>
        <w:autoSpaceDE w:val="0"/>
        <w:autoSpaceDN w:val="0"/>
        <w:adjustRightInd w:val="0"/>
        <w:spacing w:line="64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spacing w:line="640" w:lineRule="exact"/>
        <w:ind w:firstLine="640" w:firstLineChars="200"/>
        <w:jc w:val="left"/>
        <w:outlineLvl w:val="0"/>
        <w:rPr>
          <w:rFonts w:ascii="仿宋_GB2312" w:hAnsi="Times New Roman" w:eastAsia="仿宋_GB2312" w:cs="Times New Roman"/>
          <w:sz w:val="32"/>
          <w:szCs w:val="24"/>
        </w:rPr>
      </w:pPr>
      <w:bookmarkStart w:id="2" w:name="_Toc471398468"/>
      <w:r>
        <w:rPr>
          <w:rFonts w:hint="eastAsia" w:ascii="仿宋_GB2312" w:hAnsi="Times New Roman" w:eastAsia="仿宋_GB2312" w:cs="Times New Roman"/>
          <w:sz w:val="32"/>
          <w:szCs w:val="24"/>
        </w:rPr>
        <w:t>2019年，我部门无政府采购预算。</w:t>
      </w:r>
      <w:bookmarkEnd w:id="2"/>
    </w:p>
    <w:p>
      <w:pPr>
        <w:spacing w:line="640" w:lineRule="exact"/>
        <w:ind w:firstLine="640" w:firstLineChars="200"/>
        <w:jc w:val="left"/>
        <w:outlineLvl w:val="0"/>
        <w:rPr>
          <w:rFonts w:ascii="黑体" w:hAnsi="黑体" w:eastAsia="黑体" w:cs="Times New Roman"/>
          <w:sz w:val="32"/>
          <w:szCs w:val="32"/>
        </w:rPr>
      </w:pPr>
      <w:r>
        <w:rPr>
          <w:rFonts w:hint="eastAsia" w:ascii="黑体" w:hAnsi="黑体" w:eastAsia="黑体" w:cs="Times New Roman"/>
          <w:sz w:val="32"/>
          <w:szCs w:val="32"/>
        </w:rPr>
        <w:t>七、国有资产信息</w:t>
      </w:r>
    </w:p>
    <w:p>
      <w:pPr>
        <w:spacing w:line="6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组织部上年末固定资产金额为</w:t>
      </w:r>
      <w:r>
        <w:rPr>
          <w:rFonts w:hint="eastAsia" w:ascii="仿宋_GB2312" w:hAnsi="Times New Roman" w:eastAsia="仿宋_GB2312" w:cs="Times New Roman"/>
          <w:sz w:val="32"/>
          <w:szCs w:val="32"/>
        </w:rPr>
        <w:t>209.58965</w:t>
      </w:r>
      <w:r>
        <w:rPr>
          <w:rFonts w:hint="eastAsia" w:ascii="仿宋_GB2312" w:hAnsi="Times New Roman" w:eastAsia="仿宋_GB2312" w:cs="Times New Roman"/>
          <w:color w:val="000000"/>
          <w:sz w:val="32"/>
          <w:szCs w:val="32"/>
        </w:rPr>
        <w:t>万元（详见下表）。</w:t>
      </w:r>
    </w:p>
    <w:p>
      <w:pPr>
        <w:spacing w:line="640" w:lineRule="exact"/>
        <w:rPr>
          <w:rFonts w:ascii="Times New Roman" w:hAnsi="Times New Roman" w:eastAsia="仿宋" w:cs="Times New Roman"/>
          <w:color w:val="FF0000"/>
          <w:sz w:val="32"/>
          <w:szCs w:val="32"/>
        </w:rPr>
      </w:pPr>
    </w:p>
    <w:tbl>
      <w:tblPr>
        <w:tblStyle w:val="5"/>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single" w:color="auto" w:sz="4" w:space="0"/>
              <w:left w:val="single" w:color="auto" w:sz="4" w:space="0"/>
              <w:bottom w:val="nil"/>
              <w:right w:val="single" w:color="auto" w:sz="4" w:space="0"/>
            </w:tcBorders>
            <w:vAlign w:val="center"/>
          </w:tcPr>
          <w:p>
            <w:pPr>
              <w:widowControl/>
              <w:spacing w:line="640" w:lineRule="exact"/>
              <w:jc w:val="center"/>
              <w:rPr>
                <w:rFonts w:ascii="宋体" w:hAnsi="宋体"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624" w:hRule="exact"/>
        </w:trPr>
        <w:tc>
          <w:tcPr>
            <w:tcW w:w="8379" w:type="dxa"/>
            <w:gridSpan w:val="2"/>
            <w:tcBorders>
              <w:top w:val="single" w:color="auto" w:sz="4" w:space="0"/>
              <w:left w:val="single" w:color="auto" w:sz="4" w:space="0"/>
              <w:bottom w:val="nil"/>
              <w:right w:val="single" w:color="auto" w:sz="4" w:space="0"/>
            </w:tcBorders>
          </w:tcPr>
          <w:p>
            <w:pPr>
              <w:widowControl/>
              <w:spacing w:line="640" w:lineRule="exact"/>
              <w:jc w:val="center"/>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rPr>
              <w:t>组织部</w:t>
            </w:r>
          </w:p>
        </w:tc>
        <w:tc>
          <w:tcPr>
            <w:tcW w:w="5103" w:type="dxa"/>
            <w:tcBorders>
              <w:top w:val="single" w:color="auto" w:sz="4" w:space="0"/>
              <w:left w:val="single" w:color="auto" w:sz="4" w:space="0"/>
              <w:bottom w:val="nil"/>
              <w:right w:val="single" w:color="auto" w:sz="4" w:space="0"/>
            </w:tcBorders>
          </w:tcPr>
          <w:p>
            <w:pPr>
              <w:widowControl/>
              <w:spacing w:line="640" w:lineRule="exact"/>
              <w:ind w:firstLine="1320" w:firstLineChars="600"/>
              <w:jc w:val="center"/>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rPr>
              <w:t>8</w:t>
            </w:r>
            <w:r>
              <w:rPr>
                <w:rFonts w:ascii="Times New Roman" w:hAnsi="Times New Roman" w:eastAsia="仿宋" w:cs="Times New Roman"/>
                <w:kern w:val="0"/>
                <w:sz w:val="22"/>
              </w:rPr>
              <w:t>年12月31日</w:t>
            </w:r>
          </w:p>
        </w:tc>
      </w:tr>
      <w:tr>
        <w:tblPrEx>
          <w:tblCellMar>
            <w:top w:w="0" w:type="dxa"/>
            <w:left w:w="108" w:type="dxa"/>
            <w:bottom w:w="0" w:type="dxa"/>
            <w:right w:w="108" w:type="dxa"/>
          </w:tblCellMar>
        </w:tblPrEx>
        <w:trPr>
          <w:trHeight w:val="624" w:hRule="exact"/>
        </w:trPr>
        <w:tc>
          <w:tcPr>
            <w:tcW w:w="5224" w:type="dxa"/>
            <w:tcBorders>
              <w:top w:val="single" w:color="auto" w:sz="4" w:space="0"/>
              <w:left w:val="single" w:color="auto" w:sz="4" w:space="0"/>
              <w:bottom w:val="single" w:color="auto" w:sz="4" w:space="0"/>
              <w:right w:val="single" w:color="auto" w:sz="4" w:space="0"/>
            </w:tcBorders>
          </w:tcPr>
          <w:p>
            <w:pPr>
              <w:widowControl/>
              <w:spacing w:line="640" w:lineRule="exact"/>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tcPr>
          <w:p>
            <w:pPr>
              <w:widowControl/>
              <w:spacing w:line="640" w:lineRule="exact"/>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tcPr>
          <w:p>
            <w:pPr>
              <w:widowControl/>
              <w:spacing w:line="640" w:lineRule="exact"/>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24" w:hRule="exact"/>
        </w:trPr>
        <w:tc>
          <w:tcPr>
            <w:tcW w:w="5224" w:type="dxa"/>
            <w:tcBorders>
              <w:top w:val="nil"/>
              <w:left w:val="single" w:color="auto" w:sz="4" w:space="0"/>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p>
        </w:tc>
        <w:tc>
          <w:tcPr>
            <w:tcW w:w="5103" w:type="dxa"/>
            <w:tcBorders>
              <w:top w:val="nil"/>
              <w:left w:val="nil"/>
              <w:bottom w:val="single" w:color="auto" w:sz="4" w:space="0"/>
              <w:right w:val="single" w:color="auto" w:sz="4" w:space="0"/>
            </w:tcBorders>
          </w:tcPr>
          <w:p>
            <w:pPr>
              <w:widowControl/>
              <w:spacing w:line="640" w:lineRule="exact"/>
              <w:jc w:val="center"/>
              <w:rPr>
                <w:rFonts w:ascii="Times New Roman" w:hAnsi="Times New Roman" w:eastAsia="仿宋" w:cs="Times New Roman"/>
                <w:color w:val="FF0000"/>
                <w:kern w:val="0"/>
                <w:sz w:val="28"/>
                <w:szCs w:val="28"/>
              </w:rPr>
            </w:pPr>
            <w:r>
              <w:rPr>
                <w:rFonts w:hint="eastAsia" w:ascii="仿宋_GB2312" w:hAnsi="Times New Roman" w:eastAsia="仿宋_GB2312" w:cs="Times New Roman"/>
                <w:sz w:val="28"/>
                <w:szCs w:val="28"/>
              </w:rPr>
              <w:t>209.58965</w:t>
            </w:r>
          </w:p>
        </w:tc>
      </w:tr>
      <w:tr>
        <w:tblPrEx>
          <w:tblCellMar>
            <w:top w:w="0" w:type="dxa"/>
            <w:left w:w="108" w:type="dxa"/>
            <w:bottom w:w="0" w:type="dxa"/>
            <w:right w:w="108" w:type="dxa"/>
          </w:tblCellMar>
        </w:tblPrEx>
        <w:trPr>
          <w:trHeight w:val="624" w:hRule="exact"/>
        </w:trPr>
        <w:tc>
          <w:tcPr>
            <w:tcW w:w="5224" w:type="dxa"/>
            <w:tcBorders>
              <w:top w:val="nil"/>
              <w:left w:val="single" w:color="auto" w:sz="4" w:space="0"/>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0</w:t>
            </w:r>
          </w:p>
        </w:tc>
        <w:tc>
          <w:tcPr>
            <w:tcW w:w="5103" w:type="dxa"/>
            <w:tcBorders>
              <w:top w:val="nil"/>
              <w:left w:val="nil"/>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0</w:t>
            </w:r>
          </w:p>
        </w:tc>
      </w:tr>
      <w:tr>
        <w:tblPrEx>
          <w:tblCellMar>
            <w:top w:w="0" w:type="dxa"/>
            <w:left w:w="108" w:type="dxa"/>
            <w:bottom w:w="0" w:type="dxa"/>
            <w:right w:w="108" w:type="dxa"/>
          </w:tblCellMar>
        </w:tblPrEx>
        <w:trPr>
          <w:trHeight w:val="624" w:hRule="exact"/>
        </w:trPr>
        <w:tc>
          <w:tcPr>
            <w:tcW w:w="5224" w:type="dxa"/>
            <w:tcBorders>
              <w:top w:val="nil"/>
              <w:left w:val="single" w:color="auto" w:sz="4" w:space="0"/>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0</w:t>
            </w:r>
          </w:p>
        </w:tc>
        <w:tc>
          <w:tcPr>
            <w:tcW w:w="5103" w:type="dxa"/>
            <w:tcBorders>
              <w:top w:val="nil"/>
              <w:left w:val="nil"/>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0</w:t>
            </w:r>
          </w:p>
        </w:tc>
      </w:tr>
      <w:tr>
        <w:tblPrEx>
          <w:tblCellMar>
            <w:top w:w="0" w:type="dxa"/>
            <w:left w:w="108" w:type="dxa"/>
            <w:bottom w:w="0" w:type="dxa"/>
            <w:right w:w="108" w:type="dxa"/>
          </w:tblCellMar>
        </w:tblPrEx>
        <w:trPr>
          <w:trHeight w:val="624" w:hRule="exact"/>
        </w:trPr>
        <w:tc>
          <w:tcPr>
            <w:tcW w:w="5224" w:type="dxa"/>
            <w:tcBorders>
              <w:top w:val="nil"/>
              <w:left w:val="single" w:color="auto" w:sz="4" w:space="0"/>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w:t>
            </w:r>
          </w:p>
        </w:tc>
        <w:tc>
          <w:tcPr>
            <w:tcW w:w="5103" w:type="dxa"/>
            <w:tcBorders>
              <w:top w:val="nil"/>
              <w:left w:val="nil"/>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8"/>
                <w:szCs w:val="28"/>
              </w:rPr>
            </w:pPr>
            <w:r>
              <w:rPr>
                <w:rFonts w:hint="eastAsia" w:ascii="仿宋_GB2312" w:hAnsi="Times New Roman" w:eastAsia="仿宋_GB2312" w:cs="Times New Roman"/>
                <w:sz w:val="28"/>
                <w:szCs w:val="28"/>
              </w:rPr>
              <w:t>18.90455</w:t>
            </w:r>
          </w:p>
        </w:tc>
      </w:tr>
      <w:tr>
        <w:tblPrEx>
          <w:tblCellMar>
            <w:top w:w="0" w:type="dxa"/>
            <w:left w:w="108" w:type="dxa"/>
            <w:bottom w:w="0" w:type="dxa"/>
            <w:right w:w="108" w:type="dxa"/>
          </w:tblCellMar>
        </w:tblPrEx>
        <w:trPr>
          <w:trHeight w:val="624" w:hRule="exact"/>
        </w:trPr>
        <w:tc>
          <w:tcPr>
            <w:tcW w:w="5224" w:type="dxa"/>
            <w:tcBorders>
              <w:top w:val="nil"/>
              <w:left w:val="single" w:color="auto" w:sz="4" w:space="0"/>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3155" w:type="dxa"/>
            <w:tcBorders>
              <w:top w:val="nil"/>
              <w:left w:val="nil"/>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p>
        </w:tc>
        <w:tc>
          <w:tcPr>
            <w:tcW w:w="5103" w:type="dxa"/>
            <w:tcBorders>
              <w:top w:val="nil"/>
              <w:left w:val="nil"/>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0</w:t>
            </w:r>
          </w:p>
        </w:tc>
      </w:tr>
      <w:tr>
        <w:tblPrEx>
          <w:tblCellMar>
            <w:top w:w="0" w:type="dxa"/>
            <w:left w:w="108" w:type="dxa"/>
            <w:bottom w:w="0" w:type="dxa"/>
            <w:right w:w="108" w:type="dxa"/>
          </w:tblCellMar>
        </w:tblPrEx>
        <w:trPr>
          <w:trHeight w:val="624" w:hRule="exact"/>
        </w:trPr>
        <w:tc>
          <w:tcPr>
            <w:tcW w:w="5224" w:type="dxa"/>
            <w:tcBorders>
              <w:top w:val="nil"/>
              <w:left w:val="single" w:color="auto" w:sz="4" w:space="0"/>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4、流动资产</w:t>
            </w:r>
          </w:p>
        </w:tc>
        <w:tc>
          <w:tcPr>
            <w:tcW w:w="3155" w:type="dxa"/>
            <w:tcBorders>
              <w:top w:val="nil"/>
              <w:left w:val="nil"/>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p>
        </w:tc>
        <w:tc>
          <w:tcPr>
            <w:tcW w:w="5103" w:type="dxa"/>
            <w:tcBorders>
              <w:top w:val="nil"/>
              <w:left w:val="nil"/>
              <w:bottom w:val="single" w:color="auto" w:sz="4" w:space="0"/>
              <w:right w:val="single" w:color="auto" w:sz="4" w:space="0"/>
            </w:tcBorders>
          </w:tcPr>
          <w:p>
            <w:pPr>
              <w:widowControl/>
              <w:spacing w:line="64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19.9579</w:t>
            </w:r>
          </w:p>
        </w:tc>
      </w:tr>
      <w:tr>
        <w:tblPrEx>
          <w:tblCellMar>
            <w:top w:w="0" w:type="dxa"/>
            <w:left w:w="108" w:type="dxa"/>
            <w:bottom w:w="0" w:type="dxa"/>
            <w:right w:w="108" w:type="dxa"/>
          </w:tblCellMar>
        </w:tblPrEx>
        <w:trPr>
          <w:trHeight w:val="624" w:hRule="exact"/>
        </w:trPr>
        <w:tc>
          <w:tcPr>
            <w:tcW w:w="5224" w:type="dxa"/>
            <w:tcBorders>
              <w:top w:val="single" w:color="auto" w:sz="4" w:space="0"/>
              <w:left w:val="single" w:color="auto" w:sz="4" w:space="0"/>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5</w:t>
            </w:r>
            <w:r>
              <w:rPr>
                <w:rFonts w:ascii="Times New Roman" w:hAnsi="Times New Roman" w:eastAsia="仿宋" w:cs="Times New Roman"/>
                <w:kern w:val="0"/>
                <w:sz w:val="22"/>
              </w:rPr>
              <w:t>、其他固定资产</w:t>
            </w:r>
          </w:p>
        </w:tc>
        <w:tc>
          <w:tcPr>
            <w:tcW w:w="3155" w:type="dxa"/>
            <w:tcBorders>
              <w:top w:val="single" w:color="auto" w:sz="4" w:space="0"/>
              <w:left w:val="nil"/>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p>
        </w:tc>
        <w:tc>
          <w:tcPr>
            <w:tcW w:w="5103" w:type="dxa"/>
            <w:tcBorders>
              <w:top w:val="single" w:color="auto" w:sz="4" w:space="0"/>
              <w:left w:val="nil"/>
              <w:bottom w:val="single" w:color="auto" w:sz="4" w:space="0"/>
              <w:right w:val="single" w:color="auto" w:sz="4" w:space="0"/>
            </w:tcBorders>
          </w:tcPr>
          <w:p>
            <w:pPr>
              <w:widowControl/>
              <w:spacing w:line="640" w:lineRule="exact"/>
              <w:jc w:val="center"/>
              <w:rPr>
                <w:rFonts w:ascii="Times New Roman" w:hAnsi="Times New Roman" w:eastAsia="仿宋" w:cs="Times New Roman"/>
                <w:kern w:val="0"/>
                <w:sz w:val="28"/>
                <w:szCs w:val="28"/>
              </w:rPr>
            </w:pPr>
            <w:r>
              <w:rPr>
                <w:rFonts w:hint="eastAsia" w:ascii="仿宋_GB2312" w:hAnsi="Times New Roman" w:eastAsia="仿宋_GB2312" w:cs="Times New Roman"/>
                <w:sz w:val="28"/>
                <w:szCs w:val="28"/>
              </w:rPr>
              <w:t>170.7272</w:t>
            </w:r>
          </w:p>
        </w:tc>
      </w:tr>
    </w:tbl>
    <w:p>
      <w:pPr>
        <w:spacing w:line="640" w:lineRule="exact"/>
        <w:ind w:firstLine="640" w:firstLineChars="200"/>
        <w:rPr>
          <w:rFonts w:ascii="黑体" w:eastAsia="黑体"/>
          <w:sz w:val="32"/>
          <w:szCs w:val="32"/>
        </w:rPr>
      </w:pPr>
      <w:r>
        <w:rPr>
          <w:rFonts w:hint="eastAsia" w:ascii="黑体" w:eastAsia="黑体"/>
          <w:sz w:val="32"/>
          <w:szCs w:val="32"/>
        </w:rPr>
        <w:t>八、名词解释</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1、一般预算收入：县级财政当年拨付的资金。</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2、基本支出：为保障机构正常运转，完成日常工作任务，而发生的人员支出和公用支出。</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3、项目支出：是指在基本支出之外，为完成特定行政任务和事业发展目标，而发生的支出。</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640" w:lineRule="exact"/>
        <w:ind w:firstLine="640" w:firstLineChars="200"/>
        <w:rPr>
          <w:rFonts w:ascii="黑体" w:eastAsia="黑体"/>
          <w:sz w:val="32"/>
          <w:szCs w:val="32"/>
        </w:rPr>
      </w:pPr>
      <w:r>
        <w:rPr>
          <w:rFonts w:hint="eastAsia" w:ascii="黑体" w:eastAsia="黑体"/>
          <w:sz w:val="32"/>
          <w:szCs w:val="32"/>
        </w:rPr>
        <w:t>九、其他需要说明的事项</w:t>
      </w:r>
    </w:p>
    <w:p>
      <w:pPr>
        <w:spacing w:line="640" w:lineRule="exact"/>
        <w:ind w:firstLine="640" w:firstLineChars="200"/>
        <w:rPr>
          <w:rFonts w:ascii="仿宋_GB2312" w:eastAsia="仿宋_GB2312"/>
        </w:rPr>
      </w:pPr>
      <w:r>
        <w:rPr>
          <w:rFonts w:hint="eastAsia" w:ascii="仿宋_GB2312" w:eastAsia="仿宋_GB2312"/>
          <w:sz w:val="32"/>
          <w:szCs w:val="32"/>
        </w:rPr>
        <w:t>我部门无政府性基金预算和国有资本经营预算拨款。</w:t>
      </w:r>
    </w:p>
    <w:sectPr>
      <w:headerReference r:id="rId8" w:type="first"/>
      <w:footerReference r:id="rId11" w:type="first"/>
      <w:headerReference r:id="rId6" w:type="default"/>
      <w:footerReference r:id="rId9" w:type="default"/>
      <w:headerReference r:id="rId7" w:type="even"/>
      <w:footerReference r:id="rId10" w:type="even"/>
      <w:pgSz w:w="16839" w:h="11907" w:orient="landscape"/>
      <w:pgMar w:top="1021" w:right="1361" w:bottom="102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黑体_GBK">
    <w:panose1 w:val="02000000000000000000"/>
    <w:charset w:val="86"/>
    <w:family w:val="roman"/>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pPr>
      <w:r>
        <w:rPr>
          <w:rStyle w:val="8"/>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4MDljNGNmMjJhNTYwYzU5MjU3ZjdmNTJhMGM3NTMifQ=="/>
  </w:docVars>
  <w:rsids>
    <w:rsidRoot w:val="0028140B"/>
    <w:rsid w:val="00081615"/>
    <w:rsid w:val="000B2B9F"/>
    <w:rsid w:val="00166994"/>
    <w:rsid w:val="00176A07"/>
    <w:rsid w:val="001D6E33"/>
    <w:rsid w:val="00231391"/>
    <w:rsid w:val="00254564"/>
    <w:rsid w:val="0028140B"/>
    <w:rsid w:val="002B684A"/>
    <w:rsid w:val="002D2778"/>
    <w:rsid w:val="002D433F"/>
    <w:rsid w:val="00320A30"/>
    <w:rsid w:val="003B1CA7"/>
    <w:rsid w:val="003B51EB"/>
    <w:rsid w:val="003D1333"/>
    <w:rsid w:val="003D3605"/>
    <w:rsid w:val="00404D55"/>
    <w:rsid w:val="00440CA2"/>
    <w:rsid w:val="00532788"/>
    <w:rsid w:val="0054287C"/>
    <w:rsid w:val="00582D71"/>
    <w:rsid w:val="005E3C4B"/>
    <w:rsid w:val="00607D6D"/>
    <w:rsid w:val="006272C4"/>
    <w:rsid w:val="00693626"/>
    <w:rsid w:val="006F693D"/>
    <w:rsid w:val="00722706"/>
    <w:rsid w:val="0072592F"/>
    <w:rsid w:val="007A64A3"/>
    <w:rsid w:val="00842B2D"/>
    <w:rsid w:val="0085130A"/>
    <w:rsid w:val="00855D64"/>
    <w:rsid w:val="009D2F72"/>
    <w:rsid w:val="00A31E3B"/>
    <w:rsid w:val="00AB14FD"/>
    <w:rsid w:val="00AC6299"/>
    <w:rsid w:val="00AF3A64"/>
    <w:rsid w:val="00B27918"/>
    <w:rsid w:val="00BC12D0"/>
    <w:rsid w:val="00BC1ED0"/>
    <w:rsid w:val="00BC6F60"/>
    <w:rsid w:val="00BD6D0C"/>
    <w:rsid w:val="00BE7760"/>
    <w:rsid w:val="00BF3644"/>
    <w:rsid w:val="00BF6411"/>
    <w:rsid w:val="00C02E6C"/>
    <w:rsid w:val="00C4763F"/>
    <w:rsid w:val="00CA24F5"/>
    <w:rsid w:val="00CD5F2C"/>
    <w:rsid w:val="00CF4BAA"/>
    <w:rsid w:val="00D148A9"/>
    <w:rsid w:val="00D61F48"/>
    <w:rsid w:val="00DA3862"/>
    <w:rsid w:val="00DF7926"/>
    <w:rsid w:val="00E45BED"/>
    <w:rsid w:val="00E46F4C"/>
    <w:rsid w:val="00E6469F"/>
    <w:rsid w:val="00E91DFA"/>
    <w:rsid w:val="00EB044F"/>
    <w:rsid w:val="00EB2B1B"/>
    <w:rsid w:val="00ED2EB3"/>
    <w:rsid w:val="00EF571A"/>
    <w:rsid w:val="00F33D49"/>
    <w:rsid w:val="00F416E7"/>
    <w:rsid w:val="00F81289"/>
    <w:rsid w:val="00FD1810"/>
    <w:rsid w:val="3E9F34A9"/>
    <w:rsid w:val="56076140"/>
    <w:rsid w:val="752B4572"/>
    <w:rsid w:val="7D211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footnote text"/>
    <w:basedOn w:val="1"/>
    <w:link w:val="11"/>
    <w:semiHidden/>
    <w:qFormat/>
    <w:uiPriority w:val="0"/>
    <w:pPr>
      <w:snapToGrid w:val="0"/>
      <w:jc w:val="left"/>
    </w:pPr>
    <w:rPr>
      <w:rFonts w:ascii="Times New Roman" w:hAnsi="Times New Roman" w:cs="Times New Roman"/>
      <w:sz w:val="18"/>
      <w:szCs w:val="18"/>
    </w:rPr>
  </w:style>
  <w:style w:type="character" w:styleId="7">
    <w:name w:val="page number"/>
    <w:basedOn w:val="6"/>
    <w:qFormat/>
    <w:uiPriority w:val="0"/>
  </w:style>
  <w:style w:type="character" w:styleId="8">
    <w:name w:val="footnote reference"/>
    <w:basedOn w:val="6"/>
    <w:semiHidden/>
    <w:qFormat/>
    <w:uiPriority w:val="0"/>
    <w:rPr>
      <w:vertAlign w:val="superscript"/>
    </w:rPr>
  </w:style>
  <w:style w:type="character" w:customStyle="1" w:styleId="9">
    <w:name w:val="页脚 Char"/>
    <w:link w:val="2"/>
    <w:uiPriority w:val="0"/>
    <w:rPr>
      <w:rFonts w:ascii="Times New Roman" w:hAnsi="Times New Roman" w:eastAsia="宋体" w:cs="Times New Roman"/>
      <w:sz w:val="18"/>
      <w:szCs w:val="18"/>
    </w:rPr>
  </w:style>
  <w:style w:type="character" w:customStyle="1" w:styleId="10">
    <w:name w:val="页眉 Char"/>
    <w:link w:val="3"/>
    <w:qFormat/>
    <w:uiPriority w:val="0"/>
    <w:rPr>
      <w:rFonts w:ascii="Times New Roman" w:hAnsi="Times New Roman" w:eastAsia="宋体" w:cs="Times New Roman"/>
      <w:sz w:val="18"/>
      <w:szCs w:val="18"/>
    </w:rPr>
  </w:style>
  <w:style w:type="character" w:customStyle="1" w:styleId="11">
    <w:name w:val="脚注文本 Char"/>
    <w:basedOn w:val="6"/>
    <w:link w:val="4"/>
    <w:semiHidden/>
    <w:qFormat/>
    <w:uiPriority w:val="0"/>
    <w:rPr>
      <w:rFonts w:ascii="Times New Roman" w:hAnsi="Times New Roman"/>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footer4.xml" Type="http://schemas.openxmlformats.org/officeDocument/2006/relationships/footer"/><Relationship Id="rId12" Target="theme/theme1.xml" Type="http://schemas.openxmlformats.org/officeDocument/2006/relationships/theme"/><Relationship Id="rId13"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footer1.xml" Type="http://schemas.openxmlformats.org/officeDocument/2006/relationships/footer"/><Relationship Id="rId6" Target="header2.xml" Type="http://schemas.openxmlformats.org/officeDocument/2006/relationships/header"/><Relationship Id="rId7" Target="header3.xml" Type="http://schemas.openxmlformats.org/officeDocument/2006/relationships/header"/><Relationship Id="rId8" Target="header4.xml" Type="http://schemas.openxmlformats.org/officeDocument/2006/relationships/head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www.deepin.net.cn</Company>
  <Pages>16</Pages>
  <Words>7534</Words>
  <Characters>7887</Characters>
  <Lines>58</Lines>
  <Paragraphs>16</Paragraphs>
  <TotalTime>3</TotalTime>
  <ScaleCrop>false</ScaleCrop>
  <LinksUpToDate>false</LinksUpToDate>
  <CharactersWithSpaces>7914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2019-02-15T02:25:00Z</dcterms:created>
  <dc:creator>Administrator</dc:creator>
  <cp:lastModifiedBy>Administrator</cp:lastModifiedBy>
  <dcterms:modified xsi:type="dcterms:W3CDTF">2023-06-08T07:59:39Z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FFB47D6798C5497589E2366B45D4D9BF_12</vt:lpwstr>
  </property>
</Properties>
</file>