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25</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25</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25</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26</w:t>
      </w:r>
      <w:r>
        <w:fldChar w:fldCharType="end"/>
      </w:r>
      <w:r>
        <w:fldChar w:fldCharType="end"/>
      </w:r>
    </w:p>
    <w:p>
      <w:r>
        <w:fldChar w:fldCharType="end"/>
      </w:r>
    </w:p>
    <w:p>
      <w:pPr>
        <w:jc w:val="center"/>
      </w:pPr>
    </w:p>
    <w:p>
      <w:pPr>
        <w:jc w:val="center"/>
      </w:pPr>
    </w:p>
    <w:p>
      <w:pPr>
        <w:jc w:val="center"/>
      </w:pPr>
    </w:p>
    <w:p>
      <w:pPr>
        <w:jc w:val="center"/>
      </w:pPr>
    </w:p>
    <w:p>
      <w:pPr>
        <w:jc w:val="center"/>
      </w:pPr>
    </w:p>
    <w:p>
      <w:pPr>
        <w:jc w:val="center"/>
        <w:outlineLvl w:val="1"/>
        <w:rPr>
          <w:rFonts w:hint="eastAsia" w:ascii="方正小标宋_GBK" w:hAnsi="方正小标宋_GBK" w:eastAsia="方正小标宋_GBK" w:cs="方正小标宋_GBK"/>
          <w:color w:val="000000"/>
          <w:sz w:val="72"/>
          <w:lang w:eastAsia="zh-CN"/>
        </w:rPr>
      </w:pPr>
      <w:bookmarkStart w:id="0" w:name="_Toc_2_2_0000000001"/>
    </w:p>
    <w:p>
      <w:pPr>
        <w:jc w:val="center"/>
        <w:outlineLvl w:val="1"/>
        <w:rPr>
          <w:rFonts w:hint="eastAsia" w:ascii="方正小标宋_GBK" w:hAnsi="方正小标宋_GBK" w:eastAsia="方正小标宋_GBK" w:cs="方正小标宋_GBK"/>
          <w:color w:val="000000"/>
          <w:sz w:val="72"/>
          <w:lang w:eastAsia="zh-CN"/>
        </w:rPr>
      </w:pPr>
    </w:p>
    <w:p>
      <w:pPr>
        <w:jc w:val="center"/>
        <w:outlineLvl w:val="1"/>
        <w:rPr>
          <w:rFonts w:hint="eastAsia" w:ascii="方正小标宋_GBK" w:hAnsi="方正小标宋_GBK" w:eastAsia="方正小标宋_GBK" w:cs="方正小标宋_GBK"/>
          <w:color w:val="000000"/>
          <w:sz w:val="72"/>
          <w:lang w:eastAsia="zh-CN"/>
        </w:rPr>
      </w:pPr>
    </w:p>
    <w:p>
      <w:pPr>
        <w:jc w:val="center"/>
        <w:outlineLvl w:val="1"/>
        <w:rPr>
          <w:rFonts w:hint="eastAsia" w:ascii="方正小标宋_GBK" w:hAnsi="方正小标宋_GBK" w:eastAsia="方正小标宋_GBK" w:cs="方正小标宋_GBK"/>
          <w:color w:val="000000"/>
          <w:sz w:val="72"/>
          <w:lang w:eastAsia="zh-CN"/>
        </w:rPr>
      </w:pPr>
    </w:p>
    <w:p>
      <w:pPr>
        <w:jc w:val="center"/>
        <w:outlineLvl w:val="1"/>
        <w:rPr>
          <w:rFonts w:hint="eastAsia" w:ascii="方正小标宋_GBK" w:hAnsi="方正小标宋_GBK" w:eastAsia="方正小标宋_GBK" w:cs="方正小标宋_GBK"/>
          <w:color w:val="000000"/>
          <w:sz w:val="72"/>
          <w:lang w:eastAsia="zh-CN"/>
        </w:rPr>
      </w:pPr>
    </w:p>
    <w:p>
      <w:pPr>
        <w:jc w:val="center"/>
        <w:outlineLvl w:val="1"/>
        <w:rPr>
          <w:rFonts w:hint="eastAsia" w:ascii="方正小标宋_GBK" w:hAnsi="方正小标宋_GBK" w:eastAsia="方正小标宋_GBK" w:cs="方正小标宋_GBK"/>
          <w:color w:val="000000"/>
          <w:sz w:val="72"/>
          <w:lang w:eastAsia="zh-CN"/>
        </w:rPr>
      </w:pPr>
    </w:p>
    <w:p>
      <w:pPr>
        <w:jc w:val="center"/>
        <w:outlineLvl w:val="1"/>
        <w:rPr>
          <w:rFonts w:hint="eastAsia" w:ascii="方正小标宋_GBK" w:hAnsi="方正小标宋_GBK" w:eastAsia="方正小标宋_GBK" w:cs="方正小标宋_GBK"/>
          <w:color w:val="000000"/>
          <w:sz w:val="44"/>
          <w:szCs w:val="44"/>
          <w:lang w:eastAsia="zh-CN"/>
        </w:rPr>
      </w:pPr>
    </w:p>
    <w:p>
      <w:pPr>
        <w:jc w:val="center"/>
        <w:outlineLvl w:val="1"/>
      </w:pPr>
      <w:r>
        <w:rPr>
          <w:rFonts w:ascii="方正小标宋_GBK" w:hAnsi="方正小标宋_GBK" w:eastAsia="方正小标宋_GBK" w:cs="方正小标宋_GBK"/>
          <w:color w:val="000000"/>
          <w:sz w:val="36"/>
        </w:rPr>
        <w:t>部门预算收支总表</w:t>
      </w:r>
      <w:bookmarkEnd w:id="0"/>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975平乡县供销合作社联合社</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280.59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r>
              <w:t>225.56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4"/>
            </w:pPr>
            <w:r>
              <w:t>本年收入合计</w:t>
            </w:r>
          </w:p>
        </w:tc>
        <w:tc>
          <w:tcPr>
            <w:tcW w:w="2126" w:type="dxa"/>
            <w:vAlign w:val="center"/>
          </w:tcPr>
          <w:p>
            <w:pPr>
              <w:pStyle w:val="15"/>
            </w:pPr>
            <w:r>
              <w:t>280.59</w:t>
            </w:r>
          </w:p>
        </w:tc>
        <w:tc>
          <w:tcPr>
            <w:tcW w:w="4535" w:type="dxa"/>
            <w:vAlign w:val="center"/>
          </w:tcPr>
          <w:p>
            <w:pPr>
              <w:pStyle w:val="14"/>
            </w:pPr>
            <w:r>
              <w:t>本年支出合计</w:t>
            </w:r>
          </w:p>
        </w:tc>
        <w:tc>
          <w:tcPr>
            <w:tcW w:w="2126" w:type="dxa"/>
            <w:vAlign w:val="center"/>
          </w:tcPr>
          <w:p>
            <w:pPr>
              <w:pStyle w:val="15"/>
            </w:pPr>
            <w:r>
              <w:t>280.59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4"/>
            </w:pPr>
            <w:r>
              <w:t>收入总计</w:t>
            </w:r>
          </w:p>
        </w:tc>
        <w:tc>
          <w:tcPr>
            <w:tcW w:w="2126" w:type="dxa"/>
            <w:vAlign w:val="center"/>
          </w:tcPr>
          <w:p>
            <w:pPr>
              <w:pStyle w:val="15"/>
            </w:pPr>
            <w:r>
              <w:t>280.59</w:t>
            </w:r>
          </w:p>
        </w:tc>
        <w:tc>
          <w:tcPr>
            <w:tcW w:w="4535" w:type="dxa"/>
            <w:vAlign w:val="center"/>
          </w:tcPr>
          <w:p>
            <w:pPr>
              <w:pStyle w:val="14"/>
            </w:pPr>
            <w:r>
              <w:t>支出总计</w:t>
            </w:r>
          </w:p>
        </w:tc>
        <w:tc>
          <w:tcPr>
            <w:tcW w:w="2126" w:type="dxa"/>
            <w:vAlign w:val="center"/>
          </w:tcPr>
          <w:p>
            <w:pPr>
              <w:pStyle w:val="15"/>
            </w:pPr>
            <w:r>
              <w:t>280.59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975平乡县供销合作社联合社</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280.59</w:t>
            </w:r>
          </w:p>
        </w:tc>
        <w:tc>
          <w:tcPr>
            <w:tcW w:w="1134" w:type="dxa"/>
            <w:vAlign w:val="center"/>
          </w:tcPr>
          <w:p>
            <w:pPr>
              <w:pStyle w:val="15"/>
            </w:pPr>
            <w:r>
              <w:t>280.59</w:t>
            </w:r>
          </w:p>
        </w:tc>
        <w:tc>
          <w:tcPr>
            <w:tcW w:w="1134" w:type="dxa"/>
            <w:vAlign w:val="center"/>
          </w:tcPr>
          <w:p>
            <w:pPr>
              <w:pStyle w:val="15"/>
            </w:pPr>
            <w:r>
              <w:t>280.59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32.89</w:t>
            </w:r>
          </w:p>
        </w:tc>
        <w:tc>
          <w:tcPr>
            <w:tcW w:w="1134" w:type="dxa"/>
            <w:vAlign w:val="center"/>
          </w:tcPr>
          <w:p>
            <w:pPr>
              <w:pStyle w:val="11"/>
            </w:pPr>
            <w:r>
              <w:t>32.89</w:t>
            </w:r>
          </w:p>
        </w:tc>
        <w:tc>
          <w:tcPr>
            <w:tcW w:w="1134" w:type="dxa"/>
            <w:vAlign w:val="center"/>
          </w:tcPr>
          <w:p>
            <w:pPr>
              <w:pStyle w:val="11"/>
            </w:pPr>
            <w:r>
              <w:t>32.89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14.40</w:t>
            </w:r>
          </w:p>
        </w:tc>
        <w:tc>
          <w:tcPr>
            <w:tcW w:w="1134" w:type="dxa"/>
            <w:vAlign w:val="center"/>
          </w:tcPr>
          <w:p>
            <w:pPr>
              <w:pStyle w:val="11"/>
            </w:pPr>
            <w:r>
              <w:t>14.40</w:t>
            </w:r>
          </w:p>
        </w:tc>
        <w:tc>
          <w:tcPr>
            <w:tcW w:w="1134" w:type="dxa"/>
            <w:vAlign w:val="center"/>
          </w:tcPr>
          <w:p>
            <w:pPr>
              <w:pStyle w:val="11"/>
            </w:pPr>
            <w:r>
              <w:t>14.40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14.40</w:t>
            </w:r>
          </w:p>
        </w:tc>
        <w:tc>
          <w:tcPr>
            <w:tcW w:w="1134" w:type="dxa"/>
            <w:vAlign w:val="center"/>
          </w:tcPr>
          <w:p>
            <w:pPr>
              <w:pStyle w:val="11"/>
            </w:pPr>
            <w:r>
              <w:t>14.40</w:t>
            </w:r>
          </w:p>
        </w:tc>
        <w:tc>
          <w:tcPr>
            <w:tcW w:w="1134" w:type="dxa"/>
            <w:vAlign w:val="center"/>
          </w:tcPr>
          <w:p>
            <w:pPr>
              <w:pStyle w:val="11"/>
            </w:pPr>
            <w:r>
              <w:t>14.40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18.49</w:t>
            </w:r>
          </w:p>
        </w:tc>
        <w:tc>
          <w:tcPr>
            <w:tcW w:w="1134" w:type="dxa"/>
            <w:vAlign w:val="center"/>
          </w:tcPr>
          <w:p>
            <w:pPr>
              <w:pStyle w:val="11"/>
            </w:pPr>
            <w:r>
              <w:t>18.49</w:t>
            </w:r>
          </w:p>
        </w:tc>
        <w:tc>
          <w:tcPr>
            <w:tcW w:w="1134" w:type="dxa"/>
            <w:vAlign w:val="center"/>
          </w:tcPr>
          <w:p>
            <w:pPr>
              <w:pStyle w:val="11"/>
            </w:pPr>
            <w:r>
              <w:t>18.49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2080999</w:t>
            </w:r>
          </w:p>
        </w:tc>
        <w:tc>
          <w:tcPr>
            <w:tcW w:w="1559" w:type="dxa"/>
            <w:vAlign w:val="center"/>
          </w:tcPr>
          <w:p>
            <w:pPr>
              <w:pStyle w:val="12"/>
            </w:pPr>
            <w:r>
              <w:t>其他退役安置支出</w:t>
            </w:r>
          </w:p>
        </w:tc>
        <w:tc>
          <w:tcPr>
            <w:tcW w:w="1134" w:type="dxa"/>
            <w:vAlign w:val="center"/>
          </w:tcPr>
          <w:p>
            <w:pPr>
              <w:pStyle w:val="11"/>
            </w:pPr>
            <w:r>
              <w:t>18.49</w:t>
            </w:r>
          </w:p>
        </w:tc>
        <w:tc>
          <w:tcPr>
            <w:tcW w:w="1134" w:type="dxa"/>
            <w:vAlign w:val="center"/>
          </w:tcPr>
          <w:p>
            <w:pPr>
              <w:pStyle w:val="11"/>
            </w:pPr>
            <w:r>
              <w:t>18.49</w:t>
            </w:r>
          </w:p>
        </w:tc>
        <w:tc>
          <w:tcPr>
            <w:tcW w:w="1134" w:type="dxa"/>
            <w:vAlign w:val="center"/>
          </w:tcPr>
          <w:p>
            <w:pPr>
              <w:pStyle w:val="11"/>
            </w:pPr>
            <w:r>
              <w:t>18.49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9.74</w:t>
            </w:r>
          </w:p>
        </w:tc>
        <w:tc>
          <w:tcPr>
            <w:tcW w:w="1134" w:type="dxa"/>
            <w:vAlign w:val="center"/>
          </w:tcPr>
          <w:p>
            <w:pPr>
              <w:pStyle w:val="11"/>
            </w:pPr>
            <w:r>
              <w:t>9.74</w:t>
            </w:r>
          </w:p>
        </w:tc>
        <w:tc>
          <w:tcPr>
            <w:tcW w:w="1134" w:type="dxa"/>
            <w:vAlign w:val="center"/>
          </w:tcPr>
          <w:p>
            <w:pPr>
              <w:pStyle w:val="11"/>
            </w:pPr>
            <w:r>
              <w:t>9.74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9.74</w:t>
            </w:r>
          </w:p>
        </w:tc>
        <w:tc>
          <w:tcPr>
            <w:tcW w:w="1134" w:type="dxa"/>
            <w:vAlign w:val="center"/>
          </w:tcPr>
          <w:p>
            <w:pPr>
              <w:pStyle w:val="11"/>
            </w:pPr>
            <w:r>
              <w:t>9.74</w:t>
            </w:r>
          </w:p>
        </w:tc>
        <w:tc>
          <w:tcPr>
            <w:tcW w:w="1134" w:type="dxa"/>
            <w:vAlign w:val="center"/>
          </w:tcPr>
          <w:p>
            <w:pPr>
              <w:pStyle w:val="11"/>
            </w:pPr>
            <w:r>
              <w:t>9.74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9.74</w:t>
            </w:r>
          </w:p>
        </w:tc>
        <w:tc>
          <w:tcPr>
            <w:tcW w:w="1134" w:type="dxa"/>
            <w:vAlign w:val="center"/>
          </w:tcPr>
          <w:p>
            <w:pPr>
              <w:pStyle w:val="11"/>
            </w:pPr>
            <w:r>
              <w:t>9.74</w:t>
            </w:r>
          </w:p>
        </w:tc>
        <w:tc>
          <w:tcPr>
            <w:tcW w:w="1134" w:type="dxa"/>
            <w:vAlign w:val="center"/>
          </w:tcPr>
          <w:p>
            <w:pPr>
              <w:pStyle w:val="11"/>
            </w:pPr>
            <w:r>
              <w:t>9.74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216</w:t>
            </w:r>
          </w:p>
        </w:tc>
        <w:tc>
          <w:tcPr>
            <w:tcW w:w="1559" w:type="dxa"/>
            <w:vAlign w:val="center"/>
          </w:tcPr>
          <w:p>
            <w:pPr>
              <w:pStyle w:val="12"/>
            </w:pPr>
            <w:r>
              <w:t>商业服务业等支出</w:t>
            </w:r>
          </w:p>
        </w:tc>
        <w:tc>
          <w:tcPr>
            <w:tcW w:w="1134" w:type="dxa"/>
            <w:vAlign w:val="center"/>
          </w:tcPr>
          <w:p>
            <w:pPr>
              <w:pStyle w:val="11"/>
            </w:pPr>
            <w:r>
              <w:t>225.56</w:t>
            </w:r>
          </w:p>
        </w:tc>
        <w:tc>
          <w:tcPr>
            <w:tcW w:w="1134" w:type="dxa"/>
            <w:vAlign w:val="center"/>
          </w:tcPr>
          <w:p>
            <w:pPr>
              <w:pStyle w:val="11"/>
            </w:pPr>
            <w:r>
              <w:t>225.56</w:t>
            </w:r>
          </w:p>
        </w:tc>
        <w:tc>
          <w:tcPr>
            <w:tcW w:w="1134" w:type="dxa"/>
            <w:vAlign w:val="center"/>
          </w:tcPr>
          <w:p>
            <w:pPr>
              <w:pStyle w:val="11"/>
            </w:pPr>
            <w:r>
              <w:t>225.56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21602</w:t>
            </w:r>
          </w:p>
        </w:tc>
        <w:tc>
          <w:tcPr>
            <w:tcW w:w="1559" w:type="dxa"/>
            <w:vAlign w:val="center"/>
          </w:tcPr>
          <w:p>
            <w:pPr>
              <w:pStyle w:val="12"/>
            </w:pPr>
            <w:r>
              <w:t>商业流通事务</w:t>
            </w:r>
          </w:p>
        </w:tc>
        <w:tc>
          <w:tcPr>
            <w:tcW w:w="1134" w:type="dxa"/>
            <w:vAlign w:val="center"/>
          </w:tcPr>
          <w:p>
            <w:pPr>
              <w:pStyle w:val="11"/>
            </w:pPr>
            <w:r>
              <w:t>225.56</w:t>
            </w:r>
          </w:p>
        </w:tc>
        <w:tc>
          <w:tcPr>
            <w:tcW w:w="1134" w:type="dxa"/>
            <w:vAlign w:val="center"/>
          </w:tcPr>
          <w:p>
            <w:pPr>
              <w:pStyle w:val="11"/>
            </w:pPr>
            <w:r>
              <w:t>225.56</w:t>
            </w:r>
          </w:p>
        </w:tc>
        <w:tc>
          <w:tcPr>
            <w:tcW w:w="1134" w:type="dxa"/>
            <w:vAlign w:val="center"/>
          </w:tcPr>
          <w:p>
            <w:pPr>
              <w:pStyle w:val="11"/>
            </w:pPr>
            <w:r>
              <w:t>225.56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2160250</w:t>
            </w:r>
          </w:p>
        </w:tc>
        <w:tc>
          <w:tcPr>
            <w:tcW w:w="1559" w:type="dxa"/>
            <w:vAlign w:val="center"/>
          </w:tcPr>
          <w:p>
            <w:pPr>
              <w:pStyle w:val="12"/>
            </w:pPr>
            <w:r>
              <w:t>事业运行</w:t>
            </w:r>
          </w:p>
        </w:tc>
        <w:tc>
          <w:tcPr>
            <w:tcW w:w="1134" w:type="dxa"/>
            <w:vAlign w:val="center"/>
          </w:tcPr>
          <w:p>
            <w:pPr>
              <w:pStyle w:val="11"/>
            </w:pPr>
            <w:r>
              <w:t>191.56</w:t>
            </w:r>
          </w:p>
        </w:tc>
        <w:tc>
          <w:tcPr>
            <w:tcW w:w="1134" w:type="dxa"/>
            <w:vAlign w:val="center"/>
          </w:tcPr>
          <w:p>
            <w:pPr>
              <w:pStyle w:val="11"/>
            </w:pPr>
            <w:r>
              <w:t>191.56</w:t>
            </w:r>
          </w:p>
        </w:tc>
        <w:tc>
          <w:tcPr>
            <w:tcW w:w="1134" w:type="dxa"/>
            <w:vAlign w:val="center"/>
          </w:tcPr>
          <w:p>
            <w:pPr>
              <w:pStyle w:val="11"/>
            </w:pPr>
            <w:r>
              <w:t>191.56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2160299</w:t>
            </w:r>
          </w:p>
        </w:tc>
        <w:tc>
          <w:tcPr>
            <w:tcW w:w="1559" w:type="dxa"/>
            <w:vAlign w:val="center"/>
          </w:tcPr>
          <w:p>
            <w:pPr>
              <w:pStyle w:val="12"/>
            </w:pPr>
            <w:r>
              <w:t>其他商业流通事务支出</w:t>
            </w:r>
          </w:p>
        </w:tc>
        <w:tc>
          <w:tcPr>
            <w:tcW w:w="1134" w:type="dxa"/>
            <w:vAlign w:val="center"/>
          </w:tcPr>
          <w:p>
            <w:pPr>
              <w:pStyle w:val="11"/>
            </w:pPr>
            <w:r>
              <w:t>34.00</w:t>
            </w:r>
          </w:p>
        </w:tc>
        <w:tc>
          <w:tcPr>
            <w:tcW w:w="1134" w:type="dxa"/>
            <w:vAlign w:val="center"/>
          </w:tcPr>
          <w:p>
            <w:pPr>
              <w:pStyle w:val="11"/>
            </w:pPr>
            <w:r>
              <w:t>34.00</w:t>
            </w:r>
          </w:p>
        </w:tc>
        <w:tc>
          <w:tcPr>
            <w:tcW w:w="1134" w:type="dxa"/>
            <w:vAlign w:val="center"/>
          </w:tcPr>
          <w:p>
            <w:pPr>
              <w:pStyle w:val="11"/>
            </w:pPr>
            <w:r>
              <w:t>34.00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12.40</w:t>
            </w:r>
          </w:p>
        </w:tc>
        <w:tc>
          <w:tcPr>
            <w:tcW w:w="1134" w:type="dxa"/>
            <w:vAlign w:val="center"/>
          </w:tcPr>
          <w:p>
            <w:pPr>
              <w:pStyle w:val="11"/>
            </w:pPr>
            <w:r>
              <w:t>12.40</w:t>
            </w:r>
          </w:p>
        </w:tc>
        <w:tc>
          <w:tcPr>
            <w:tcW w:w="1134" w:type="dxa"/>
            <w:vAlign w:val="center"/>
          </w:tcPr>
          <w:p>
            <w:pPr>
              <w:pStyle w:val="11"/>
            </w:pPr>
            <w:r>
              <w:t>12.40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12.40</w:t>
            </w:r>
          </w:p>
        </w:tc>
        <w:tc>
          <w:tcPr>
            <w:tcW w:w="1134" w:type="dxa"/>
            <w:vAlign w:val="center"/>
          </w:tcPr>
          <w:p>
            <w:pPr>
              <w:pStyle w:val="11"/>
            </w:pPr>
            <w:r>
              <w:t>12.40</w:t>
            </w:r>
          </w:p>
        </w:tc>
        <w:tc>
          <w:tcPr>
            <w:tcW w:w="1134" w:type="dxa"/>
            <w:vAlign w:val="center"/>
          </w:tcPr>
          <w:p>
            <w:pPr>
              <w:pStyle w:val="11"/>
            </w:pPr>
            <w:r>
              <w:t>12.40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12.40</w:t>
            </w:r>
          </w:p>
        </w:tc>
        <w:tc>
          <w:tcPr>
            <w:tcW w:w="1134" w:type="dxa"/>
            <w:vAlign w:val="center"/>
          </w:tcPr>
          <w:p>
            <w:pPr>
              <w:pStyle w:val="11"/>
            </w:pPr>
            <w:r>
              <w:t>12.40</w:t>
            </w:r>
          </w:p>
        </w:tc>
        <w:tc>
          <w:tcPr>
            <w:tcW w:w="1134" w:type="dxa"/>
            <w:vAlign w:val="center"/>
          </w:tcPr>
          <w:p>
            <w:pPr>
              <w:pStyle w:val="11"/>
            </w:pPr>
            <w:r>
              <w:t>12.40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975平乡县供销合作社联合社</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280.59</w:t>
            </w:r>
          </w:p>
        </w:tc>
        <w:tc>
          <w:tcPr>
            <w:tcW w:w="1361" w:type="dxa"/>
            <w:vAlign w:val="center"/>
          </w:tcPr>
          <w:p>
            <w:pPr>
              <w:pStyle w:val="15"/>
            </w:pPr>
            <w:r>
              <w:t>228.10</w:t>
            </w:r>
          </w:p>
        </w:tc>
        <w:tc>
          <w:tcPr>
            <w:tcW w:w="1361" w:type="dxa"/>
            <w:vAlign w:val="center"/>
          </w:tcPr>
          <w:p>
            <w:pPr>
              <w:pStyle w:val="15"/>
            </w:pPr>
            <w:r>
              <w:t>52.49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32.89</w:t>
            </w:r>
          </w:p>
        </w:tc>
        <w:tc>
          <w:tcPr>
            <w:tcW w:w="1361" w:type="dxa"/>
            <w:vAlign w:val="center"/>
          </w:tcPr>
          <w:p>
            <w:pPr>
              <w:pStyle w:val="11"/>
            </w:pPr>
            <w:r>
              <w:t>14.40</w:t>
            </w:r>
          </w:p>
        </w:tc>
        <w:tc>
          <w:tcPr>
            <w:tcW w:w="1361" w:type="dxa"/>
            <w:vAlign w:val="center"/>
          </w:tcPr>
          <w:p>
            <w:pPr>
              <w:pStyle w:val="11"/>
            </w:pPr>
            <w:r>
              <w:t>18.49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14.40</w:t>
            </w:r>
          </w:p>
        </w:tc>
        <w:tc>
          <w:tcPr>
            <w:tcW w:w="1361" w:type="dxa"/>
            <w:vAlign w:val="center"/>
          </w:tcPr>
          <w:p>
            <w:pPr>
              <w:pStyle w:val="11"/>
            </w:pPr>
            <w:r>
              <w:t>14.40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14.40</w:t>
            </w:r>
          </w:p>
        </w:tc>
        <w:tc>
          <w:tcPr>
            <w:tcW w:w="1361" w:type="dxa"/>
            <w:vAlign w:val="center"/>
          </w:tcPr>
          <w:p>
            <w:pPr>
              <w:pStyle w:val="11"/>
            </w:pPr>
            <w:r>
              <w:t>14.40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20809</w:t>
            </w:r>
          </w:p>
        </w:tc>
        <w:tc>
          <w:tcPr>
            <w:tcW w:w="4536" w:type="dxa"/>
            <w:vAlign w:val="center"/>
          </w:tcPr>
          <w:p>
            <w:pPr>
              <w:pStyle w:val="12"/>
            </w:pPr>
            <w:r>
              <w:t>退役安置</w:t>
            </w:r>
          </w:p>
        </w:tc>
        <w:tc>
          <w:tcPr>
            <w:tcW w:w="1361" w:type="dxa"/>
            <w:vAlign w:val="center"/>
          </w:tcPr>
          <w:p>
            <w:pPr>
              <w:pStyle w:val="11"/>
            </w:pPr>
            <w:r>
              <w:t>18.49</w:t>
            </w:r>
          </w:p>
        </w:tc>
        <w:tc>
          <w:tcPr>
            <w:tcW w:w="1361" w:type="dxa"/>
            <w:vAlign w:val="center"/>
          </w:tcPr>
          <w:p>
            <w:pPr>
              <w:pStyle w:val="11"/>
            </w:pPr>
          </w:p>
        </w:tc>
        <w:tc>
          <w:tcPr>
            <w:tcW w:w="1361" w:type="dxa"/>
            <w:vAlign w:val="center"/>
          </w:tcPr>
          <w:p>
            <w:pPr>
              <w:pStyle w:val="11"/>
            </w:pPr>
            <w:r>
              <w:t>18.49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2080999</w:t>
            </w:r>
          </w:p>
        </w:tc>
        <w:tc>
          <w:tcPr>
            <w:tcW w:w="4536" w:type="dxa"/>
            <w:vAlign w:val="center"/>
          </w:tcPr>
          <w:p>
            <w:pPr>
              <w:pStyle w:val="12"/>
            </w:pPr>
            <w:r>
              <w:t>其他退役安置支出</w:t>
            </w:r>
          </w:p>
        </w:tc>
        <w:tc>
          <w:tcPr>
            <w:tcW w:w="1361" w:type="dxa"/>
            <w:vAlign w:val="center"/>
          </w:tcPr>
          <w:p>
            <w:pPr>
              <w:pStyle w:val="11"/>
            </w:pPr>
            <w:r>
              <w:t>18.49</w:t>
            </w:r>
          </w:p>
        </w:tc>
        <w:tc>
          <w:tcPr>
            <w:tcW w:w="1361" w:type="dxa"/>
            <w:vAlign w:val="center"/>
          </w:tcPr>
          <w:p>
            <w:pPr>
              <w:pStyle w:val="11"/>
            </w:pPr>
          </w:p>
        </w:tc>
        <w:tc>
          <w:tcPr>
            <w:tcW w:w="1361" w:type="dxa"/>
            <w:vAlign w:val="center"/>
          </w:tcPr>
          <w:p>
            <w:pPr>
              <w:pStyle w:val="11"/>
            </w:pPr>
            <w:r>
              <w:t>18.49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9.74</w:t>
            </w:r>
          </w:p>
        </w:tc>
        <w:tc>
          <w:tcPr>
            <w:tcW w:w="1361" w:type="dxa"/>
            <w:vAlign w:val="center"/>
          </w:tcPr>
          <w:p>
            <w:pPr>
              <w:pStyle w:val="11"/>
            </w:pPr>
            <w:r>
              <w:t>9.74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9.74</w:t>
            </w:r>
          </w:p>
        </w:tc>
        <w:tc>
          <w:tcPr>
            <w:tcW w:w="1361" w:type="dxa"/>
            <w:vAlign w:val="center"/>
          </w:tcPr>
          <w:p>
            <w:pPr>
              <w:pStyle w:val="11"/>
            </w:pPr>
            <w:r>
              <w:t>9.74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9.74</w:t>
            </w:r>
          </w:p>
        </w:tc>
        <w:tc>
          <w:tcPr>
            <w:tcW w:w="1361" w:type="dxa"/>
            <w:vAlign w:val="center"/>
          </w:tcPr>
          <w:p>
            <w:pPr>
              <w:pStyle w:val="11"/>
            </w:pPr>
            <w:r>
              <w:t>9.74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216</w:t>
            </w:r>
          </w:p>
        </w:tc>
        <w:tc>
          <w:tcPr>
            <w:tcW w:w="4536" w:type="dxa"/>
            <w:vAlign w:val="center"/>
          </w:tcPr>
          <w:p>
            <w:pPr>
              <w:pStyle w:val="12"/>
            </w:pPr>
            <w:r>
              <w:t>商业服务业等支出</w:t>
            </w:r>
          </w:p>
        </w:tc>
        <w:tc>
          <w:tcPr>
            <w:tcW w:w="1361" w:type="dxa"/>
            <w:vAlign w:val="center"/>
          </w:tcPr>
          <w:p>
            <w:pPr>
              <w:pStyle w:val="11"/>
            </w:pPr>
            <w:r>
              <w:t>225.56</w:t>
            </w:r>
          </w:p>
        </w:tc>
        <w:tc>
          <w:tcPr>
            <w:tcW w:w="1361" w:type="dxa"/>
            <w:vAlign w:val="center"/>
          </w:tcPr>
          <w:p>
            <w:pPr>
              <w:pStyle w:val="11"/>
            </w:pPr>
            <w:r>
              <w:t>191.56</w:t>
            </w:r>
          </w:p>
        </w:tc>
        <w:tc>
          <w:tcPr>
            <w:tcW w:w="1361" w:type="dxa"/>
            <w:vAlign w:val="center"/>
          </w:tcPr>
          <w:p>
            <w:pPr>
              <w:pStyle w:val="11"/>
            </w:pPr>
            <w:r>
              <w:t>34.00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21602</w:t>
            </w:r>
          </w:p>
        </w:tc>
        <w:tc>
          <w:tcPr>
            <w:tcW w:w="4536" w:type="dxa"/>
            <w:vAlign w:val="center"/>
          </w:tcPr>
          <w:p>
            <w:pPr>
              <w:pStyle w:val="12"/>
            </w:pPr>
            <w:r>
              <w:t>商业流通事务</w:t>
            </w:r>
          </w:p>
        </w:tc>
        <w:tc>
          <w:tcPr>
            <w:tcW w:w="1361" w:type="dxa"/>
            <w:vAlign w:val="center"/>
          </w:tcPr>
          <w:p>
            <w:pPr>
              <w:pStyle w:val="11"/>
            </w:pPr>
            <w:r>
              <w:t>225.56</w:t>
            </w:r>
          </w:p>
        </w:tc>
        <w:tc>
          <w:tcPr>
            <w:tcW w:w="1361" w:type="dxa"/>
            <w:vAlign w:val="center"/>
          </w:tcPr>
          <w:p>
            <w:pPr>
              <w:pStyle w:val="11"/>
            </w:pPr>
            <w:r>
              <w:t>191.56</w:t>
            </w:r>
          </w:p>
        </w:tc>
        <w:tc>
          <w:tcPr>
            <w:tcW w:w="1361" w:type="dxa"/>
            <w:vAlign w:val="center"/>
          </w:tcPr>
          <w:p>
            <w:pPr>
              <w:pStyle w:val="11"/>
            </w:pPr>
            <w:r>
              <w:t>34.00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2160250</w:t>
            </w:r>
          </w:p>
        </w:tc>
        <w:tc>
          <w:tcPr>
            <w:tcW w:w="4536" w:type="dxa"/>
            <w:vAlign w:val="center"/>
          </w:tcPr>
          <w:p>
            <w:pPr>
              <w:pStyle w:val="12"/>
            </w:pPr>
            <w:r>
              <w:t>事业运行</w:t>
            </w:r>
          </w:p>
        </w:tc>
        <w:tc>
          <w:tcPr>
            <w:tcW w:w="1361" w:type="dxa"/>
            <w:vAlign w:val="center"/>
          </w:tcPr>
          <w:p>
            <w:pPr>
              <w:pStyle w:val="11"/>
            </w:pPr>
            <w:r>
              <w:t>191.56</w:t>
            </w:r>
          </w:p>
        </w:tc>
        <w:tc>
          <w:tcPr>
            <w:tcW w:w="1361" w:type="dxa"/>
            <w:vAlign w:val="center"/>
          </w:tcPr>
          <w:p>
            <w:pPr>
              <w:pStyle w:val="11"/>
            </w:pPr>
            <w:r>
              <w:t>191.56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2160299</w:t>
            </w:r>
          </w:p>
        </w:tc>
        <w:tc>
          <w:tcPr>
            <w:tcW w:w="4536" w:type="dxa"/>
            <w:vAlign w:val="center"/>
          </w:tcPr>
          <w:p>
            <w:pPr>
              <w:pStyle w:val="12"/>
            </w:pPr>
            <w:r>
              <w:t>其他商业流通事务支出</w:t>
            </w:r>
          </w:p>
        </w:tc>
        <w:tc>
          <w:tcPr>
            <w:tcW w:w="1361" w:type="dxa"/>
            <w:vAlign w:val="center"/>
          </w:tcPr>
          <w:p>
            <w:pPr>
              <w:pStyle w:val="11"/>
            </w:pPr>
            <w:r>
              <w:t>34.00</w:t>
            </w:r>
          </w:p>
        </w:tc>
        <w:tc>
          <w:tcPr>
            <w:tcW w:w="1361" w:type="dxa"/>
            <w:vAlign w:val="center"/>
          </w:tcPr>
          <w:p>
            <w:pPr>
              <w:pStyle w:val="11"/>
            </w:pPr>
          </w:p>
        </w:tc>
        <w:tc>
          <w:tcPr>
            <w:tcW w:w="1361" w:type="dxa"/>
            <w:vAlign w:val="center"/>
          </w:tcPr>
          <w:p>
            <w:pPr>
              <w:pStyle w:val="11"/>
            </w:pPr>
            <w:r>
              <w:t>34.00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12.40</w:t>
            </w:r>
          </w:p>
        </w:tc>
        <w:tc>
          <w:tcPr>
            <w:tcW w:w="1361" w:type="dxa"/>
            <w:vAlign w:val="center"/>
          </w:tcPr>
          <w:p>
            <w:pPr>
              <w:pStyle w:val="11"/>
            </w:pPr>
            <w:r>
              <w:t>12.40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12.40</w:t>
            </w:r>
          </w:p>
        </w:tc>
        <w:tc>
          <w:tcPr>
            <w:tcW w:w="1361" w:type="dxa"/>
            <w:vAlign w:val="center"/>
          </w:tcPr>
          <w:p>
            <w:pPr>
              <w:pStyle w:val="11"/>
            </w:pPr>
            <w:r>
              <w:t>12.40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12.40</w:t>
            </w:r>
          </w:p>
        </w:tc>
        <w:tc>
          <w:tcPr>
            <w:tcW w:w="1361" w:type="dxa"/>
            <w:vAlign w:val="center"/>
          </w:tcPr>
          <w:p>
            <w:pPr>
              <w:pStyle w:val="11"/>
            </w:pPr>
            <w:r>
              <w:t>12.40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975平乡县供销合作社联合社</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280.59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32.89</w:t>
            </w:r>
          </w:p>
        </w:tc>
        <w:tc>
          <w:tcPr>
            <w:tcW w:w="1474" w:type="dxa"/>
            <w:vAlign w:val="center"/>
          </w:tcPr>
          <w:p>
            <w:pPr>
              <w:pStyle w:val="11"/>
            </w:pPr>
            <w:r>
              <w:t>32.89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9.74</w:t>
            </w:r>
          </w:p>
        </w:tc>
        <w:tc>
          <w:tcPr>
            <w:tcW w:w="1474" w:type="dxa"/>
            <w:vAlign w:val="center"/>
          </w:tcPr>
          <w:p>
            <w:pPr>
              <w:pStyle w:val="11"/>
            </w:pPr>
            <w:r>
              <w:t>9.74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r>
              <w:t>225.56</w:t>
            </w:r>
          </w:p>
        </w:tc>
        <w:tc>
          <w:tcPr>
            <w:tcW w:w="1474" w:type="dxa"/>
            <w:vAlign w:val="center"/>
          </w:tcPr>
          <w:p>
            <w:pPr>
              <w:pStyle w:val="11"/>
            </w:pPr>
            <w:r>
              <w:t>225.56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12.40</w:t>
            </w:r>
          </w:p>
        </w:tc>
        <w:tc>
          <w:tcPr>
            <w:tcW w:w="1474" w:type="dxa"/>
            <w:vAlign w:val="center"/>
          </w:tcPr>
          <w:p>
            <w:pPr>
              <w:pStyle w:val="11"/>
            </w:pPr>
            <w:r>
              <w:t>12.40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280.59</w:t>
            </w:r>
          </w:p>
        </w:tc>
        <w:tc>
          <w:tcPr>
            <w:tcW w:w="3402" w:type="dxa"/>
            <w:vAlign w:val="center"/>
          </w:tcPr>
          <w:p>
            <w:pPr>
              <w:pStyle w:val="14"/>
            </w:pPr>
            <w:r>
              <w:t>本年支出合计</w:t>
            </w:r>
          </w:p>
        </w:tc>
        <w:tc>
          <w:tcPr>
            <w:tcW w:w="1474" w:type="dxa"/>
            <w:vAlign w:val="center"/>
          </w:tcPr>
          <w:p>
            <w:pPr>
              <w:pStyle w:val="15"/>
            </w:pPr>
            <w:r>
              <w:t>280.59</w:t>
            </w:r>
          </w:p>
        </w:tc>
        <w:tc>
          <w:tcPr>
            <w:tcW w:w="1474" w:type="dxa"/>
            <w:vAlign w:val="center"/>
          </w:tcPr>
          <w:p>
            <w:pPr>
              <w:pStyle w:val="15"/>
            </w:pPr>
            <w:r>
              <w:t>280.59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280.59</w:t>
            </w:r>
          </w:p>
        </w:tc>
        <w:tc>
          <w:tcPr>
            <w:tcW w:w="3402" w:type="dxa"/>
            <w:vAlign w:val="center"/>
          </w:tcPr>
          <w:p>
            <w:pPr>
              <w:pStyle w:val="14"/>
            </w:pPr>
            <w:r>
              <w:t>支出总计</w:t>
            </w:r>
          </w:p>
        </w:tc>
        <w:tc>
          <w:tcPr>
            <w:tcW w:w="1474" w:type="dxa"/>
            <w:vAlign w:val="center"/>
          </w:tcPr>
          <w:p>
            <w:pPr>
              <w:pStyle w:val="15"/>
            </w:pPr>
            <w:r>
              <w:t>280.59</w:t>
            </w:r>
          </w:p>
        </w:tc>
        <w:tc>
          <w:tcPr>
            <w:tcW w:w="1474" w:type="dxa"/>
            <w:vAlign w:val="center"/>
          </w:tcPr>
          <w:p>
            <w:pPr>
              <w:pStyle w:val="15"/>
            </w:pPr>
            <w:r>
              <w:t>280.59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975平乡县供销合作社联合社</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280.59</w:t>
            </w:r>
          </w:p>
        </w:tc>
        <w:tc>
          <w:tcPr>
            <w:tcW w:w="2551" w:type="dxa"/>
            <w:vAlign w:val="center"/>
          </w:tcPr>
          <w:p>
            <w:pPr>
              <w:pStyle w:val="15"/>
            </w:pPr>
            <w:r>
              <w:t>228.10</w:t>
            </w:r>
          </w:p>
        </w:tc>
        <w:tc>
          <w:tcPr>
            <w:tcW w:w="2551" w:type="dxa"/>
            <w:vAlign w:val="center"/>
          </w:tcPr>
          <w:p>
            <w:pPr>
              <w:pStyle w:val="15"/>
            </w:pPr>
            <w:r>
              <w:t>52.49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32.89</w:t>
            </w:r>
          </w:p>
        </w:tc>
        <w:tc>
          <w:tcPr>
            <w:tcW w:w="2551" w:type="dxa"/>
            <w:vAlign w:val="center"/>
          </w:tcPr>
          <w:p>
            <w:pPr>
              <w:pStyle w:val="11"/>
            </w:pPr>
            <w:r>
              <w:t>14.40</w:t>
            </w:r>
          </w:p>
        </w:tc>
        <w:tc>
          <w:tcPr>
            <w:tcW w:w="2551" w:type="dxa"/>
            <w:vAlign w:val="center"/>
          </w:tcPr>
          <w:p>
            <w:pPr>
              <w:pStyle w:val="11"/>
            </w:pPr>
            <w:r>
              <w:t>18.49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14.40</w:t>
            </w:r>
          </w:p>
        </w:tc>
        <w:tc>
          <w:tcPr>
            <w:tcW w:w="2551" w:type="dxa"/>
            <w:vAlign w:val="center"/>
          </w:tcPr>
          <w:p>
            <w:pPr>
              <w:pStyle w:val="11"/>
            </w:pPr>
            <w:r>
              <w:t>14.40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14.40</w:t>
            </w:r>
          </w:p>
        </w:tc>
        <w:tc>
          <w:tcPr>
            <w:tcW w:w="2551" w:type="dxa"/>
            <w:vAlign w:val="center"/>
          </w:tcPr>
          <w:p>
            <w:pPr>
              <w:pStyle w:val="11"/>
            </w:pPr>
            <w:r>
              <w:t>14.40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18.49</w:t>
            </w:r>
          </w:p>
        </w:tc>
        <w:tc>
          <w:tcPr>
            <w:tcW w:w="2551" w:type="dxa"/>
            <w:vAlign w:val="center"/>
          </w:tcPr>
          <w:p>
            <w:pPr>
              <w:pStyle w:val="11"/>
            </w:pPr>
          </w:p>
        </w:tc>
        <w:tc>
          <w:tcPr>
            <w:tcW w:w="2551" w:type="dxa"/>
            <w:vAlign w:val="center"/>
          </w:tcPr>
          <w:p>
            <w:pPr>
              <w:pStyle w:val="11"/>
            </w:pPr>
            <w:r>
              <w:t>18.49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2080999</w:t>
            </w:r>
          </w:p>
        </w:tc>
        <w:tc>
          <w:tcPr>
            <w:tcW w:w="4535" w:type="dxa"/>
            <w:vAlign w:val="center"/>
          </w:tcPr>
          <w:p>
            <w:pPr>
              <w:pStyle w:val="12"/>
            </w:pPr>
            <w:r>
              <w:t>其他退役安置支出</w:t>
            </w:r>
          </w:p>
        </w:tc>
        <w:tc>
          <w:tcPr>
            <w:tcW w:w="2551" w:type="dxa"/>
            <w:vAlign w:val="center"/>
          </w:tcPr>
          <w:p>
            <w:pPr>
              <w:pStyle w:val="11"/>
            </w:pPr>
            <w:r>
              <w:t>18.49</w:t>
            </w:r>
          </w:p>
        </w:tc>
        <w:tc>
          <w:tcPr>
            <w:tcW w:w="2551" w:type="dxa"/>
            <w:vAlign w:val="center"/>
          </w:tcPr>
          <w:p>
            <w:pPr>
              <w:pStyle w:val="11"/>
            </w:pPr>
          </w:p>
        </w:tc>
        <w:tc>
          <w:tcPr>
            <w:tcW w:w="2551" w:type="dxa"/>
            <w:vAlign w:val="center"/>
          </w:tcPr>
          <w:p>
            <w:pPr>
              <w:pStyle w:val="11"/>
            </w:pPr>
            <w:r>
              <w:t>18.49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9.74</w:t>
            </w:r>
          </w:p>
        </w:tc>
        <w:tc>
          <w:tcPr>
            <w:tcW w:w="2551" w:type="dxa"/>
            <w:vAlign w:val="center"/>
          </w:tcPr>
          <w:p>
            <w:pPr>
              <w:pStyle w:val="11"/>
            </w:pPr>
            <w:r>
              <w:t>9.74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9.74</w:t>
            </w:r>
          </w:p>
        </w:tc>
        <w:tc>
          <w:tcPr>
            <w:tcW w:w="2551" w:type="dxa"/>
            <w:vAlign w:val="center"/>
          </w:tcPr>
          <w:p>
            <w:pPr>
              <w:pStyle w:val="11"/>
            </w:pPr>
            <w:r>
              <w:t>9.74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9.74</w:t>
            </w:r>
          </w:p>
        </w:tc>
        <w:tc>
          <w:tcPr>
            <w:tcW w:w="2551" w:type="dxa"/>
            <w:vAlign w:val="center"/>
          </w:tcPr>
          <w:p>
            <w:pPr>
              <w:pStyle w:val="11"/>
            </w:pPr>
            <w:r>
              <w:t>9.74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216</w:t>
            </w:r>
          </w:p>
        </w:tc>
        <w:tc>
          <w:tcPr>
            <w:tcW w:w="4535" w:type="dxa"/>
            <w:vAlign w:val="center"/>
          </w:tcPr>
          <w:p>
            <w:pPr>
              <w:pStyle w:val="12"/>
            </w:pPr>
            <w:r>
              <w:t>商业服务业等支出</w:t>
            </w:r>
          </w:p>
        </w:tc>
        <w:tc>
          <w:tcPr>
            <w:tcW w:w="2551" w:type="dxa"/>
            <w:vAlign w:val="center"/>
          </w:tcPr>
          <w:p>
            <w:pPr>
              <w:pStyle w:val="11"/>
            </w:pPr>
            <w:r>
              <w:t>225.56</w:t>
            </w:r>
          </w:p>
        </w:tc>
        <w:tc>
          <w:tcPr>
            <w:tcW w:w="2551" w:type="dxa"/>
            <w:vAlign w:val="center"/>
          </w:tcPr>
          <w:p>
            <w:pPr>
              <w:pStyle w:val="11"/>
            </w:pPr>
            <w:r>
              <w:t>191.56</w:t>
            </w:r>
          </w:p>
        </w:tc>
        <w:tc>
          <w:tcPr>
            <w:tcW w:w="2551" w:type="dxa"/>
            <w:vAlign w:val="center"/>
          </w:tcPr>
          <w:p>
            <w:pPr>
              <w:pStyle w:val="11"/>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21602</w:t>
            </w:r>
          </w:p>
        </w:tc>
        <w:tc>
          <w:tcPr>
            <w:tcW w:w="4535" w:type="dxa"/>
            <w:vAlign w:val="center"/>
          </w:tcPr>
          <w:p>
            <w:pPr>
              <w:pStyle w:val="12"/>
            </w:pPr>
            <w:r>
              <w:t>商业流通事务</w:t>
            </w:r>
          </w:p>
        </w:tc>
        <w:tc>
          <w:tcPr>
            <w:tcW w:w="2551" w:type="dxa"/>
            <w:vAlign w:val="center"/>
          </w:tcPr>
          <w:p>
            <w:pPr>
              <w:pStyle w:val="11"/>
            </w:pPr>
            <w:r>
              <w:t>225.56</w:t>
            </w:r>
          </w:p>
        </w:tc>
        <w:tc>
          <w:tcPr>
            <w:tcW w:w="2551" w:type="dxa"/>
            <w:vAlign w:val="center"/>
          </w:tcPr>
          <w:p>
            <w:pPr>
              <w:pStyle w:val="11"/>
            </w:pPr>
            <w:r>
              <w:t>191.56</w:t>
            </w:r>
          </w:p>
        </w:tc>
        <w:tc>
          <w:tcPr>
            <w:tcW w:w="2551" w:type="dxa"/>
            <w:vAlign w:val="center"/>
          </w:tcPr>
          <w:p>
            <w:pPr>
              <w:pStyle w:val="11"/>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2160250</w:t>
            </w:r>
          </w:p>
        </w:tc>
        <w:tc>
          <w:tcPr>
            <w:tcW w:w="4535" w:type="dxa"/>
            <w:vAlign w:val="center"/>
          </w:tcPr>
          <w:p>
            <w:pPr>
              <w:pStyle w:val="12"/>
            </w:pPr>
            <w:r>
              <w:t>事业运行</w:t>
            </w:r>
          </w:p>
        </w:tc>
        <w:tc>
          <w:tcPr>
            <w:tcW w:w="2551" w:type="dxa"/>
            <w:vAlign w:val="center"/>
          </w:tcPr>
          <w:p>
            <w:pPr>
              <w:pStyle w:val="11"/>
            </w:pPr>
            <w:r>
              <w:t>191.56</w:t>
            </w:r>
          </w:p>
        </w:tc>
        <w:tc>
          <w:tcPr>
            <w:tcW w:w="2551" w:type="dxa"/>
            <w:vAlign w:val="center"/>
          </w:tcPr>
          <w:p>
            <w:pPr>
              <w:pStyle w:val="11"/>
            </w:pPr>
            <w:r>
              <w:t>191.56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2160299</w:t>
            </w:r>
          </w:p>
        </w:tc>
        <w:tc>
          <w:tcPr>
            <w:tcW w:w="4535" w:type="dxa"/>
            <w:vAlign w:val="center"/>
          </w:tcPr>
          <w:p>
            <w:pPr>
              <w:pStyle w:val="12"/>
            </w:pPr>
            <w:r>
              <w:t>其他商业流通事务支出</w:t>
            </w:r>
          </w:p>
        </w:tc>
        <w:tc>
          <w:tcPr>
            <w:tcW w:w="2551" w:type="dxa"/>
            <w:vAlign w:val="center"/>
          </w:tcPr>
          <w:p>
            <w:pPr>
              <w:pStyle w:val="11"/>
            </w:pPr>
            <w:r>
              <w:t>34.00</w:t>
            </w:r>
          </w:p>
        </w:tc>
        <w:tc>
          <w:tcPr>
            <w:tcW w:w="2551" w:type="dxa"/>
            <w:vAlign w:val="center"/>
          </w:tcPr>
          <w:p>
            <w:pPr>
              <w:pStyle w:val="11"/>
            </w:pPr>
          </w:p>
        </w:tc>
        <w:tc>
          <w:tcPr>
            <w:tcW w:w="2551" w:type="dxa"/>
            <w:vAlign w:val="center"/>
          </w:tcPr>
          <w:p>
            <w:pPr>
              <w:pStyle w:val="11"/>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12.40</w:t>
            </w:r>
          </w:p>
        </w:tc>
        <w:tc>
          <w:tcPr>
            <w:tcW w:w="2551" w:type="dxa"/>
            <w:vAlign w:val="center"/>
          </w:tcPr>
          <w:p>
            <w:pPr>
              <w:pStyle w:val="11"/>
            </w:pPr>
            <w:r>
              <w:t>12.40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12.40</w:t>
            </w:r>
          </w:p>
        </w:tc>
        <w:tc>
          <w:tcPr>
            <w:tcW w:w="2551" w:type="dxa"/>
            <w:vAlign w:val="center"/>
          </w:tcPr>
          <w:p>
            <w:pPr>
              <w:pStyle w:val="11"/>
            </w:pPr>
            <w:r>
              <w:t>12.40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12.40</w:t>
            </w:r>
          </w:p>
        </w:tc>
        <w:tc>
          <w:tcPr>
            <w:tcW w:w="2551" w:type="dxa"/>
            <w:vAlign w:val="center"/>
          </w:tcPr>
          <w:p>
            <w:pPr>
              <w:pStyle w:val="11"/>
            </w:pPr>
            <w:r>
              <w:t>12.40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975平乡县供销合作社联合社</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228.10</w:t>
            </w:r>
          </w:p>
        </w:tc>
        <w:tc>
          <w:tcPr>
            <w:tcW w:w="2551" w:type="dxa"/>
            <w:vAlign w:val="center"/>
          </w:tcPr>
          <w:p>
            <w:pPr>
              <w:pStyle w:val="15"/>
            </w:pPr>
            <w:r>
              <w:t>223.30</w:t>
            </w:r>
          </w:p>
        </w:tc>
        <w:tc>
          <w:tcPr>
            <w:tcW w:w="2552" w:type="dxa"/>
            <w:vAlign w:val="center"/>
          </w:tcPr>
          <w:p>
            <w:pPr>
              <w:pStyle w:val="15"/>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218.80</w:t>
            </w:r>
          </w:p>
        </w:tc>
        <w:tc>
          <w:tcPr>
            <w:tcW w:w="2551" w:type="dxa"/>
            <w:vAlign w:val="center"/>
          </w:tcPr>
          <w:p>
            <w:pPr>
              <w:pStyle w:val="11"/>
            </w:pPr>
            <w:r>
              <w:t>218.80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68.33</w:t>
            </w:r>
          </w:p>
        </w:tc>
        <w:tc>
          <w:tcPr>
            <w:tcW w:w="2551" w:type="dxa"/>
            <w:vAlign w:val="center"/>
          </w:tcPr>
          <w:p>
            <w:pPr>
              <w:pStyle w:val="11"/>
            </w:pPr>
            <w:r>
              <w:t>68.33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8.75</w:t>
            </w:r>
          </w:p>
        </w:tc>
        <w:tc>
          <w:tcPr>
            <w:tcW w:w="2551" w:type="dxa"/>
            <w:vAlign w:val="center"/>
          </w:tcPr>
          <w:p>
            <w:pPr>
              <w:pStyle w:val="11"/>
            </w:pPr>
            <w:r>
              <w:t>8.75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37.17</w:t>
            </w:r>
          </w:p>
        </w:tc>
        <w:tc>
          <w:tcPr>
            <w:tcW w:w="2551" w:type="dxa"/>
            <w:vAlign w:val="center"/>
          </w:tcPr>
          <w:p>
            <w:pPr>
              <w:pStyle w:val="11"/>
            </w:pPr>
            <w:r>
              <w:t>37.17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15.90</w:t>
            </w:r>
          </w:p>
        </w:tc>
        <w:tc>
          <w:tcPr>
            <w:tcW w:w="2551" w:type="dxa"/>
            <w:vAlign w:val="center"/>
          </w:tcPr>
          <w:p>
            <w:pPr>
              <w:pStyle w:val="11"/>
            </w:pPr>
            <w:r>
              <w:t>15.90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14.40</w:t>
            </w:r>
          </w:p>
        </w:tc>
        <w:tc>
          <w:tcPr>
            <w:tcW w:w="2551" w:type="dxa"/>
            <w:vAlign w:val="center"/>
          </w:tcPr>
          <w:p>
            <w:pPr>
              <w:pStyle w:val="11"/>
            </w:pPr>
            <w:r>
              <w:t>14.40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7.83</w:t>
            </w:r>
          </w:p>
        </w:tc>
        <w:tc>
          <w:tcPr>
            <w:tcW w:w="2551" w:type="dxa"/>
            <w:vAlign w:val="center"/>
          </w:tcPr>
          <w:p>
            <w:pPr>
              <w:pStyle w:val="11"/>
            </w:pPr>
            <w:r>
              <w:t>7.83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1.91</w:t>
            </w:r>
          </w:p>
        </w:tc>
        <w:tc>
          <w:tcPr>
            <w:tcW w:w="2551" w:type="dxa"/>
            <w:vAlign w:val="center"/>
          </w:tcPr>
          <w:p>
            <w:pPr>
              <w:pStyle w:val="11"/>
            </w:pPr>
            <w:r>
              <w:t>1.91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0.81</w:t>
            </w:r>
          </w:p>
        </w:tc>
        <w:tc>
          <w:tcPr>
            <w:tcW w:w="2551" w:type="dxa"/>
            <w:vAlign w:val="center"/>
          </w:tcPr>
          <w:p>
            <w:pPr>
              <w:pStyle w:val="11"/>
            </w:pPr>
            <w:r>
              <w:t>0.81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12.40</w:t>
            </w:r>
          </w:p>
        </w:tc>
        <w:tc>
          <w:tcPr>
            <w:tcW w:w="2551" w:type="dxa"/>
            <w:vAlign w:val="center"/>
          </w:tcPr>
          <w:p>
            <w:pPr>
              <w:pStyle w:val="11"/>
            </w:pPr>
            <w:r>
              <w:t>12.40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51.30</w:t>
            </w:r>
          </w:p>
        </w:tc>
        <w:tc>
          <w:tcPr>
            <w:tcW w:w="2551" w:type="dxa"/>
            <w:vAlign w:val="center"/>
          </w:tcPr>
          <w:p>
            <w:pPr>
              <w:pStyle w:val="11"/>
            </w:pPr>
            <w:r>
              <w:t>51.30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4.80</w:t>
            </w:r>
          </w:p>
        </w:tc>
        <w:tc>
          <w:tcPr>
            <w:tcW w:w="2551" w:type="dxa"/>
            <w:vAlign w:val="center"/>
          </w:tcPr>
          <w:p>
            <w:pPr>
              <w:pStyle w:val="11"/>
            </w:pPr>
          </w:p>
        </w:tc>
        <w:tc>
          <w:tcPr>
            <w:tcW w:w="2552"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1.10</w:t>
            </w:r>
          </w:p>
        </w:tc>
        <w:tc>
          <w:tcPr>
            <w:tcW w:w="2551" w:type="dxa"/>
            <w:vAlign w:val="center"/>
          </w:tcPr>
          <w:p>
            <w:pPr>
              <w:pStyle w:val="11"/>
            </w:pPr>
          </w:p>
        </w:tc>
        <w:tc>
          <w:tcPr>
            <w:tcW w:w="2552" w:type="dxa"/>
            <w:vAlign w:val="center"/>
          </w:tcPr>
          <w:p>
            <w:pPr>
              <w:pStyle w:val="11"/>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0.40</w:t>
            </w:r>
          </w:p>
        </w:tc>
        <w:tc>
          <w:tcPr>
            <w:tcW w:w="2551" w:type="dxa"/>
            <w:vAlign w:val="center"/>
          </w:tcPr>
          <w:p>
            <w:pPr>
              <w:pStyle w:val="11"/>
            </w:pPr>
          </w:p>
        </w:tc>
        <w:tc>
          <w:tcPr>
            <w:tcW w:w="2552"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1.00</w:t>
            </w:r>
          </w:p>
        </w:tc>
        <w:tc>
          <w:tcPr>
            <w:tcW w:w="2551" w:type="dxa"/>
            <w:vAlign w:val="center"/>
          </w:tcPr>
          <w:p>
            <w:pPr>
              <w:pStyle w:val="11"/>
            </w:pPr>
          </w:p>
        </w:tc>
        <w:tc>
          <w:tcPr>
            <w:tcW w:w="2552"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1.40</w:t>
            </w:r>
          </w:p>
        </w:tc>
        <w:tc>
          <w:tcPr>
            <w:tcW w:w="2551" w:type="dxa"/>
            <w:vAlign w:val="center"/>
          </w:tcPr>
          <w:p>
            <w:pPr>
              <w:pStyle w:val="11"/>
            </w:pPr>
          </w:p>
        </w:tc>
        <w:tc>
          <w:tcPr>
            <w:tcW w:w="2552" w:type="dxa"/>
            <w:vAlign w:val="center"/>
          </w:tcPr>
          <w:p>
            <w:pPr>
              <w:pStyle w:val="11"/>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0.26</w:t>
            </w:r>
          </w:p>
        </w:tc>
        <w:tc>
          <w:tcPr>
            <w:tcW w:w="2551" w:type="dxa"/>
            <w:vAlign w:val="center"/>
          </w:tcPr>
          <w:p>
            <w:pPr>
              <w:pStyle w:val="11"/>
            </w:pPr>
          </w:p>
        </w:tc>
        <w:tc>
          <w:tcPr>
            <w:tcW w:w="2552" w:type="dxa"/>
            <w:vAlign w:val="center"/>
          </w:tcPr>
          <w:p>
            <w:pPr>
              <w:pStyle w:val="11"/>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0.26</w:t>
            </w:r>
          </w:p>
        </w:tc>
        <w:tc>
          <w:tcPr>
            <w:tcW w:w="2551" w:type="dxa"/>
            <w:vAlign w:val="center"/>
          </w:tcPr>
          <w:p>
            <w:pPr>
              <w:pStyle w:val="11"/>
            </w:pPr>
          </w:p>
        </w:tc>
        <w:tc>
          <w:tcPr>
            <w:tcW w:w="2552" w:type="dxa"/>
            <w:vAlign w:val="center"/>
          </w:tcPr>
          <w:p>
            <w:pPr>
              <w:pStyle w:val="11"/>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0.38</w:t>
            </w:r>
          </w:p>
        </w:tc>
        <w:tc>
          <w:tcPr>
            <w:tcW w:w="2551" w:type="dxa"/>
            <w:vAlign w:val="center"/>
          </w:tcPr>
          <w:p>
            <w:pPr>
              <w:pStyle w:val="11"/>
            </w:pPr>
          </w:p>
        </w:tc>
        <w:tc>
          <w:tcPr>
            <w:tcW w:w="2552" w:type="dxa"/>
            <w:vAlign w:val="center"/>
          </w:tcPr>
          <w:p>
            <w:pPr>
              <w:pStyle w:val="11"/>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4.50</w:t>
            </w:r>
          </w:p>
        </w:tc>
        <w:tc>
          <w:tcPr>
            <w:tcW w:w="2551" w:type="dxa"/>
            <w:vAlign w:val="center"/>
          </w:tcPr>
          <w:p>
            <w:pPr>
              <w:pStyle w:val="11"/>
            </w:pPr>
            <w:r>
              <w:t>4.50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4.50</w:t>
            </w:r>
          </w:p>
        </w:tc>
        <w:tc>
          <w:tcPr>
            <w:tcW w:w="2551" w:type="dxa"/>
            <w:vAlign w:val="center"/>
          </w:tcPr>
          <w:p>
            <w:pPr>
              <w:pStyle w:val="11"/>
            </w:pPr>
            <w:r>
              <w:t>4.50</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975平乡县供销合作社联合社</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975平乡县供销合作社联合社</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975平乡县供销合作社联合社</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平乡县供销合作社联合社2022年部门预算信息公开情况说明</w:t>
      </w:r>
    </w:p>
    <w:p>
      <w:pPr>
        <w:jc w:val="center"/>
      </w:pPr>
      <w:r>
        <w:rPr>
          <w:rFonts w:ascii="方正小标宋_GBK" w:hAnsi="方正小标宋_GBK" w:eastAsia="方正小标宋_GBK" w:cs="方正小标宋_GBK"/>
          <w:color w:val="000000"/>
          <w:sz w:val="44"/>
        </w:rPr>
        <w:t>平乡县供销合作社联合社2022年部门预算信息公开情况说明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按照《预算法》、《地方预决算公开操作规程》和《关于进一步推进预算公开工作的实施意见》规定，现将平乡县供销合作社联合社2022年部门预算公开如下：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spacing w:line="500" w:lineRule="exact"/>
        <w:ind w:firstLine="560"/>
        <w:rPr>
          <w:rFonts w:eastAsia="方正仿宋_GBK"/>
          <w:color w:val="000000"/>
          <w:sz w:val="28"/>
        </w:rPr>
      </w:pPr>
      <w:r>
        <w:rPr>
          <w:rFonts w:hint="eastAsia" w:eastAsia="方正仿宋_GBK"/>
          <w:color w:val="000000"/>
          <w:sz w:val="28"/>
        </w:rPr>
        <w:t>根据《供销社职能配置、内设机构和人员编制规定》， 供销社的主要职责是：</w:t>
      </w:r>
    </w:p>
    <w:p>
      <w:pPr>
        <w:spacing w:line="500" w:lineRule="exact"/>
        <w:ind w:firstLine="560"/>
        <w:rPr>
          <w:rFonts w:eastAsia="方正仿宋_GBK"/>
          <w:color w:val="000000"/>
          <w:sz w:val="28"/>
        </w:rPr>
      </w:pPr>
      <w:r>
        <w:rPr>
          <w:rFonts w:hint="eastAsia" w:eastAsia="方正仿宋_GBK"/>
          <w:color w:val="000000"/>
          <w:sz w:val="28"/>
          <w:lang w:eastAsia="zh-CN"/>
        </w:rPr>
        <w:t>（一）</w:t>
      </w:r>
      <w:r>
        <w:rPr>
          <w:rFonts w:hint="eastAsia" w:eastAsia="方正仿宋_GBK"/>
          <w:color w:val="000000"/>
          <w:sz w:val="28"/>
        </w:rPr>
        <w:t>、</w:t>
      </w:r>
      <w:r>
        <w:rPr>
          <w:rFonts w:eastAsia="方正仿宋_GBK"/>
          <w:color w:val="000000"/>
          <w:sz w:val="28"/>
        </w:rPr>
        <w:t>负责制定全县供销合作社的发展战略和发展规划</w:t>
      </w:r>
      <w:r>
        <w:rPr>
          <w:rFonts w:hint="eastAsia" w:eastAsia="方正仿宋_GBK"/>
          <w:color w:val="000000"/>
          <w:sz w:val="28"/>
        </w:rPr>
        <w:t>，</w:t>
      </w:r>
      <w:r>
        <w:rPr>
          <w:rFonts w:eastAsia="方正仿宋_GBK"/>
          <w:color w:val="000000"/>
          <w:sz w:val="28"/>
        </w:rPr>
        <w:t>指导全县供销合作社的改革与发展；</w:t>
      </w:r>
    </w:p>
    <w:p>
      <w:pPr>
        <w:spacing w:line="500" w:lineRule="exact"/>
        <w:ind w:firstLine="560"/>
        <w:rPr>
          <w:rFonts w:eastAsia="方正仿宋_GBK"/>
          <w:color w:val="000000"/>
          <w:sz w:val="28"/>
        </w:rPr>
      </w:pPr>
      <w:r>
        <w:rPr>
          <w:rFonts w:hint="eastAsia" w:eastAsia="方正仿宋_GBK"/>
          <w:color w:val="000000"/>
          <w:sz w:val="28"/>
          <w:lang w:eastAsia="zh-CN"/>
        </w:rPr>
        <w:t>（二）</w:t>
      </w:r>
      <w:r>
        <w:rPr>
          <w:rFonts w:hint="eastAsia" w:eastAsia="方正仿宋_GBK"/>
          <w:color w:val="000000"/>
          <w:sz w:val="28"/>
        </w:rPr>
        <w:t>、</w:t>
      </w:r>
      <w:r>
        <w:rPr>
          <w:rFonts w:eastAsia="方正仿宋_GBK"/>
          <w:color w:val="000000"/>
          <w:sz w:val="28"/>
        </w:rPr>
        <w:t>负责重要农业生产资料、农副产品和再生资源经营的组织、协调、管理、并对盐政执法管理和烟花爆竹专营管理；</w:t>
      </w:r>
    </w:p>
    <w:p>
      <w:pPr>
        <w:spacing w:line="500" w:lineRule="exact"/>
        <w:ind w:firstLine="560"/>
        <w:rPr>
          <w:rFonts w:eastAsia="方正仿宋_GBK"/>
          <w:color w:val="000000"/>
          <w:sz w:val="28"/>
        </w:rPr>
      </w:pPr>
      <w:r>
        <w:rPr>
          <w:rFonts w:hint="eastAsia" w:eastAsia="方正仿宋_GBK"/>
          <w:color w:val="000000"/>
          <w:sz w:val="28"/>
          <w:lang w:eastAsia="zh-CN"/>
        </w:rPr>
        <w:t>（三）</w:t>
      </w:r>
      <w:r>
        <w:rPr>
          <w:rFonts w:hint="eastAsia" w:eastAsia="方正仿宋_GBK"/>
          <w:color w:val="000000"/>
          <w:sz w:val="28"/>
        </w:rPr>
        <w:t>、</w:t>
      </w:r>
      <w:r>
        <w:rPr>
          <w:rFonts w:eastAsia="方正仿宋_GBK"/>
          <w:color w:val="000000"/>
          <w:sz w:val="28"/>
        </w:rPr>
        <w:t>负责全县农民合作经济组织的管理与规范。</w:t>
      </w:r>
    </w:p>
    <w:p>
      <w:pPr>
        <w:spacing w:line="500" w:lineRule="exact"/>
        <w:ind w:firstLine="560"/>
        <w:rPr>
          <w:rFonts w:ascii="方正楷体_GBK" w:hAnsi="方正楷体_GBK" w:eastAsia="方正楷体_GBK" w:cs="方正楷体_GBK"/>
          <w:b/>
          <w:color w:val="000000"/>
          <w:sz w:val="32"/>
          <w:szCs w:val="32"/>
        </w:rPr>
      </w:pPr>
      <w:r>
        <w:rPr>
          <w:rFonts w:hint="eastAsia" w:eastAsia="方正仿宋_GBK"/>
          <w:color w:val="000000"/>
          <w:sz w:val="28"/>
          <w:lang w:eastAsia="zh-CN"/>
        </w:rPr>
        <w:t>（四）</w:t>
      </w:r>
      <w:r>
        <w:rPr>
          <w:rFonts w:hint="eastAsia" w:eastAsia="方正仿宋_GBK"/>
          <w:color w:val="000000"/>
          <w:sz w:val="28"/>
        </w:rPr>
        <w:t>、</w:t>
      </w:r>
      <w:r>
        <w:rPr>
          <w:rFonts w:eastAsia="方正仿宋_GBK"/>
          <w:color w:val="000000"/>
          <w:sz w:val="28"/>
        </w:rPr>
        <w:t>完成县委、县政府交办的其他</w:t>
      </w:r>
      <w:r>
        <w:rPr>
          <w:rFonts w:hint="eastAsia" w:eastAsia="方正仿宋_GBK"/>
          <w:color w:val="000000"/>
          <w:sz w:val="28"/>
        </w:rPr>
        <w:t>事项</w:t>
      </w:r>
      <w:r>
        <w:rPr>
          <w:rFonts w:eastAsia="方正仿宋_GBK"/>
          <w:color w:val="000000"/>
          <w:sz w:val="28"/>
        </w:rPr>
        <w:t>。</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平乡县供销合作社联合社本级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按照预算管理有关规定，目前我县部门预算的编制实行综合预算管理，即全部收入和支出都反映的预算中。平乡县供销合作社联合社的收支包含在部门预算中。</w:t>
      </w:r>
    </w:p>
    <w:p>
      <w:pPr>
        <w:pStyle w:val="18"/>
      </w:pPr>
      <w:r>
        <w:t>（一）、收入说明</w:t>
      </w:r>
    </w:p>
    <w:p>
      <w:pPr>
        <w:pStyle w:val="18"/>
      </w:pPr>
      <w:r>
        <w:t>反映本部门当年全部收入。2022年预算收入280.59万元，其中：一般公共预算收入280.59万元，基金预算收入0万元，财政专户核拨收入0万元，其他来源收入0万元，上年结转0万元。</w:t>
      </w:r>
    </w:p>
    <w:p>
      <w:pPr>
        <w:pStyle w:val="18"/>
      </w:pPr>
      <w:r>
        <w:t>（二）、支出说明</w:t>
      </w:r>
    </w:p>
    <w:p>
      <w:pPr>
        <w:pStyle w:val="18"/>
      </w:pPr>
      <w:r>
        <w:t>收支预算总表支出栏、基本支出表、项目支出表按经济分类和支出功能分类科目编制，反映平乡县供销合作社联合社年度部门预算中支出预算的总体情况。2022年部门支出预算为280.59万元，其中基本支出228.1万元，包括人员经费223.3万元和日常公用经费4.8万元；项目支出52.49万元，主要为服务体系建设、综合事务管理、农村产权交易服务、落实重新安置军队退役人员待遇等。</w:t>
      </w:r>
    </w:p>
    <w:p>
      <w:pPr>
        <w:pStyle w:val="18"/>
      </w:pPr>
      <w:r>
        <w:t>（三）、比上年增减情况</w:t>
      </w:r>
    </w:p>
    <w:p>
      <w:pPr>
        <w:pStyle w:val="18"/>
      </w:pPr>
      <w:r>
        <w:t>2022年部门预算收支安排280.59万元，较2021年增加109.58万元，其中：基本支出增加106.09万元，主要是人员增加，相应增加人员经费和日常公用经费；项目支出增加3.49万元，主要是项目落实重新安置军队退役人员待遇经费的增加。</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w:t>
      </w:r>
      <w:r>
        <w:rPr>
          <w:rFonts w:hint="eastAsia"/>
          <w:lang w:eastAsia="zh-CN"/>
        </w:rPr>
        <w:t>2</w:t>
      </w:r>
      <w:r>
        <w:t>年，我部门机关运行经费共计安排4.8万元，主要用于保证机关正常运转的办公费、邮电费、办公用房水电费、福利费、工会经费等日常支出。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2022年，我部门财政拨款“三公”经费预算安排0万元，其中：因公出国（境）费0万元；公务用车购置及运维费0万元（其中：公务用车购置费0万元，公务用车运行维护费0万元)；公务接待费0万元。“三公”经费与上年持平。</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rPr>
          <w:rFonts w:hint="eastAsia"/>
          <w:lang w:eastAsia="zh-CN"/>
        </w:rPr>
        <w:t>1</w:t>
      </w:r>
      <w:r>
        <w:t>、抓好乡村振兴为农服务中心建设。不断健全和完善供销社为农服务功能，根据省、市社“关于参与实施乡村振兴战略的实施意见”，将供销社乡村振兴为农服务中心建设作为全县乡村振兴战略的重要一环。</w:t>
      </w:r>
    </w:p>
    <w:p>
      <w:pPr>
        <w:pStyle w:val="21"/>
      </w:pPr>
      <w:r>
        <w:rPr>
          <w:rFonts w:hint="eastAsia"/>
          <w:lang w:eastAsia="zh-CN"/>
        </w:rPr>
        <w:t>2</w:t>
      </w:r>
      <w:r>
        <w:t>、紧紧围绕“三农”工作大局，以提升为农服务能力为根本，推动供销社由流通服务向全程农业社会化服务延伸，向全方位城乡社区服务拓展，逐步形成规模化、综合性、可持续的为农服务体系。以全县基层供销社和社属企业为依托，积极开展农民职业教育培训，提升农民职业技能水平。大力开展土地托管、代管业务。着力推进电商建设工作，为农民提供农产品销售、日用品、消费等服务业务。</w:t>
      </w:r>
    </w:p>
    <w:p>
      <w:pPr>
        <w:pStyle w:val="21"/>
      </w:pPr>
      <w:r>
        <w:rPr>
          <w:rFonts w:hint="eastAsia"/>
          <w:lang w:eastAsia="zh-CN"/>
        </w:rPr>
        <w:t>3</w:t>
      </w:r>
      <w:r>
        <w:t>、抓好农村产权交易工作。着力加强农村产权交易平台的软硬件建设，制定管理办法和交易规则。为盘活农村和农民的各类要素资源，增强农村发展活力，实现农村集体资产保值增值，增加农民财产性收入搭建交易平台。</w:t>
      </w:r>
    </w:p>
    <w:p>
      <w:pPr>
        <w:pStyle w:val="21"/>
      </w:pPr>
      <w:r>
        <w:rPr>
          <w:rFonts w:hint="eastAsia"/>
          <w:lang w:eastAsia="zh-CN"/>
        </w:rPr>
        <w:t>4</w:t>
      </w:r>
      <w:r>
        <w:t>、抓好项目建设。加快平乡镇供销社商贸综合体项目建设，展现平乡镇供销社良好形象。2022年要抓好棉麻公司的职工安置工作。</w:t>
      </w:r>
    </w:p>
    <w:p>
      <w:pPr>
        <w:pStyle w:val="21"/>
      </w:pPr>
      <w:r>
        <w:rPr>
          <w:rFonts w:hint="eastAsia"/>
          <w:lang w:eastAsia="zh-CN"/>
        </w:rPr>
        <w:t>5</w:t>
      </w:r>
      <w:r>
        <w:t>、抓好安全生产工作，按照一岗双责要求确保系统安全稳定。</w:t>
      </w:r>
    </w:p>
    <w:p>
      <w:pPr>
        <w:pStyle w:val="21"/>
      </w:pPr>
      <w:r>
        <w:rPr>
          <w:rFonts w:hint="eastAsia"/>
          <w:lang w:eastAsia="zh-CN"/>
        </w:rPr>
        <w:t>6</w:t>
      </w:r>
      <w:r>
        <w:t>、以旗帜供销为抓手，进一步强化党建引领工作。把党对农民群众的关怀体现到有效的服务中和具体的行动上。同时，认真抓好供销社系统基层党支部建设。坚定“四个自信”、树牢“四个意识”、做到“两个维护”，打造一支作风过硬、担当实干、勇于创新的干部职工队伍。</w:t>
      </w:r>
    </w:p>
    <w:p>
      <w:pPr>
        <w:spacing w:line="500" w:lineRule="exact"/>
        <w:ind w:firstLine="560"/>
      </w:pPr>
      <w:r>
        <w:rPr>
          <w:rFonts w:eastAsia="方正仿宋_GBK"/>
          <w:color w:val="000000"/>
          <w:sz w:val="28"/>
        </w:rPr>
        <w:t>（二）分项绩效目标</w:t>
      </w:r>
    </w:p>
    <w:p>
      <w:pPr>
        <w:pStyle w:val="22"/>
      </w:pPr>
      <w:r>
        <w:rPr>
          <w:rFonts w:hint="eastAsia"/>
          <w:lang w:eastAsia="zh-CN"/>
        </w:rPr>
        <w:t>1、</w:t>
      </w:r>
      <w:r>
        <w:t>年度财政预算资金支出及时准确有效，保障全体员工日常工作正常运行。</w:t>
      </w:r>
    </w:p>
    <w:p>
      <w:pPr>
        <w:pStyle w:val="22"/>
      </w:pPr>
      <w:r>
        <w:t>绩效目标：重点做好财政预算资金按进度要求及时准确支出有效，保证机关日常工作正常运行，激发员工工作积极性，提高年终考核成绩，圆满完成年度各项工作任务。</w:t>
      </w:r>
    </w:p>
    <w:p>
      <w:pPr>
        <w:pStyle w:val="22"/>
      </w:pPr>
      <w:r>
        <w:t>绩效指标：工资发放及时率≥95%。人员工资调整按时完成率达100%。日常运行保障率达100%。</w:t>
      </w:r>
    </w:p>
    <w:p>
      <w:pPr>
        <w:pStyle w:val="22"/>
      </w:pPr>
      <w:r>
        <w:rPr>
          <w:rFonts w:hint="eastAsia"/>
          <w:lang w:eastAsia="zh-CN"/>
        </w:rPr>
        <w:t>2</w:t>
      </w:r>
      <w:r>
        <w:t>、创新供销合作社体制和机制，增强为农服务能力</w:t>
      </w:r>
    </w:p>
    <w:p>
      <w:pPr>
        <w:pStyle w:val="22"/>
      </w:pPr>
      <w:r>
        <w:t>绩效目标：合作建设村级综合服务社15个，提升基层社2个，提升基层社2个，土地托管和农业技术服务5000亩，开展产销对接1次。所辖行政村服务群众覆盖率≥80%，把供销合作社系统打造成为与农民联结更紧密、为农服务功能更完备、市场化运行更高效的合作经济组织体系，成为服务农民生产生活的生力军和综合平台，切实在农业现代化建设中更好地发挥作用。</w:t>
      </w:r>
    </w:p>
    <w:p>
      <w:pPr>
        <w:pStyle w:val="22"/>
      </w:pPr>
      <w:r>
        <w:t>绩效指标：合作建设村级综合服务社15个，提升基层社2个，提升基层社2个，土地托管和农业技术服务5000亩，开展产销对接1次，所辖行政村服务群众覆盖率≥80%。</w:t>
      </w:r>
    </w:p>
    <w:p>
      <w:pPr>
        <w:pStyle w:val="22"/>
      </w:pPr>
      <w:r>
        <w:rPr>
          <w:rFonts w:hint="eastAsia"/>
          <w:lang w:eastAsia="zh-CN"/>
        </w:rPr>
        <w:t>3</w:t>
      </w:r>
      <w:r>
        <w:t>、抓好农村产权交易工作</w:t>
      </w:r>
    </w:p>
    <w:p>
      <w:pPr>
        <w:pStyle w:val="22"/>
      </w:pPr>
      <w:r>
        <w:t>绩效目标：为农村及涉农各类产权流转交易提供政策咨询、产权登记、产权交易、产权抵贷、产权评估、产权收储、合同鉴证等专业化服务，推动农村产权流转交易公正、公开、规范运行。</w:t>
      </w:r>
    </w:p>
    <w:p>
      <w:pPr>
        <w:pStyle w:val="22"/>
      </w:pPr>
      <w:r>
        <w:t>绩效指标：服务乡村253个，服务农户满意度≥95%.</w:t>
      </w:r>
    </w:p>
    <w:p>
      <w:pPr>
        <w:pStyle w:val="22"/>
      </w:pPr>
      <w:r>
        <w:rPr>
          <w:rFonts w:hint="eastAsia"/>
          <w:lang w:eastAsia="zh-CN"/>
        </w:rPr>
        <w:t>4</w:t>
      </w:r>
      <w:r>
        <w:t>、综合事务管理</w:t>
      </w:r>
    </w:p>
    <w:p>
      <w:pPr>
        <w:pStyle w:val="22"/>
      </w:pPr>
      <w:r>
        <w:t>绩效目标：紧紧围绕机关中心工作，确保各项工作谋划、实施、督导落实到位顺利开展，确保机关信息畅通、工作有序、高效、正常运转。确保财务管理规范、资产保值增值，确保党建、人事管理工作规范。</w:t>
      </w:r>
    </w:p>
    <w:p>
      <w:pPr>
        <w:pStyle w:val="22"/>
      </w:pPr>
      <w:r>
        <w:t>绩效指标：综合事务管理工作完成效率≥90%，综合事务办理及时率≥95%。</w:t>
      </w:r>
    </w:p>
    <w:p>
      <w:pPr>
        <w:pStyle w:val="22"/>
      </w:pPr>
      <w:r>
        <w:rPr>
          <w:rFonts w:hint="eastAsia"/>
          <w:lang w:eastAsia="zh-CN"/>
        </w:rPr>
        <w:t>5</w:t>
      </w:r>
      <w:r>
        <w:t>、落实重新安置军队退役人员待遇</w:t>
      </w:r>
    </w:p>
    <w:p>
      <w:pPr>
        <w:pStyle w:val="22"/>
      </w:pPr>
      <w:r>
        <w:t>绩效目标：在对符合安置条件的退役军人遗留问题政策落实工作中，我单位符合安置条件的退役军人共有2名, 依据平退役军人组[2019]5号文件精神，确保2022年工资全额发放到手。</w:t>
      </w:r>
    </w:p>
    <w:p>
      <w:pPr>
        <w:pStyle w:val="22"/>
      </w:pPr>
      <w:r>
        <w:t>绩效指标：实际发放的补助金金额占计划发放金额的比率100%，得到保障的退役军人2人。</w:t>
      </w:r>
    </w:p>
    <w:p>
      <w:pPr>
        <w:spacing w:line="500" w:lineRule="exact"/>
        <w:ind w:firstLine="560"/>
      </w:pPr>
      <w:r>
        <w:rPr>
          <w:rFonts w:eastAsia="方正仿宋_GBK"/>
          <w:color w:val="000000"/>
          <w:sz w:val="28"/>
        </w:rPr>
        <w:t>（三）工作保障措施</w:t>
      </w:r>
    </w:p>
    <w:p>
      <w:pPr>
        <w:pStyle w:val="23"/>
      </w:pPr>
      <w:r>
        <w:rPr>
          <w:rFonts w:hint="eastAsia"/>
          <w:lang w:eastAsia="zh-CN"/>
        </w:rPr>
        <w:t>1、</w:t>
      </w:r>
      <w:r>
        <w:t>完善制度建设，加强组织领导。将事前评估、目标管理、运行监控、绩效评价、结果应用等各项改革措施，有效融入预算管理的全过程环节，建立健全预算绩效管理的路径和制度体系。成立由主要领导同志任组长的预算绩效工作领导小组，围绕年度总体绩效目标和分类绩效目标，细化工作方案，明确责任主体、实施进度要求，确保如期完成。</w:t>
      </w:r>
    </w:p>
    <w:p>
      <w:pPr>
        <w:pStyle w:val="23"/>
      </w:pPr>
      <w:r>
        <w:rPr>
          <w:rFonts w:hint="eastAsia"/>
          <w:lang w:eastAsia="zh-CN"/>
        </w:rPr>
        <w:t>2、</w:t>
      </w:r>
      <w:r>
        <w:t>狠抓任务落实。按照“谁花钱、谁负责，谁牵总、谁主责”的原则，明确业务单位（科室）预算绩效管理职责。充分调动各项目主管单位（科室）的积极性和主动性，由业务单位（科室）负责科学制定分管项目和内容的中期、终期绩效目标和评价指标，动态收集评估数据信息，开展预算绩效中期评估、终期评价，落实整改措施等。按照领导小组指示，配合领导小组办公室开展分管项目及内容的预算绩效管理具体工作，实现定项目就要抓绩效、分资金就要管绩效，确保财务与业务工作紧密衔接。</w:t>
      </w:r>
    </w:p>
    <w:p>
      <w:pPr>
        <w:pStyle w:val="23"/>
      </w:pPr>
      <w:r>
        <w:rPr>
          <w:rFonts w:hint="eastAsia"/>
          <w:lang w:eastAsia="zh-CN"/>
        </w:rPr>
        <w:t>3、</w:t>
      </w:r>
      <w:r>
        <w:t>强化预算执行。强化财政预算执行的刚性约束，及时启动项目和支付资金，加快履行政府采购程序，优化部门预算支出结构，创新财政资金支出思路，合理改进支出方式，确保按照时间节点完成支出任务。规范财政资金使用和管理，强化内部控制制度建设，更好地发挥财政资金的使用效益。</w:t>
      </w:r>
    </w:p>
    <w:p>
      <w:pPr>
        <w:pStyle w:val="23"/>
      </w:pPr>
      <w:r>
        <w:rPr>
          <w:rFonts w:hint="eastAsia"/>
          <w:lang w:eastAsia="zh-CN"/>
        </w:rPr>
        <w:t>4、</w:t>
      </w:r>
      <w:r>
        <w:t>健全评价机制。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pPr>
        <w:pStyle w:val="23"/>
      </w:pPr>
      <w:r>
        <w:rPr>
          <w:rFonts w:hint="eastAsia"/>
          <w:lang w:eastAsia="zh-CN"/>
        </w:rPr>
        <w:t>5、</w:t>
      </w:r>
      <w:r>
        <w:t>加强内控，规范财务资产管理。加强内部监督制度建设，对绩效运行情况、重大支出决策、资产处置及其他重要经济业务事项的决策和执行进行督导，对会计资料进行内部审计，并配合做好审计、财政监督等外部监督工作，确保财政资金安全有效。完善财务管理制度，严格审批程序，加强固定资产登记、使用和报废处置管理，做到支出合理，物尽其用。</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lang w:eastAsia="zh-CN"/>
        </w:rPr>
        <w:t>无</w:t>
      </w:r>
    </w:p>
    <w:p>
      <w:pPr>
        <w:rPr>
          <w:lang w:eastAsia="zh-CN"/>
        </w:rPr>
      </w:pPr>
    </w:p>
    <w:p>
      <w:pPr>
        <w:rPr>
          <w:lang w:eastAsia="zh-CN"/>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640"/>
        <w:rPr>
          <w:rFonts w:ascii="方正楷体_GBK" w:hAnsi="方正楷体_GBK" w:eastAsia="方正楷体_GBK" w:cs="方正楷体_GBK"/>
          <w:b/>
          <w:color w:val="000000"/>
          <w:sz w:val="32"/>
        </w:rPr>
      </w:pPr>
    </w:p>
    <w:p>
      <w:r>
        <w:rPr>
          <w:rFonts w:ascii="方正仿宋_GBK" w:hAnsi="方正仿宋_GBK" w:eastAsia="方正仿宋_GBK" w:cs="方正仿宋_GBK"/>
          <w:b/>
          <w:color w:val="000000"/>
          <w:sz w:val="28"/>
        </w:rPr>
        <w:t>1、服务体系建设绩效目标表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1.新建农村综合服务社15个，提升基层社2个，土地托管和农业技术服务5000亩，开展产销对接1次。</w:t>
            </w:r>
          </w:p>
        </w:tc>
      </w:tr>
    </w:tbl>
    <w:p>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工作完成率</w:t>
            </w:r>
          </w:p>
        </w:tc>
        <w:tc>
          <w:tcPr>
            <w:tcW w:w="2835" w:type="dxa"/>
            <w:vAlign w:val="center"/>
          </w:tcPr>
          <w:p>
            <w:pPr>
              <w:pStyle w:val="12"/>
            </w:pPr>
            <w:r>
              <w:t>工作完成占年初计划的数</w:t>
            </w:r>
          </w:p>
        </w:tc>
        <w:tc>
          <w:tcPr>
            <w:tcW w:w="2551" w:type="dxa"/>
            <w:vAlign w:val="center"/>
          </w:tcPr>
          <w:p>
            <w:pPr>
              <w:pStyle w:val="12"/>
            </w:pPr>
            <w:r>
              <w:t>≥90%</w:t>
            </w:r>
          </w:p>
        </w:tc>
        <w:tc>
          <w:tcPr>
            <w:tcW w:w="2268" w:type="dxa"/>
            <w:vAlign w:val="center"/>
          </w:tcPr>
          <w:p>
            <w:pPr>
              <w:pStyle w:val="12"/>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预算实际支出</w:t>
            </w:r>
          </w:p>
        </w:tc>
        <w:tc>
          <w:tcPr>
            <w:tcW w:w="2551" w:type="dxa"/>
            <w:vAlign w:val="center"/>
          </w:tcPr>
          <w:p>
            <w:pPr>
              <w:pStyle w:val="12"/>
            </w:pPr>
            <w:r>
              <w:t>≤170000元</w:t>
            </w:r>
          </w:p>
        </w:tc>
        <w:tc>
          <w:tcPr>
            <w:tcW w:w="2268" w:type="dxa"/>
            <w:vAlign w:val="center"/>
          </w:tcPr>
          <w:p>
            <w:pPr>
              <w:pStyle w:val="12"/>
            </w:pPr>
            <w:r>
              <w:rPr>
                <w:rFonts w:hint="eastAsia"/>
                <w:lang w:eastAsia="zh-CN"/>
              </w:rPr>
              <w:t>银</w:t>
            </w:r>
            <w:r>
              <w:t>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建设综合服务社（个）</w:t>
            </w:r>
          </w:p>
        </w:tc>
        <w:tc>
          <w:tcPr>
            <w:tcW w:w="2835" w:type="dxa"/>
            <w:vAlign w:val="center"/>
          </w:tcPr>
          <w:p>
            <w:pPr>
              <w:pStyle w:val="12"/>
            </w:pPr>
            <w:r>
              <w:t>合作建设村级综合服务社数量</w:t>
            </w:r>
          </w:p>
        </w:tc>
        <w:tc>
          <w:tcPr>
            <w:tcW w:w="2551" w:type="dxa"/>
            <w:vAlign w:val="center"/>
          </w:tcPr>
          <w:p>
            <w:pPr>
              <w:pStyle w:val="12"/>
            </w:pPr>
            <w:r>
              <w:t>15个</w:t>
            </w:r>
          </w:p>
        </w:tc>
        <w:tc>
          <w:tcPr>
            <w:tcW w:w="2268" w:type="dxa"/>
            <w:vAlign w:val="center"/>
          </w:tcPr>
          <w:p>
            <w:pPr>
              <w:pStyle w:val="12"/>
            </w:pPr>
            <w:r>
              <w:t>邢台市人民政府印发《关于持续深化供销合作社综合改革助力全面推进乡村振兴的方案》的通知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土地托管和农业技术服务</w:t>
            </w:r>
          </w:p>
        </w:tc>
        <w:tc>
          <w:tcPr>
            <w:tcW w:w="2835" w:type="dxa"/>
            <w:vAlign w:val="center"/>
          </w:tcPr>
          <w:p>
            <w:pPr>
              <w:pStyle w:val="12"/>
            </w:pPr>
            <w:r>
              <w:t>土地托管和农业技术亩数</w:t>
            </w:r>
          </w:p>
        </w:tc>
        <w:tc>
          <w:tcPr>
            <w:tcW w:w="2551" w:type="dxa"/>
            <w:vAlign w:val="center"/>
          </w:tcPr>
          <w:p>
            <w:pPr>
              <w:pStyle w:val="12"/>
            </w:pPr>
            <w:r>
              <w:t>5000亩</w:t>
            </w:r>
          </w:p>
        </w:tc>
        <w:tc>
          <w:tcPr>
            <w:tcW w:w="2268" w:type="dxa"/>
            <w:vAlign w:val="center"/>
          </w:tcPr>
          <w:p>
            <w:pPr>
              <w:pStyle w:val="12"/>
            </w:pPr>
            <w:r>
              <w:t>邢台市人民政府印发《关于持续深化供销合作社综合改革助力全面推进乡村振兴的方案》的通知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提升基层社</w:t>
            </w:r>
          </w:p>
        </w:tc>
        <w:tc>
          <w:tcPr>
            <w:tcW w:w="2835" w:type="dxa"/>
            <w:vAlign w:val="center"/>
          </w:tcPr>
          <w:p>
            <w:pPr>
              <w:pStyle w:val="12"/>
            </w:pPr>
            <w:r>
              <w:t>提升基层社个数</w:t>
            </w:r>
          </w:p>
        </w:tc>
        <w:tc>
          <w:tcPr>
            <w:tcW w:w="2551" w:type="dxa"/>
            <w:vAlign w:val="center"/>
          </w:tcPr>
          <w:p>
            <w:pPr>
              <w:pStyle w:val="12"/>
            </w:pPr>
            <w:r>
              <w:t>2个</w:t>
            </w:r>
          </w:p>
        </w:tc>
        <w:tc>
          <w:tcPr>
            <w:tcW w:w="2268" w:type="dxa"/>
            <w:vAlign w:val="center"/>
          </w:tcPr>
          <w:p>
            <w:pPr>
              <w:pStyle w:val="12"/>
            </w:pPr>
            <w:r>
              <w:t>邢台市人民政府印发《关于持续深化供销合作社综合改革助力全面推进乡村振兴的方案》的通知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项目时效</w:t>
            </w:r>
          </w:p>
        </w:tc>
        <w:tc>
          <w:tcPr>
            <w:tcW w:w="2835" w:type="dxa"/>
            <w:vAlign w:val="center"/>
          </w:tcPr>
          <w:p>
            <w:pPr>
              <w:pStyle w:val="12"/>
            </w:pPr>
            <w:r>
              <w:t>按年计划项目完成的时效</w:t>
            </w:r>
          </w:p>
        </w:tc>
        <w:tc>
          <w:tcPr>
            <w:tcW w:w="2551" w:type="dxa"/>
            <w:vAlign w:val="center"/>
          </w:tcPr>
          <w:p>
            <w:pPr>
              <w:pStyle w:val="12"/>
            </w:pPr>
            <w:r>
              <w:t>年内完成</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提升服务力</w:t>
            </w:r>
          </w:p>
        </w:tc>
        <w:tc>
          <w:tcPr>
            <w:tcW w:w="2835" w:type="dxa"/>
            <w:vAlign w:val="center"/>
          </w:tcPr>
          <w:p>
            <w:pPr>
              <w:pStyle w:val="12"/>
            </w:pPr>
            <w:r>
              <w:t>提升为农服务的能力</w:t>
            </w:r>
          </w:p>
        </w:tc>
        <w:tc>
          <w:tcPr>
            <w:tcW w:w="2551" w:type="dxa"/>
            <w:vAlign w:val="center"/>
          </w:tcPr>
          <w:p>
            <w:pPr>
              <w:pStyle w:val="12"/>
            </w:pPr>
            <w:r>
              <w:t>明显提升</w:t>
            </w:r>
          </w:p>
        </w:tc>
        <w:tc>
          <w:tcPr>
            <w:tcW w:w="2268" w:type="dxa"/>
            <w:vAlign w:val="center"/>
          </w:tcPr>
          <w:p>
            <w:pPr>
              <w:pStyle w:val="12"/>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服务群众覆盖率</w:t>
            </w:r>
          </w:p>
        </w:tc>
        <w:tc>
          <w:tcPr>
            <w:tcW w:w="2835" w:type="dxa"/>
            <w:vAlign w:val="center"/>
          </w:tcPr>
          <w:p>
            <w:pPr>
              <w:pStyle w:val="12"/>
            </w:pPr>
            <w:r>
              <w:t>所辖行政村服务群众覆盖占比</w:t>
            </w:r>
          </w:p>
        </w:tc>
        <w:tc>
          <w:tcPr>
            <w:tcW w:w="2551" w:type="dxa"/>
            <w:vAlign w:val="center"/>
          </w:tcPr>
          <w:p>
            <w:pPr>
              <w:pStyle w:val="12"/>
            </w:pPr>
            <w:r>
              <w:t>≥80%</w:t>
            </w:r>
          </w:p>
        </w:tc>
        <w:tc>
          <w:tcPr>
            <w:tcW w:w="2268" w:type="dxa"/>
            <w:vAlign w:val="center"/>
          </w:tcPr>
          <w:p>
            <w:pPr>
              <w:pStyle w:val="12"/>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业务保障率</w:t>
            </w:r>
          </w:p>
        </w:tc>
        <w:tc>
          <w:tcPr>
            <w:tcW w:w="2835" w:type="dxa"/>
            <w:vAlign w:val="center"/>
          </w:tcPr>
          <w:p>
            <w:pPr>
              <w:pStyle w:val="12"/>
            </w:pPr>
            <w:r>
              <w:t>保障相关业务、工作等开展的情况</w:t>
            </w:r>
          </w:p>
        </w:tc>
        <w:tc>
          <w:tcPr>
            <w:tcW w:w="2551" w:type="dxa"/>
            <w:vAlign w:val="center"/>
          </w:tcPr>
          <w:p>
            <w:pPr>
              <w:pStyle w:val="12"/>
            </w:pPr>
            <w:r>
              <w:t>保障工作正常开展</w:t>
            </w:r>
          </w:p>
        </w:tc>
        <w:tc>
          <w:tcPr>
            <w:tcW w:w="2268" w:type="dxa"/>
            <w:vAlign w:val="center"/>
          </w:tcPr>
          <w:p>
            <w:pPr>
              <w:pStyle w:val="12"/>
            </w:pPr>
            <w:r>
              <w:t>部门工作计划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对所提供服务的满意度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2、落实重新安置军队退役人员待遇绩效目标表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1.确保部门工作正常开展</w:t>
            </w:r>
          </w:p>
          <w:p>
            <w:pPr>
              <w:pStyle w:val="12"/>
            </w:pPr>
            <w:r>
              <w:t>2.保障职工工资待遇及社保缴费及时足额发放缴纳。</w:t>
            </w:r>
          </w:p>
          <w:p>
            <w:pPr>
              <w:pStyle w:val="12"/>
            </w:pPr>
            <w:r>
              <w:t>3.保障职工其他各项待遇及时足额发放。</w:t>
            </w:r>
          </w:p>
        </w:tc>
      </w:tr>
    </w:tbl>
    <w:p>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工资发放人员数量（人）</w:t>
            </w:r>
          </w:p>
        </w:tc>
        <w:tc>
          <w:tcPr>
            <w:tcW w:w="2835" w:type="dxa"/>
            <w:vAlign w:val="center"/>
          </w:tcPr>
          <w:p>
            <w:pPr>
              <w:pStyle w:val="12"/>
            </w:pPr>
            <w:r>
              <w:t>享受待遇的人数</w:t>
            </w:r>
          </w:p>
        </w:tc>
        <w:tc>
          <w:tcPr>
            <w:tcW w:w="2551" w:type="dxa"/>
            <w:vAlign w:val="center"/>
          </w:tcPr>
          <w:p>
            <w:pPr>
              <w:pStyle w:val="12"/>
            </w:pPr>
            <w:r>
              <w:t>2人</w:t>
            </w:r>
          </w:p>
        </w:tc>
        <w:tc>
          <w:tcPr>
            <w:tcW w:w="2268" w:type="dxa"/>
            <w:vAlign w:val="center"/>
          </w:tcPr>
          <w:p>
            <w:pPr>
              <w:pStyle w:val="12"/>
            </w:pPr>
            <w:r>
              <w:t>调资方案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工资发放率（%）</w:t>
            </w:r>
          </w:p>
        </w:tc>
        <w:tc>
          <w:tcPr>
            <w:tcW w:w="2835" w:type="dxa"/>
            <w:vAlign w:val="center"/>
          </w:tcPr>
          <w:p>
            <w:pPr>
              <w:pStyle w:val="12"/>
            </w:pPr>
            <w:r>
              <w:t>实际发放的资金金额占应发放金额的比率</w:t>
            </w:r>
          </w:p>
        </w:tc>
        <w:tc>
          <w:tcPr>
            <w:tcW w:w="2551" w:type="dxa"/>
            <w:vAlign w:val="center"/>
          </w:tcPr>
          <w:p>
            <w:pPr>
              <w:pStyle w:val="12"/>
            </w:pPr>
            <w:r>
              <w:t>100%</w:t>
            </w:r>
          </w:p>
        </w:tc>
        <w:tc>
          <w:tcPr>
            <w:tcW w:w="2268" w:type="dxa"/>
            <w:vAlign w:val="center"/>
          </w:tcPr>
          <w:p>
            <w:pPr>
              <w:pStyle w:val="12"/>
            </w:pPr>
            <w:r>
              <w:t>工资花名册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工资发放时间</w:t>
            </w:r>
          </w:p>
        </w:tc>
        <w:tc>
          <w:tcPr>
            <w:tcW w:w="2835" w:type="dxa"/>
            <w:vAlign w:val="center"/>
          </w:tcPr>
          <w:p>
            <w:pPr>
              <w:pStyle w:val="12"/>
            </w:pPr>
            <w:r>
              <w:t>每个月按标准发放工资的时间</w:t>
            </w:r>
          </w:p>
        </w:tc>
        <w:tc>
          <w:tcPr>
            <w:tcW w:w="2551" w:type="dxa"/>
            <w:vAlign w:val="center"/>
          </w:tcPr>
          <w:p>
            <w:pPr>
              <w:pStyle w:val="12"/>
            </w:pPr>
            <w:r>
              <w:t>每月20日前发放到位</w:t>
            </w:r>
          </w:p>
        </w:tc>
        <w:tc>
          <w:tcPr>
            <w:tcW w:w="2268"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人均工资标准</w:t>
            </w:r>
          </w:p>
        </w:tc>
        <w:tc>
          <w:tcPr>
            <w:tcW w:w="2835" w:type="dxa"/>
            <w:vAlign w:val="center"/>
          </w:tcPr>
          <w:p>
            <w:pPr>
              <w:pStyle w:val="12"/>
            </w:pPr>
            <w:r>
              <w:t>每人每月平均发放工资、社保费及各项补贴标准</w:t>
            </w:r>
          </w:p>
        </w:tc>
        <w:tc>
          <w:tcPr>
            <w:tcW w:w="2551" w:type="dxa"/>
            <w:vAlign w:val="center"/>
          </w:tcPr>
          <w:p>
            <w:pPr>
              <w:pStyle w:val="12"/>
            </w:pPr>
            <w:r>
              <w:t>≤7704元/人/月</w:t>
            </w:r>
          </w:p>
        </w:tc>
        <w:tc>
          <w:tcPr>
            <w:tcW w:w="2268" w:type="dxa"/>
            <w:vAlign w:val="center"/>
          </w:tcPr>
          <w:p>
            <w:pPr>
              <w:pStyle w:val="12"/>
            </w:pPr>
            <w:r>
              <w:t>工资发放表及社保缴费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工作完成率</w:t>
            </w:r>
          </w:p>
        </w:tc>
        <w:tc>
          <w:tcPr>
            <w:tcW w:w="2835" w:type="dxa"/>
            <w:vAlign w:val="center"/>
          </w:tcPr>
          <w:p>
            <w:pPr>
              <w:pStyle w:val="12"/>
            </w:pPr>
            <w:r>
              <w:t>实际完成工作量占应完成工作量的比率</w:t>
            </w:r>
          </w:p>
        </w:tc>
        <w:tc>
          <w:tcPr>
            <w:tcW w:w="2551" w:type="dxa"/>
            <w:vAlign w:val="center"/>
          </w:tcPr>
          <w:p>
            <w:pPr>
              <w:pStyle w:val="12"/>
            </w:pPr>
            <w:r>
              <w:t>≥95%</w:t>
            </w:r>
          </w:p>
        </w:tc>
        <w:tc>
          <w:tcPr>
            <w:tcW w:w="2268"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人员正常可持续服务社会</w:t>
            </w:r>
          </w:p>
        </w:tc>
        <w:tc>
          <w:tcPr>
            <w:tcW w:w="2835" w:type="dxa"/>
            <w:vAlign w:val="center"/>
          </w:tcPr>
          <w:p>
            <w:pPr>
              <w:pStyle w:val="12"/>
            </w:pPr>
            <w:r>
              <w:t>不因工资及社保缴纳等发放不到位造成人员流失</w:t>
            </w:r>
          </w:p>
        </w:tc>
        <w:tc>
          <w:tcPr>
            <w:tcW w:w="2551" w:type="dxa"/>
            <w:vAlign w:val="center"/>
          </w:tcPr>
          <w:p>
            <w:pPr>
              <w:pStyle w:val="12"/>
            </w:pPr>
            <w:r>
              <w:t>不发生人员流失</w:t>
            </w:r>
          </w:p>
        </w:tc>
        <w:tc>
          <w:tcPr>
            <w:tcW w:w="2268"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考核合格率</w:t>
            </w:r>
          </w:p>
        </w:tc>
        <w:tc>
          <w:tcPr>
            <w:tcW w:w="2835" w:type="dxa"/>
            <w:vAlign w:val="center"/>
          </w:tcPr>
          <w:p>
            <w:pPr>
              <w:pStyle w:val="12"/>
            </w:pPr>
            <w:r>
              <w:t>考核合格人数占总人数的比率</w:t>
            </w:r>
          </w:p>
        </w:tc>
        <w:tc>
          <w:tcPr>
            <w:tcW w:w="2551" w:type="dxa"/>
            <w:vAlign w:val="center"/>
          </w:tcPr>
          <w:p>
            <w:pPr>
              <w:pStyle w:val="12"/>
            </w:pPr>
            <w:r>
              <w:t>≥95%</w:t>
            </w:r>
          </w:p>
        </w:tc>
        <w:tc>
          <w:tcPr>
            <w:tcW w:w="2268" w:type="dxa"/>
            <w:vAlign w:val="center"/>
          </w:tcPr>
          <w:p>
            <w:pPr>
              <w:pStyle w:val="12"/>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保障工作正常运转，提升服务社会能力</w:t>
            </w:r>
          </w:p>
        </w:tc>
        <w:tc>
          <w:tcPr>
            <w:tcW w:w="2551" w:type="dxa"/>
            <w:vAlign w:val="center"/>
          </w:tcPr>
          <w:p>
            <w:pPr>
              <w:pStyle w:val="12"/>
            </w:pPr>
            <w:r>
              <w:t>明显提升</w:t>
            </w:r>
          </w:p>
        </w:tc>
        <w:tc>
          <w:tcPr>
            <w:tcW w:w="2268" w:type="dxa"/>
            <w:vAlign w:val="center"/>
          </w:tcPr>
          <w:p>
            <w:pPr>
              <w:pStyle w:val="12"/>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2835" w:type="dxa"/>
            <w:vAlign w:val="center"/>
          </w:tcPr>
          <w:p>
            <w:pPr>
              <w:pStyle w:val="12"/>
            </w:pPr>
            <w:r>
              <w:t>调查中满意人数占总人数的比率</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3、农村产权交易服务绩效目标表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1.为农村及涉农各类产权流转交易提供政策咨询、产权登记、产权交易、产权抵贷、产权评估、产权收储、合同鉴证等专业化服务。</w:t>
            </w:r>
          </w:p>
        </w:tc>
      </w:tr>
    </w:tbl>
    <w:p>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服务乡村个数</w:t>
            </w:r>
          </w:p>
        </w:tc>
        <w:tc>
          <w:tcPr>
            <w:tcW w:w="2835" w:type="dxa"/>
            <w:vAlign w:val="center"/>
          </w:tcPr>
          <w:p>
            <w:pPr>
              <w:pStyle w:val="12"/>
            </w:pPr>
            <w:r>
              <w:t>完成农村产权交易服务覆盖乡村的个数</w:t>
            </w:r>
          </w:p>
        </w:tc>
        <w:tc>
          <w:tcPr>
            <w:tcW w:w="2551" w:type="dxa"/>
            <w:vAlign w:val="center"/>
          </w:tcPr>
          <w:p>
            <w:pPr>
              <w:pStyle w:val="12"/>
            </w:pPr>
            <w:r>
              <w:t>≥253个</w:t>
            </w:r>
          </w:p>
        </w:tc>
        <w:tc>
          <w:tcPr>
            <w:tcW w:w="2268" w:type="dxa"/>
            <w:vAlign w:val="center"/>
          </w:tcPr>
          <w:p>
            <w:pPr>
              <w:pStyle w:val="12"/>
            </w:pPr>
            <w:r>
              <w:t>依据平政办发[2019]5号《关于印发平乡县农村产权交易管理暂行办法的通知》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服务质量</w:t>
            </w:r>
          </w:p>
        </w:tc>
        <w:tc>
          <w:tcPr>
            <w:tcW w:w="2835" w:type="dxa"/>
            <w:vAlign w:val="center"/>
          </w:tcPr>
          <w:p>
            <w:pPr>
              <w:pStyle w:val="12"/>
            </w:pPr>
            <w:r>
              <w:t>产权交易服务的质量</w:t>
            </w:r>
          </w:p>
        </w:tc>
        <w:tc>
          <w:tcPr>
            <w:tcW w:w="2551" w:type="dxa"/>
            <w:vAlign w:val="center"/>
          </w:tcPr>
          <w:p>
            <w:pPr>
              <w:pStyle w:val="12"/>
            </w:pPr>
            <w:r>
              <w:t>优、良</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项目完成时效</w:t>
            </w:r>
          </w:p>
        </w:tc>
        <w:tc>
          <w:tcPr>
            <w:tcW w:w="2835" w:type="dxa"/>
            <w:vAlign w:val="center"/>
          </w:tcPr>
          <w:p>
            <w:pPr>
              <w:pStyle w:val="12"/>
            </w:pPr>
            <w:r>
              <w:t>按年计划项目完成的时效</w:t>
            </w:r>
          </w:p>
        </w:tc>
        <w:tc>
          <w:tcPr>
            <w:tcW w:w="2551" w:type="dxa"/>
            <w:vAlign w:val="center"/>
          </w:tcPr>
          <w:p>
            <w:pPr>
              <w:pStyle w:val="12"/>
            </w:pPr>
            <w:r>
              <w:t>年度内完成</w:t>
            </w:r>
          </w:p>
        </w:tc>
        <w:tc>
          <w:tcPr>
            <w:tcW w:w="2268"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控制农村产权交易服务费用成本</w:t>
            </w:r>
          </w:p>
        </w:tc>
        <w:tc>
          <w:tcPr>
            <w:tcW w:w="2551" w:type="dxa"/>
            <w:vAlign w:val="center"/>
          </w:tcPr>
          <w:p>
            <w:pPr>
              <w:pStyle w:val="12"/>
            </w:pPr>
            <w:r>
              <w:t>≤20000成本控制在2万元以内</w:t>
            </w:r>
          </w:p>
        </w:tc>
        <w:tc>
          <w:tcPr>
            <w:tcW w:w="2268"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工作环境提升</w:t>
            </w:r>
          </w:p>
        </w:tc>
        <w:tc>
          <w:tcPr>
            <w:tcW w:w="2835" w:type="dxa"/>
            <w:vAlign w:val="center"/>
          </w:tcPr>
          <w:p>
            <w:pPr>
              <w:pStyle w:val="12"/>
            </w:pPr>
            <w:r>
              <w:t>通过购置办公设备，提升工作便利</w:t>
            </w:r>
          </w:p>
        </w:tc>
        <w:tc>
          <w:tcPr>
            <w:tcW w:w="2551" w:type="dxa"/>
            <w:vAlign w:val="center"/>
          </w:tcPr>
          <w:p>
            <w:pPr>
              <w:pStyle w:val="12"/>
            </w:pPr>
            <w:r>
              <w:t>明业提升</w:t>
            </w:r>
          </w:p>
        </w:tc>
        <w:tc>
          <w:tcPr>
            <w:tcW w:w="2268" w:type="dxa"/>
            <w:vAlign w:val="center"/>
          </w:tcPr>
          <w:p>
            <w:pPr>
              <w:pStyle w:val="12"/>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可持续性影响</w:t>
            </w:r>
          </w:p>
        </w:tc>
        <w:tc>
          <w:tcPr>
            <w:tcW w:w="2835" w:type="dxa"/>
            <w:vAlign w:val="center"/>
          </w:tcPr>
          <w:p>
            <w:pPr>
              <w:pStyle w:val="12"/>
            </w:pPr>
            <w:r>
              <w:t>推进各项工作任务</w:t>
            </w:r>
          </w:p>
        </w:tc>
        <w:tc>
          <w:tcPr>
            <w:tcW w:w="2551" w:type="dxa"/>
            <w:vAlign w:val="center"/>
          </w:tcPr>
          <w:p>
            <w:pPr>
              <w:pStyle w:val="12"/>
            </w:pPr>
            <w:r>
              <w:t>部门工作正常可持续运转</w:t>
            </w:r>
          </w:p>
        </w:tc>
        <w:tc>
          <w:tcPr>
            <w:tcW w:w="2268" w:type="dxa"/>
            <w:vAlign w:val="center"/>
          </w:tcPr>
          <w:p>
            <w:pPr>
              <w:pStyle w:val="12"/>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交易服务水平</w:t>
            </w:r>
          </w:p>
        </w:tc>
        <w:tc>
          <w:tcPr>
            <w:tcW w:w="2835" w:type="dxa"/>
            <w:vAlign w:val="center"/>
          </w:tcPr>
          <w:p>
            <w:pPr>
              <w:pStyle w:val="12"/>
            </w:pPr>
            <w:r>
              <w:t>反映提供交易服务的能力和效果</w:t>
            </w:r>
          </w:p>
        </w:tc>
        <w:tc>
          <w:tcPr>
            <w:tcW w:w="2551" w:type="dxa"/>
            <w:vAlign w:val="center"/>
          </w:tcPr>
          <w:p>
            <w:pPr>
              <w:pStyle w:val="12"/>
            </w:pPr>
            <w:r>
              <w:t>明显提高</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保持工作稳定、持续开展实现率</w:t>
            </w:r>
          </w:p>
        </w:tc>
        <w:tc>
          <w:tcPr>
            <w:tcW w:w="2835" w:type="dxa"/>
            <w:vAlign w:val="center"/>
          </w:tcPr>
          <w:p>
            <w:pPr>
              <w:pStyle w:val="12"/>
            </w:pPr>
            <w:r>
              <w:t>有效保证业务工作顺利开展</w:t>
            </w:r>
          </w:p>
        </w:tc>
        <w:tc>
          <w:tcPr>
            <w:tcW w:w="2551" w:type="dxa"/>
            <w:vAlign w:val="center"/>
          </w:tcPr>
          <w:p>
            <w:pPr>
              <w:pStyle w:val="12"/>
            </w:pPr>
            <w:r>
              <w:t>≥95%</w:t>
            </w:r>
          </w:p>
        </w:tc>
        <w:tc>
          <w:tcPr>
            <w:tcW w:w="2268" w:type="dxa"/>
            <w:vAlign w:val="center"/>
          </w:tcPr>
          <w:p>
            <w:pPr>
              <w:pStyle w:val="12"/>
            </w:pPr>
            <w:r>
              <w:t>依据平政办发[2019]5号《关于印发平乡县农村产权交易管理暂行办法的通知》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农户满意度</w:t>
            </w:r>
          </w:p>
        </w:tc>
        <w:tc>
          <w:tcPr>
            <w:tcW w:w="2835" w:type="dxa"/>
            <w:vAlign w:val="center"/>
          </w:tcPr>
          <w:p>
            <w:pPr>
              <w:pStyle w:val="12"/>
            </w:pPr>
            <w:r>
              <w:t>调查中满意和较满意的农户数量占全部调查户数比率</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4、综合事务管理绩效目标表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1.紧紧围绕机关中心工作，确保各项工作谋划、实施、督导落实到位顺利开展，确保机关信息畅通、工作有序、高效、正常运转。</w:t>
            </w:r>
            <w:r>
              <w:tab/>
            </w:r>
            <w:r>
              <w:tab/>
            </w:r>
            <w:r>
              <w:tab/>
            </w:r>
            <w:r>
              <w:tab/>
            </w:r>
            <w:r>
              <w:tab/>
            </w:r>
            <w:r>
              <w:tab/>
            </w:r>
          </w:p>
          <w:p>
            <w:pPr>
              <w:pStyle w:val="12"/>
            </w:pPr>
          </w:p>
        </w:tc>
      </w:tr>
    </w:tbl>
    <w:p>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保障业务运行</w:t>
            </w:r>
          </w:p>
        </w:tc>
        <w:tc>
          <w:tcPr>
            <w:tcW w:w="2835" w:type="dxa"/>
            <w:vAlign w:val="center"/>
          </w:tcPr>
          <w:p>
            <w:pPr>
              <w:pStyle w:val="12"/>
            </w:pPr>
            <w:r>
              <w:t>保障各项业务正常运行的月数</w:t>
            </w:r>
          </w:p>
        </w:tc>
        <w:tc>
          <w:tcPr>
            <w:tcW w:w="2551" w:type="dxa"/>
            <w:vAlign w:val="center"/>
          </w:tcPr>
          <w:p>
            <w:pPr>
              <w:pStyle w:val="12"/>
            </w:pPr>
            <w:r>
              <w:t>12个月</w:t>
            </w:r>
          </w:p>
        </w:tc>
        <w:tc>
          <w:tcPr>
            <w:tcW w:w="2268" w:type="dxa"/>
            <w:vAlign w:val="center"/>
          </w:tcPr>
          <w:p>
            <w:pPr>
              <w:pStyle w:val="12"/>
            </w:pPr>
            <w:r>
              <w:t>依据部门职责和工作计划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综合行政事务完成率</w:t>
            </w:r>
          </w:p>
        </w:tc>
        <w:tc>
          <w:tcPr>
            <w:tcW w:w="2551" w:type="dxa"/>
            <w:vAlign w:val="center"/>
          </w:tcPr>
          <w:p>
            <w:pPr>
              <w:pStyle w:val="12"/>
            </w:pPr>
            <w:r>
              <w:t>≥90%</w:t>
            </w:r>
          </w:p>
        </w:tc>
        <w:tc>
          <w:tcPr>
            <w:tcW w:w="2268" w:type="dxa"/>
            <w:vAlign w:val="center"/>
          </w:tcPr>
          <w:p>
            <w:pPr>
              <w:pStyle w:val="12"/>
            </w:pPr>
            <w:r>
              <w:t>依据部门职责和工作计划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2835" w:type="dxa"/>
            <w:vAlign w:val="center"/>
          </w:tcPr>
          <w:p>
            <w:pPr>
              <w:pStyle w:val="12"/>
            </w:pPr>
            <w:r>
              <w:t>会议精神传达及时率</w:t>
            </w:r>
          </w:p>
        </w:tc>
        <w:tc>
          <w:tcPr>
            <w:tcW w:w="2551" w:type="dxa"/>
            <w:vAlign w:val="center"/>
          </w:tcPr>
          <w:p>
            <w:pPr>
              <w:pStyle w:val="12"/>
            </w:pPr>
            <w:r>
              <w:t>≥95%</w:t>
            </w:r>
          </w:p>
        </w:tc>
        <w:tc>
          <w:tcPr>
            <w:tcW w:w="2268" w:type="dxa"/>
            <w:vAlign w:val="center"/>
          </w:tcPr>
          <w:p>
            <w:pPr>
              <w:pStyle w:val="12"/>
            </w:pPr>
            <w:r>
              <w:t>文件登记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合理安排预算，减少不必要开支</w:t>
            </w:r>
          </w:p>
        </w:tc>
        <w:tc>
          <w:tcPr>
            <w:tcW w:w="2551" w:type="dxa"/>
            <w:vAlign w:val="center"/>
          </w:tcPr>
          <w:p>
            <w:pPr>
              <w:pStyle w:val="12"/>
            </w:pPr>
            <w:r>
              <w:t>≤150000元</w:t>
            </w:r>
          </w:p>
        </w:tc>
        <w:tc>
          <w:tcPr>
            <w:tcW w:w="2268"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可持续影响</w:t>
            </w:r>
          </w:p>
        </w:tc>
        <w:tc>
          <w:tcPr>
            <w:tcW w:w="2835" w:type="dxa"/>
            <w:vAlign w:val="center"/>
          </w:tcPr>
          <w:p>
            <w:pPr>
              <w:pStyle w:val="12"/>
            </w:pPr>
            <w:r>
              <w:t>保障相关业务、工作等持续开展</w:t>
            </w:r>
          </w:p>
        </w:tc>
        <w:tc>
          <w:tcPr>
            <w:tcW w:w="2551" w:type="dxa"/>
            <w:vAlign w:val="center"/>
          </w:tcPr>
          <w:p>
            <w:pPr>
              <w:pStyle w:val="12"/>
            </w:pPr>
            <w:r>
              <w:t>保障机关工作正常开展</w:t>
            </w:r>
          </w:p>
        </w:tc>
        <w:tc>
          <w:tcPr>
            <w:tcW w:w="2268" w:type="dxa"/>
            <w:vAlign w:val="center"/>
          </w:tcPr>
          <w:p>
            <w:pPr>
              <w:pStyle w:val="12"/>
            </w:pPr>
            <w:r>
              <w:t>依据部门职责和工作计划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保障工作正常运转，提升服务社会能力</w:t>
            </w:r>
          </w:p>
        </w:tc>
        <w:tc>
          <w:tcPr>
            <w:tcW w:w="2551" w:type="dxa"/>
            <w:vAlign w:val="center"/>
          </w:tcPr>
          <w:p>
            <w:pPr>
              <w:pStyle w:val="12"/>
            </w:pPr>
            <w:r>
              <w:t>≥90%</w:t>
            </w:r>
          </w:p>
        </w:tc>
        <w:tc>
          <w:tcPr>
            <w:tcW w:w="2268" w:type="dxa"/>
            <w:vAlign w:val="center"/>
          </w:tcPr>
          <w:p>
            <w:pPr>
              <w:pStyle w:val="12"/>
            </w:pPr>
            <w:r>
              <w:t>依据部门职责和工作计划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2835" w:type="dxa"/>
            <w:vAlign w:val="center"/>
          </w:tcPr>
          <w:p>
            <w:pPr>
              <w:pStyle w:val="12"/>
            </w:pPr>
            <w:r>
              <w:t>通过完成综合事务各项工作促进社会稳定水平</w:t>
            </w:r>
          </w:p>
        </w:tc>
        <w:tc>
          <w:tcPr>
            <w:tcW w:w="2551" w:type="dxa"/>
            <w:vAlign w:val="center"/>
          </w:tcPr>
          <w:p>
            <w:pPr>
              <w:pStyle w:val="12"/>
            </w:pPr>
            <w:r>
              <w:t>逐步提高</w:t>
            </w:r>
          </w:p>
        </w:tc>
        <w:tc>
          <w:tcPr>
            <w:tcW w:w="2268" w:type="dxa"/>
            <w:vAlign w:val="center"/>
          </w:tcPr>
          <w:p>
            <w:pPr>
              <w:pStyle w:val="12"/>
            </w:pPr>
            <w:r>
              <w:t>依据部门职责和工作计划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单位考核情况</w:t>
            </w:r>
          </w:p>
        </w:tc>
        <w:tc>
          <w:tcPr>
            <w:tcW w:w="2835" w:type="dxa"/>
            <w:vAlign w:val="center"/>
          </w:tcPr>
          <w:p>
            <w:pPr>
              <w:pStyle w:val="12"/>
            </w:pPr>
            <w:r>
              <w:t>单位年终考核结果</w:t>
            </w:r>
          </w:p>
        </w:tc>
        <w:tc>
          <w:tcPr>
            <w:tcW w:w="2551" w:type="dxa"/>
            <w:vAlign w:val="center"/>
          </w:tcPr>
          <w:p>
            <w:pPr>
              <w:pStyle w:val="12"/>
            </w:pPr>
            <w:r>
              <w:t>合格及以上等次</w:t>
            </w:r>
          </w:p>
        </w:tc>
        <w:tc>
          <w:tcPr>
            <w:tcW w:w="2268" w:type="dxa"/>
            <w:vAlign w:val="center"/>
          </w:tcPr>
          <w:p>
            <w:pPr>
              <w:pStyle w:val="12"/>
            </w:pPr>
            <w:r>
              <w:t>年终组织部门考核结果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领导满意度</w:t>
            </w:r>
          </w:p>
        </w:tc>
        <w:tc>
          <w:tcPr>
            <w:tcW w:w="2835" w:type="dxa"/>
            <w:vAlign w:val="center"/>
          </w:tcPr>
          <w:p>
            <w:pPr>
              <w:pStyle w:val="12"/>
            </w:pPr>
            <w:r>
              <w:t>领导对本年度工作的满意度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2022年，平乡县供销合作社联合社安排政府采购预算0.00万元。具体内容见下表。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975平乡县供销合作社联合社</w:t>
            </w:r>
          </w:p>
        </w:tc>
        <w:tc>
          <w:tcPr>
            <w:tcW w:w="8676"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w:t>
      </w:r>
      <w:r>
        <w:rPr>
          <w:rFonts w:hint="eastAsia" w:ascii="方正书宋_GBK" w:hAnsi="方正书宋_GBK" w:eastAsia="方正书宋_GBK" w:cs="方正书宋_GBK"/>
          <w:color w:val="000000"/>
          <w:sz w:val="21"/>
          <w:lang w:eastAsia="zh-CN"/>
        </w:rPr>
        <w:t>其他</w:t>
      </w:r>
      <w:bookmarkStart w:id="18" w:name="_GoBack"/>
      <w:bookmarkEnd w:id="18"/>
      <w:r>
        <w:rPr>
          <w:rFonts w:ascii="方正书宋_GBK" w:hAnsi="方正书宋_GBK" w:eastAsia="方正书宋_GBK" w:cs="方正书宋_GBK"/>
          <w:color w:val="000000"/>
          <w:sz w:val="21"/>
        </w:rPr>
        <w:t>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r>
        <w:rPr>
          <w:rFonts w:hint="eastAsia" w:eastAsia="方正仿宋_GBK"/>
          <w:color w:val="000000"/>
          <w:sz w:val="28"/>
          <w:lang w:eastAsia="zh-CN"/>
        </w:rPr>
        <w:t xml:space="preserve">        </w:t>
      </w:r>
      <w:r>
        <w:rPr>
          <w:rFonts w:eastAsia="方正仿宋_GBK"/>
          <w:color w:val="000000"/>
          <w:sz w:val="28"/>
        </w:rPr>
        <w:t>平乡县供销合作社联合社上年末固定资产金额为2.73万元（详见下表）。本年度拟购置固定资产总额为1.80万元，</w:t>
      </w:r>
      <w:r>
        <w:rPr>
          <w:rFonts w:hint="eastAsia" w:eastAsia="方正仿宋_GBK"/>
          <w:color w:val="000000"/>
          <w:sz w:val="28"/>
          <w:lang w:eastAsia="zh-CN"/>
        </w:rPr>
        <w:t>主要为计算机设备、办公家具、空调、电视机、投影仪等。</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975平乡县供销合作社联合社</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57</w:t>
            </w:r>
          </w:p>
        </w:tc>
        <w:tc>
          <w:tcPr>
            <w:tcW w:w="2835" w:type="dxa"/>
            <w:vAlign w:val="center"/>
          </w:tcPr>
          <w:p>
            <w:pPr>
              <w:pStyle w:val="11"/>
            </w:pPr>
            <w:r>
              <w:t>2.73</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方正仿宋_GBK"/>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r>
        <w:rPr>
          <w:rFonts w:hint="eastAsia" w:eastAsia="方正仿宋_GBK"/>
          <w:color w:val="000000"/>
          <w:sz w:val="28"/>
          <w:lang w:eastAsia="zh-CN"/>
        </w:rPr>
        <w:t>。</w:t>
      </w:r>
    </w:p>
    <w:p>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377256"/>
    <w:rsid w:val="00377256"/>
    <w:rsid w:val="00385F2D"/>
    <w:rsid w:val="007D0F53"/>
    <w:rsid w:val="00D64BEC"/>
    <w:rsid w:val="00E52EFE"/>
    <w:rsid w:val="092E4934"/>
    <w:rsid w:val="0C524D8A"/>
    <w:rsid w:val="0ED60FF2"/>
    <w:rsid w:val="0EF57A79"/>
    <w:rsid w:val="13040A2B"/>
    <w:rsid w:val="166E684A"/>
    <w:rsid w:val="1AB33345"/>
    <w:rsid w:val="1D960159"/>
    <w:rsid w:val="21394E40"/>
    <w:rsid w:val="239D67C5"/>
    <w:rsid w:val="276B4F59"/>
    <w:rsid w:val="27BE750E"/>
    <w:rsid w:val="2BFC1716"/>
    <w:rsid w:val="2CCC3A63"/>
    <w:rsid w:val="316C3D58"/>
    <w:rsid w:val="332266B2"/>
    <w:rsid w:val="34BE772B"/>
    <w:rsid w:val="3AF73598"/>
    <w:rsid w:val="3CA10392"/>
    <w:rsid w:val="44091B8D"/>
    <w:rsid w:val="45412359"/>
    <w:rsid w:val="50DF7DD6"/>
    <w:rsid w:val="577172F3"/>
    <w:rsid w:val="5797386A"/>
    <w:rsid w:val="5C7927AC"/>
    <w:rsid w:val="5EDE563A"/>
    <w:rsid w:val="66C60526"/>
    <w:rsid w:val="69D50C48"/>
    <w:rsid w:val="6D240567"/>
    <w:rsid w:val="6E972ABE"/>
    <w:rsid w:val="70636135"/>
    <w:rsid w:val="75D01EFB"/>
    <w:rsid w:val="7B5D0004"/>
    <w:rsid w:val="7C43544C"/>
    <w:rsid w:val="7C891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目录 21"/>
    <w:basedOn w:val="1"/>
    <w:qFormat/>
    <w:uiPriority w:val="0"/>
    <w:pPr>
      <w:ind w:left="240"/>
    </w:pPr>
  </w:style>
  <w:style w:type="paragraph" w:customStyle="1" w:styleId="30">
    <w:name w:val="目录 31"/>
    <w:basedOn w:val="1"/>
    <w:qFormat/>
    <w:uiPriority w:val="0"/>
    <w:pPr>
      <w:ind w:left="480"/>
    </w:pPr>
  </w:style>
  <w:style w:type="paragraph" w:customStyle="1" w:styleId="31">
    <w:name w:val="目录 41"/>
    <w:basedOn w:val="1"/>
    <w:qFormat/>
    <w:uiPriority w:val="0"/>
    <w:pPr>
      <w:ind w:left="720"/>
    </w:pPr>
  </w:style>
  <w:style w:type="paragraph" w:customStyle="1" w:styleId="32">
    <w:name w:val="目录 1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1" Target="../customXml/item6.xml" Type="http://schemas.openxmlformats.org/officeDocument/2006/relationships/customXml"/><Relationship Id="rId12" Target="../customXml/item7.xml" Type="http://schemas.openxmlformats.org/officeDocument/2006/relationships/customXml"/><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customXml/item23.xml" Type="http://schemas.openxmlformats.org/officeDocument/2006/relationships/customXml"/><Relationship Id="rId29" Target="../customXml/item2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1" Target="../customXml/item26.xml" Type="http://schemas.openxmlformats.org/officeDocument/2006/relationships/customXml"/><Relationship Id="rId32" Target="../customXml/item27.xml" Type="http://schemas.openxmlformats.org/officeDocument/2006/relationships/customXml"/><Relationship Id="rId33" Target="../customXml/item28.xml" Type="http://schemas.openxmlformats.org/officeDocument/2006/relationships/customXml"/><Relationship Id="rId34" Target="../customXml/item29.xml" Type="http://schemas.openxmlformats.org/officeDocument/2006/relationships/customXml"/><Relationship Id="rId35" Target="../customXml/item30.xml" Type="http://schemas.openxmlformats.org/officeDocument/2006/relationships/customXml"/><Relationship Id="rId36" Target="fontTable.xml" Type="http://schemas.openxmlformats.org/officeDocument/2006/relationships/fontTable"/><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customXml/item2.xml" Type="http://schemas.openxmlformats.org/officeDocument/2006/relationships/customXml"/><Relationship Id="rId8" Target="../customXml/item3.xml" Type="http://schemas.openxmlformats.org/officeDocument/2006/relationships/customXml"/><Relationship Id="rId9" Target="../customXml/item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2022-03-08T09:32:22Z</dcterms:created>
  <dcterms:modified xsi:type="dcterms:W3CDTF">2022-03-08T01:32:22Z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2022-03-08T09:32:22Z</dcterms:created>
  <dcterms:modified xsi:type="dcterms:W3CDTF">2022-03-08T01:32:22Z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2022-03-08T09:32:22Z</dcterms:created>
  <dcterms:modified xsi:type="dcterms:W3CDTF">2022-03-08T01:32:22Z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2022-03-08T09:32:19Z</dcterms:created>
  <dcterms:modified xsi:type="dcterms:W3CDTF">2022-03-08T01:32:19Z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2022-03-08T09:32:21Z</dcterms:created>
  <dcterms:modified xsi:type="dcterms:W3CDTF">2022-03-08T01:32:21Z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2022-03-08T09:32:24Z</dcterms:created>
  <dcterms:modified xsi:type="dcterms:W3CDTF">2022-03-08T01:32:24Z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2022-03-08T09:32:18Z</dcterms:created>
  <dcterms:modified xsi:type="dcterms:W3CDTF">2022-03-08T01:32:18Z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2022-03-08T09:32:19Z</dcterms:created>
  <dcterms:modified xsi:type="dcterms:W3CDTF">2022-03-08T01:32:19Z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2022-03-08T09:32:18Z</dcterms:created>
  <dcterms:modified xsi:type="dcterms:W3CDTF">2022-03-08T01:32:18Z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2022-03-08T09:32:19Z</dcterms:created>
  <dcterms:modified xsi:type="dcterms:W3CDTF">2022-03-08T01:32:18Z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2022-03-08T09:32:19Z</dcterms:created>
  <dcterms:modified xsi:type="dcterms:W3CDTF">2022-03-08T01:32:19Z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2022-03-08T09:32:21Z</dcterms:created>
  <dcterms:modified xsi:type="dcterms:W3CDTF">2022-03-08T01:32:21Z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2022-03-08T09:32:23Z</dcterms:created>
  <dcterms:modified xsi:type="dcterms:W3CDTF">2022-03-08T01:32:23Z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2022-03-08T09:32:19Z</dcterms:created>
  <dcterms:modified xsi:type="dcterms:W3CDTF">2022-03-08T01:32:19Z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2022-03-08T09:32:22Z</dcterms:created>
  <dcterms:modified xsi:type="dcterms:W3CDTF">2022-03-08T01:32:22Z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0F22DBE-EEDE-42F2-AAA4-F80E03C5612A}">
  <ds:schemaRefs/>
</ds:datastoreItem>
</file>

<file path=customXml/itemProps10.xml><?xml version="1.0" encoding="utf-8"?>
<ds:datastoreItem xmlns:ds="http://schemas.openxmlformats.org/officeDocument/2006/customXml" ds:itemID="{443A8EBA-FE7A-46F1-9911-C13B97A4F94E}">
  <ds:schemaRefs/>
</ds:datastoreItem>
</file>

<file path=customXml/itemProps11.xml><?xml version="1.0" encoding="utf-8"?>
<ds:datastoreItem xmlns:ds="http://schemas.openxmlformats.org/officeDocument/2006/customXml" ds:itemID="{08A79F8F-8159-4B21-895C-7293C77A5436}">
  <ds:schemaRefs/>
</ds:datastoreItem>
</file>

<file path=customXml/itemProps12.xml><?xml version="1.0" encoding="utf-8"?>
<ds:datastoreItem xmlns:ds="http://schemas.openxmlformats.org/officeDocument/2006/customXml" ds:itemID="{1DDCAAD4-15FB-4C23-B569-7840A6FFD9E0}">
  <ds:schemaRefs/>
</ds:datastoreItem>
</file>

<file path=customXml/itemProps13.xml><?xml version="1.0" encoding="utf-8"?>
<ds:datastoreItem xmlns:ds="http://schemas.openxmlformats.org/officeDocument/2006/customXml" ds:itemID="{78BA030C-B45A-4E4C-8753-F4FDCE097D80}">
  <ds:schemaRefs/>
</ds:datastoreItem>
</file>

<file path=customXml/itemProps14.xml><?xml version="1.0" encoding="utf-8"?>
<ds:datastoreItem xmlns:ds="http://schemas.openxmlformats.org/officeDocument/2006/customXml" ds:itemID="{8C1127B1-CFE6-40BF-A438-35C8AE8FDC25}">
  <ds:schemaRefs/>
</ds:datastoreItem>
</file>

<file path=customXml/itemProps15.xml><?xml version="1.0" encoding="utf-8"?>
<ds:datastoreItem xmlns:ds="http://schemas.openxmlformats.org/officeDocument/2006/customXml" ds:itemID="{C4817FB6-7EC8-45FD-B780-369646625E2F}">
  <ds:schemaRefs/>
</ds:datastoreItem>
</file>

<file path=customXml/itemProps16.xml><?xml version="1.0" encoding="utf-8"?>
<ds:datastoreItem xmlns:ds="http://schemas.openxmlformats.org/officeDocument/2006/customXml" ds:itemID="{A68CACA0-A7E3-4744-8C3A-D79A22AFA127}">
  <ds:schemaRefs/>
</ds:datastoreItem>
</file>

<file path=customXml/itemProps17.xml><?xml version="1.0" encoding="utf-8"?>
<ds:datastoreItem xmlns:ds="http://schemas.openxmlformats.org/officeDocument/2006/customXml" ds:itemID="{55AD6B60-49F0-4FAC-97BA-BD0358352AEB}">
  <ds:schemaRefs/>
</ds:datastoreItem>
</file>

<file path=customXml/itemProps18.xml><?xml version="1.0" encoding="utf-8"?>
<ds:datastoreItem xmlns:ds="http://schemas.openxmlformats.org/officeDocument/2006/customXml" ds:itemID="{AA923272-9E94-4FD3-A4C8-58130EC5EFEF}">
  <ds:schemaRefs/>
</ds:datastoreItem>
</file>

<file path=customXml/itemProps19.xml><?xml version="1.0" encoding="utf-8"?>
<ds:datastoreItem xmlns:ds="http://schemas.openxmlformats.org/officeDocument/2006/customXml" ds:itemID="{F2038F8F-BFE9-48EC-BB80-0649F4D6DCDF}">
  <ds:schemaRefs/>
</ds:datastoreItem>
</file>

<file path=customXml/itemProps2.xml><?xml version="1.0" encoding="utf-8"?>
<ds:datastoreItem xmlns:ds="http://schemas.openxmlformats.org/officeDocument/2006/customXml" ds:itemID="{632CE9AA-BA69-4BC1-B4FC-83FD05B36F71}">
  <ds:schemaRefs/>
</ds:datastoreItem>
</file>

<file path=customXml/itemProps20.xml><?xml version="1.0" encoding="utf-8"?>
<ds:datastoreItem xmlns:ds="http://schemas.openxmlformats.org/officeDocument/2006/customXml" ds:itemID="{DB886EC3-68E6-4C3E-9D89-05C9CC808587}">
  <ds:schemaRefs/>
</ds:datastoreItem>
</file>

<file path=customXml/itemProps21.xml><?xml version="1.0" encoding="utf-8"?>
<ds:datastoreItem xmlns:ds="http://schemas.openxmlformats.org/officeDocument/2006/customXml" ds:itemID="{4E889F14-783A-47EC-A086-B03A14CACD7F}">
  <ds:schemaRefs/>
</ds:datastoreItem>
</file>

<file path=customXml/itemProps22.xml><?xml version="1.0" encoding="utf-8"?>
<ds:datastoreItem xmlns:ds="http://schemas.openxmlformats.org/officeDocument/2006/customXml" ds:itemID="{1B6CC454-5B48-49A2-A368-9760F004C677}">
  <ds:schemaRefs/>
</ds:datastoreItem>
</file>

<file path=customXml/itemProps23.xml><?xml version="1.0" encoding="utf-8"?>
<ds:datastoreItem xmlns:ds="http://schemas.openxmlformats.org/officeDocument/2006/customXml" ds:itemID="{F309AED7-C4EA-488F-876E-DA943A06E70F}">
  <ds:schemaRefs/>
</ds:datastoreItem>
</file>

<file path=customXml/itemProps24.xml><?xml version="1.0" encoding="utf-8"?>
<ds:datastoreItem xmlns:ds="http://schemas.openxmlformats.org/officeDocument/2006/customXml" ds:itemID="{2A97D454-A481-40D6-8A36-A9294CAA6CF0}">
  <ds:schemaRefs/>
</ds:datastoreItem>
</file>

<file path=customXml/itemProps25.xml><?xml version="1.0" encoding="utf-8"?>
<ds:datastoreItem xmlns:ds="http://schemas.openxmlformats.org/officeDocument/2006/customXml" ds:itemID="{4126F4B8-87EE-49E1-9FB3-7C2CDBC65124}">
  <ds:schemaRefs/>
</ds:datastoreItem>
</file>

<file path=customXml/itemProps26.xml><?xml version="1.0" encoding="utf-8"?>
<ds:datastoreItem xmlns:ds="http://schemas.openxmlformats.org/officeDocument/2006/customXml" ds:itemID="{1976C7CA-1519-4CA8-84B3-59352146CF32}">
  <ds:schemaRefs/>
</ds:datastoreItem>
</file>

<file path=customXml/itemProps27.xml><?xml version="1.0" encoding="utf-8"?>
<ds:datastoreItem xmlns:ds="http://schemas.openxmlformats.org/officeDocument/2006/customXml" ds:itemID="{78144AD0-4DE2-4319-BF51-D68701A2C05E}">
  <ds:schemaRefs/>
</ds:datastoreItem>
</file>

<file path=customXml/itemProps28.xml><?xml version="1.0" encoding="utf-8"?>
<ds:datastoreItem xmlns:ds="http://schemas.openxmlformats.org/officeDocument/2006/customXml" ds:itemID="{EDC8A322-2448-4AC8-A364-A6D01B3565DC}">
  <ds:schemaRefs/>
</ds:datastoreItem>
</file>

<file path=customXml/itemProps29.xml><?xml version="1.0" encoding="utf-8"?>
<ds:datastoreItem xmlns:ds="http://schemas.openxmlformats.org/officeDocument/2006/customXml" ds:itemID="{1B3134E3-7A20-42E6-91FD-7A182F21C4A1}">
  <ds:schemaRefs/>
</ds:datastoreItem>
</file>

<file path=customXml/itemProps3.xml><?xml version="1.0" encoding="utf-8"?>
<ds:datastoreItem xmlns:ds="http://schemas.openxmlformats.org/officeDocument/2006/customXml" ds:itemID="{B8D8E445-444E-4626-82C2-A95860267B75}">
  <ds:schemaRefs/>
</ds:datastoreItem>
</file>

<file path=customXml/itemProps30.xml><?xml version="1.0" encoding="utf-8"?>
<ds:datastoreItem xmlns:ds="http://schemas.openxmlformats.org/officeDocument/2006/customXml" ds:itemID="{1C22AB30-2199-41B6-B806-9ADB240CEBCD}">
  <ds:schemaRefs/>
</ds:datastoreItem>
</file>

<file path=customXml/itemProps4.xml><?xml version="1.0" encoding="utf-8"?>
<ds:datastoreItem xmlns:ds="http://schemas.openxmlformats.org/officeDocument/2006/customXml" ds:itemID="{9EA9E5D1-73F2-4B22-A093-C4AEA7819FD3}">
  <ds:schemaRefs/>
</ds:datastoreItem>
</file>

<file path=customXml/itemProps5.xml><?xml version="1.0" encoding="utf-8"?>
<ds:datastoreItem xmlns:ds="http://schemas.openxmlformats.org/officeDocument/2006/customXml" ds:itemID="{8C216F11-41BB-4EC6-9EAE-F7F5C6125A58}">
  <ds:schemaRefs/>
</ds:datastoreItem>
</file>

<file path=customXml/itemProps6.xml><?xml version="1.0" encoding="utf-8"?>
<ds:datastoreItem xmlns:ds="http://schemas.openxmlformats.org/officeDocument/2006/customXml" ds:itemID="{49ABC9A9-88C3-4842-92E8-4DB9EC09F7BD}">
  <ds:schemaRefs/>
</ds:datastoreItem>
</file>

<file path=customXml/itemProps7.xml><?xml version="1.0" encoding="utf-8"?>
<ds:datastoreItem xmlns:ds="http://schemas.openxmlformats.org/officeDocument/2006/customXml" ds:itemID="{02947CBE-50D6-46B1-B674-188EFB27237D}">
  <ds:schemaRefs/>
</ds:datastoreItem>
</file>

<file path=customXml/itemProps8.xml><?xml version="1.0" encoding="utf-8"?>
<ds:datastoreItem xmlns:ds="http://schemas.openxmlformats.org/officeDocument/2006/customXml" ds:itemID="{7CB7D0EB-7887-4A94-B1B6-6407866E7164}">
  <ds:schemaRefs/>
</ds:datastoreItem>
</file>

<file path=customXml/itemProps9.xml><?xml version="1.0" encoding="utf-8"?>
<ds:datastoreItem xmlns:ds="http://schemas.openxmlformats.org/officeDocument/2006/customXml" ds:itemID="{8C10FF90-01F5-4140-ADD5-B88578C2BB8A}">
  <ds:schemaRefs/>
</ds:datastoreItem>
</file>

<file path=docProps/app.xml><?xml version="1.0" encoding="utf-8"?>
<Properties xmlns="http://schemas.openxmlformats.org/officeDocument/2006/extended-properties" xmlns:vt="http://schemas.openxmlformats.org/officeDocument/2006/docPropsVTypes">
  <Template>Normal.dotm</Template>
  <Company>www.diannaotuan.com</Company>
  <Pages>30</Pages>
  <Words>8950</Words>
  <Characters>4901</Characters>
  <Lines>40</Lines>
  <Paragraphs>27</Paragraphs>
  <TotalTime>1</TotalTime>
  <ScaleCrop>false</ScaleCrop>
  <LinksUpToDate>false</LinksUpToDate>
  <CharactersWithSpaces>13824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2022-03-08T01:46:00Z</dcterms:created>
  <dc:creator>lenovo</dc:creator>
  <cp:lastModifiedBy>Administrator</cp:lastModifiedBy>
  <dcterms:modified xsi:type="dcterms:W3CDTF">2023-06-29T02:38:51Z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8AD665CAB0BD4C49B3CDCE04DF6546E7</vt:lpwstr>
  </property>
</Properties>
</file>