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平乡</w:t>
      </w:r>
      <w:bookmarkStart w:id="18" w:name="_GoBack"/>
      <w:bookmarkEnd w:id="18"/>
      <w:r>
        <w:rPr>
          <w:rFonts w:hint="eastAsia" w:ascii="黑体" w:hAnsi="黑体" w:eastAsia="黑体" w:cs="黑体"/>
          <w:b/>
          <w:color w:val="000000"/>
          <w:sz w:val="44"/>
          <w:lang w:eastAsia="zh-CN"/>
        </w:rPr>
        <w:t>县行政审批局所属单位2022</w:t>
      </w:r>
      <w:r>
        <w:rPr>
          <w:rFonts w:ascii="黑体" w:hAnsi="黑体" w:eastAsia="黑体" w:cs="黑体"/>
          <w:b/>
          <w:color w:val="000000"/>
          <w:sz w:val="44"/>
        </w:rPr>
        <w:t>年单位预算信息公开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一、平乡县行政审批局本级收支预算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一、平乡县行政审批局本级收支预算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428001平乡县行政审批局本级</w:t>
            </w:r>
          </w:p>
        </w:tc>
        <w:tc>
          <w:tcPr>
            <w:tcW w:w="2959"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970.02</w:t>
            </w:r>
          </w:p>
        </w:tc>
        <w:tc>
          <w:tcPr>
            <w:tcW w:w="2959" w:type="dxa"/>
            <w:vAlign w:val="center"/>
          </w:tcPr>
          <w:p>
            <w:pPr>
              <w:pStyle w:val="14"/>
            </w:pPr>
            <w:r>
              <w:t>一、一般公共服务支出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839.44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48.59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36.51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ind w:firstLine="0" w:firstLineChars="0"/>
              <w:rPr>
                <w:rFonts w:ascii="方正书宋_GBK" w:hAnsi="方正书宋_GBK" w:eastAsia="方正书宋_GBK" w:cs="方正书宋_GBK"/>
                <w:b/>
                <w:sz w:val="21"/>
                <w:szCs w:val="24"/>
                <w:lang w:val="en-US" w:eastAsia="uk-UA" w:bidi="ar-SA"/>
              </w:rPr>
            </w:pPr>
            <w:r>
              <w:t>970.02</w:t>
            </w:r>
          </w:p>
        </w:tc>
        <w:tc>
          <w:tcPr>
            <w:tcW w:w="2959" w:type="dxa"/>
            <w:vAlign w:val="center"/>
          </w:tcPr>
          <w:p>
            <w:pPr>
              <w:pStyle w:val="16"/>
            </w:pPr>
            <w:r>
              <w:t>本年支出合计</w:t>
            </w:r>
          </w:p>
        </w:tc>
        <w:tc>
          <w:tcPr>
            <w:tcW w:w="2959" w:type="dxa"/>
            <w:vAlign w:val="center"/>
          </w:tcPr>
          <w:p>
            <w:pPr>
              <w:pStyle w:val="17"/>
              <w:ind w:firstLine="0" w:firstLineChars="0"/>
              <w:rPr>
                <w:rFonts w:ascii="方正书宋_GBK" w:hAnsi="方正书宋_GBK" w:eastAsia="方正书宋_GBK" w:cs="方正书宋_GBK"/>
                <w:b/>
                <w:sz w:val="21"/>
                <w:szCs w:val="24"/>
                <w:lang w:val="en-US" w:eastAsia="uk-UA" w:bidi="ar-SA"/>
              </w:rPr>
            </w:pPr>
            <w:r>
              <w:t>970.02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pPr>
            <w:r>
              <w:t>年终结转结余</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ind w:firstLine="0" w:firstLineChars="0"/>
              <w:rPr>
                <w:rFonts w:ascii="方正书宋_GBK" w:hAnsi="方正书宋_GBK" w:eastAsia="方正书宋_GBK" w:cs="方正书宋_GBK"/>
                <w:b/>
                <w:sz w:val="21"/>
                <w:szCs w:val="24"/>
                <w:lang w:val="en-US" w:eastAsia="uk-UA" w:bidi="ar-SA"/>
              </w:rPr>
            </w:pPr>
            <w:r>
              <w:t>970.02</w:t>
            </w:r>
          </w:p>
        </w:tc>
        <w:tc>
          <w:tcPr>
            <w:tcW w:w="2959" w:type="dxa"/>
            <w:vAlign w:val="center"/>
          </w:tcPr>
          <w:p>
            <w:pPr>
              <w:pStyle w:val="16"/>
            </w:pPr>
            <w:r>
              <w:t>支出总计</w:t>
            </w:r>
          </w:p>
        </w:tc>
        <w:tc>
          <w:tcPr>
            <w:tcW w:w="2959" w:type="dxa"/>
            <w:vAlign w:val="center"/>
          </w:tcPr>
          <w:p>
            <w:pPr>
              <w:pStyle w:val="17"/>
              <w:ind w:firstLine="0" w:firstLineChars="0"/>
              <w:rPr>
                <w:rFonts w:ascii="方正书宋_GBK" w:hAnsi="方正书宋_GBK" w:eastAsia="方正书宋_GBK" w:cs="方正书宋_GBK"/>
                <w:b/>
                <w:sz w:val="21"/>
                <w:szCs w:val="24"/>
                <w:lang w:val="en-US" w:eastAsia="uk-UA" w:bidi="ar-SA"/>
              </w:rPr>
            </w:pPr>
            <w:r>
              <w:t>970.02</w:t>
            </w:r>
          </w:p>
        </w:tc>
      </w:tr>
    </w:tbl>
    <w:p>
      <w:pPr>
        <w:sectPr>
          <w:pgSz w:w="16840" w:h="11900" w:orient="landscape"/>
          <w:pgMar w:top="1361" w:right="1020" w:bottom="1134" w:left="1020" w:header="720" w:footer="720" w:gutter="0"/>
          <w:cols w:space="720" w:num="1"/>
        </w:sect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428平乡县行政审批局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970.02</w:t>
            </w:r>
          </w:p>
        </w:tc>
        <w:tc>
          <w:tcPr>
            <w:tcW w:w="758" w:type="dxa"/>
            <w:vAlign w:val="center"/>
          </w:tcPr>
          <w:p>
            <w:pPr>
              <w:pStyle w:val="17"/>
            </w:pPr>
            <w:r>
              <w:t>970.02</w:t>
            </w:r>
          </w:p>
        </w:tc>
        <w:tc>
          <w:tcPr>
            <w:tcW w:w="758" w:type="dxa"/>
            <w:vAlign w:val="center"/>
          </w:tcPr>
          <w:p>
            <w:pPr>
              <w:pStyle w:val="17"/>
            </w:pPr>
            <w:r>
              <w:t>970.02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839.44</w:t>
            </w:r>
          </w:p>
        </w:tc>
        <w:tc>
          <w:tcPr>
            <w:tcW w:w="758" w:type="dxa"/>
            <w:vAlign w:val="center"/>
          </w:tcPr>
          <w:p>
            <w:pPr>
              <w:pStyle w:val="13"/>
            </w:pPr>
            <w:r>
              <w:t>839.44</w:t>
            </w:r>
          </w:p>
        </w:tc>
        <w:tc>
          <w:tcPr>
            <w:tcW w:w="758" w:type="dxa"/>
            <w:vAlign w:val="center"/>
          </w:tcPr>
          <w:p>
            <w:pPr>
              <w:pStyle w:val="13"/>
            </w:pPr>
            <w:r>
              <w:t>839.44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839.44</w:t>
            </w:r>
          </w:p>
        </w:tc>
        <w:tc>
          <w:tcPr>
            <w:tcW w:w="758" w:type="dxa"/>
            <w:vAlign w:val="center"/>
          </w:tcPr>
          <w:p>
            <w:pPr>
              <w:pStyle w:val="13"/>
            </w:pPr>
            <w:r>
              <w:t>839.44</w:t>
            </w:r>
          </w:p>
        </w:tc>
        <w:tc>
          <w:tcPr>
            <w:tcW w:w="758" w:type="dxa"/>
            <w:vAlign w:val="center"/>
          </w:tcPr>
          <w:p>
            <w:pPr>
              <w:pStyle w:val="13"/>
            </w:pPr>
            <w:r>
              <w:t>839.44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268.48</w:t>
            </w:r>
          </w:p>
        </w:tc>
        <w:tc>
          <w:tcPr>
            <w:tcW w:w="758" w:type="dxa"/>
            <w:vAlign w:val="center"/>
          </w:tcPr>
          <w:p>
            <w:pPr>
              <w:pStyle w:val="13"/>
            </w:pPr>
            <w:r>
              <w:t>268.48</w:t>
            </w:r>
          </w:p>
        </w:tc>
        <w:tc>
          <w:tcPr>
            <w:tcW w:w="758" w:type="dxa"/>
            <w:vAlign w:val="center"/>
          </w:tcPr>
          <w:p>
            <w:pPr>
              <w:pStyle w:val="13"/>
            </w:pPr>
            <w:r>
              <w:t>268.48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2010303</w:t>
            </w:r>
          </w:p>
        </w:tc>
        <w:tc>
          <w:tcPr>
            <w:tcW w:w="758" w:type="dxa"/>
            <w:vAlign w:val="center"/>
          </w:tcPr>
          <w:p>
            <w:pPr>
              <w:pStyle w:val="14"/>
            </w:pPr>
            <w:r>
              <w:t>机关服务</w:t>
            </w:r>
          </w:p>
        </w:tc>
        <w:tc>
          <w:tcPr>
            <w:tcW w:w="758" w:type="dxa"/>
            <w:vAlign w:val="center"/>
          </w:tcPr>
          <w:p>
            <w:pPr>
              <w:pStyle w:val="13"/>
            </w:pPr>
            <w:r>
              <w:t>160.00</w:t>
            </w:r>
          </w:p>
        </w:tc>
        <w:tc>
          <w:tcPr>
            <w:tcW w:w="758" w:type="dxa"/>
            <w:vAlign w:val="center"/>
          </w:tcPr>
          <w:p>
            <w:pPr>
              <w:pStyle w:val="13"/>
            </w:pPr>
            <w:r>
              <w:t>160.00</w:t>
            </w:r>
          </w:p>
        </w:tc>
        <w:tc>
          <w:tcPr>
            <w:tcW w:w="758" w:type="dxa"/>
            <w:vAlign w:val="center"/>
          </w:tcPr>
          <w:p>
            <w:pPr>
              <w:pStyle w:val="13"/>
            </w:pPr>
            <w:r>
              <w:t>160.00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2010399</w:t>
            </w:r>
          </w:p>
        </w:tc>
        <w:tc>
          <w:tcPr>
            <w:tcW w:w="758" w:type="dxa"/>
            <w:vAlign w:val="center"/>
          </w:tcPr>
          <w:p>
            <w:pPr>
              <w:pStyle w:val="14"/>
            </w:pPr>
            <w:r>
              <w:t>其他政府办公厅（室）及相关机构事务支出</w:t>
            </w:r>
          </w:p>
        </w:tc>
        <w:tc>
          <w:tcPr>
            <w:tcW w:w="758" w:type="dxa"/>
            <w:vAlign w:val="center"/>
          </w:tcPr>
          <w:p>
            <w:pPr>
              <w:pStyle w:val="13"/>
            </w:pPr>
            <w:r>
              <w:t>410.96</w:t>
            </w:r>
          </w:p>
        </w:tc>
        <w:tc>
          <w:tcPr>
            <w:tcW w:w="758" w:type="dxa"/>
            <w:vAlign w:val="center"/>
          </w:tcPr>
          <w:p>
            <w:pPr>
              <w:pStyle w:val="13"/>
            </w:pPr>
            <w:r>
              <w:t>410.96</w:t>
            </w:r>
          </w:p>
        </w:tc>
        <w:tc>
          <w:tcPr>
            <w:tcW w:w="758" w:type="dxa"/>
            <w:vAlign w:val="center"/>
          </w:tcPr>
          <w:p>
            <w:pPr>
              <w:pStyle w:val="13"/>
            </w:pPr>
            <w:r>
              <w:t>410.96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r>
              <w:t>48.59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r>
              <w:t>36.51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r>
              <w:t>45.48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footerReference r:id="rId5" w:type="default"/>
          <w:footerReference r:id="rId6"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970.02</w:t>
            </w:r>
          </w:p>
        </w:tc>
        <w:tc>
          <w:tcPr>
            <w:tcW w:w="1095" w:type="dxa"/>
            <w:vAlign w:val="center"/>
          </w:tcPr>
          <w:p>
            <w:pPr>
              <w:pStyle w:val="17"/>
            </w:pPr>
            <w:r>
              <w:t>541.54</w:t>
            </w:r>
          </w:p>
        </w:tc>
        <w:tc>
          <w:tcPr>
            <w:tcW w:w="1095" w:type="dxa"/>
            <w:vAlign w:val="center"/>
          </w:tcPr>
          <w:p>
            <w:pPr>
              <w:pStyle w:val="17"/>
            </w:pPr>
            <w:r>
              <w:t>428.48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839.44</w:t>
            </w:r>
          </w:p>
        </w:tc>
        <w:tc>
          <w:tcPr>
            <w:tcW w:w="1095" w:type="dxa"/>
            <w:vAlign w:val="center"/>
          </w:tcPr>
          <w:p>
            <w:pPr>
              <w:pStyle w:val="13"/>
            </w:pPr>
            <w:r>
              <w:t>410.96</w:t>
            </w:r>
          </w:p>
        </w:tc>
        <w:tc>
          <w:tcPr>
            <w:tcW w:w="1095" w:type="dxa"/>
            <w:vAlign w:val="center"/>
          </w:tcPr>
          <w:p>
            <w:pPr>
              <w:pStyle w:val="13"/>
            </w:pPr>
            <w:r>
              <w:t>428.48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839.44</w:t>
            </w:r>
          </w:p>
        </w:tc>
        <w:tc>
          <w:tcPr>
            <w:tcW w:w="1095" w:type="dxa"/>
            <w:vAlign w:val="center"/>
          </w:tcPr>
          <w:p>
            <w:pPr>
              <w:pStyle w:val="13"/>
            </w:pPr>
            <w:r>
              <w:t>410.96</w:t>
            </w:r>
          </w:p>
        </w:tc>
        <w:tc>
          <w:tcPr>
            <w:tcW w:w="1095" w:type="dxa"/>
            <w:vAlign w:val="center"/>
          </w:tcPr>
          <w:p>
            <w:pPr>
              <w:pStyle w:val="13"/>
            </w:pPr>
            <w:r>
              <w:t>428.48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268.48</w:t>
            </w:r>
          </w:p>
        </w:tc>
        <w:tc>
          <w:tcPr>
            <w:tcW w:w="1095" w:type="dxa"/>
            <w:vAlign w:val="center"/>
          </w:tcPr>
          <w:p>
            <w:pPr>
              <w:pStyle w:val="13"/>
            </w:pPr>
          </w:p>
        </w:tc>
        <w:tc>
          <w:tcPr>
            <w:tcW w:w="1095" w:type="dxa"/>
            <w:vAlign w:val="center"/>
          </w:tcPr>
          <w:p>
            <w:pPr>
              <w:pStyle w:val="13"/>
            </w:pPr>
            <w:r>
              <w:t>268.48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2010303</w:t>
            </w:r>
          </w:p>
        </w:tc>
        <w:tc>
          <w:tcPr>
            <w:tcW w:w="1095" w:type="dxa"/>
            <w:vAlign w:val="center"/>
          </w:tcPr>
          <w:p>
            <w:pPr>
              <w:pStyle w:val="14"/>
            </w:pPr>
            <w:r>
              <w:t>机关服务</w:t>
            </w:r>
          </w:p>
        </w:tc>
        <w:tc>
          <w:tcPr>
            <w:tcW w:w="1095" w:type="dxa"/>
            <w:vAlign w:val="center"/>
          </w:tcPr>
          <w:p>
            <w:pPr>
              <w:pStyle w:val="13"/>
            </w:pPr>
            <w:r>
              <w:t>160.00</w:t>
            </w:r>
          </w:p>
        </w:tc>
        <w:tc>
          <w:tcPr>
            <w:tcW w:w="1095" w:type="dxa"/>
            <w:vAlign w:val="center"/>
          </w:tcPr>
          <w:p>
            <w:pPr>
              <w:pStyle w:val="13"/>
            </w:pPr>
          </w:p>
        </w:tc>
        <w:tc>
          <w:tcPr>
            <w:tcW w:w="1095" w:type="dxa"/>
            <w:vAlign w:val="center"/>
          </w:tcPr>
          <w:p>
            <w:pPr>
              <w:pStyle w:val="13"/>
            </w:pPr>
            <w:r>
              <w:t>160.00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2010399</w:t>
            </w:r>
          </w:p>
        </w:tc>
        <w:tc>
          <w:tcPr>
            <w:tcW w:w="1095" w:type="dxa"/>
            <w:vAlign w:val="center"/>
          </w:tcPr>
          <w:p>
            <w:pPr>
              <w:pStyle w:val="14"/>
            </w:pPr>
            <w:r>
              <w:t>其他政府办公厅（室）及相关机构事务支出</w:t>
            </w:r>
          </w:p>
        </w:tc>
        <w:tc>
          <w:tcPr>
            <w:tcW w:w="1095" w:type="dxa"/>
            <w:vAlign w:val="center"/>
          </w:tcPr>
          <w:p>
            <w:pPr>
              <w:pStyle w:val="13"/>
            </w:pPr>
            <w:r>
              <w:t>410.96</w:t>
            </w:r>
          </w:p>
        </w:tc>
        <w:tc>
          <w:tcPr>
            <w:tcW w:w="1095" w:type="dxa"/>
            <w:vAlign w:val="center"/>
          </w:tcPr>
          <w:p>
            <w:pPr>
              <w:pStyle w:val="13"/>
            </w:pPr>
            <w:r>
              <w:t>410.96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48.59</w:t>
            </w:r>
          </w:p>
        </w:tc>
        <w:tc>
          <w:tcPr>
            <w:tcW w:w="1095" w:type="dxa"/>
            <w:vAlign w:val="center"/>
          </w:tcPr>
          <w:p>
            <w:pPr>
              <w:pStyle w:val="13"/>
            </w:pPr>
            <w:r>
              <w:t>48.59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48.59</w:t>
            </w:r>
          </w:p>
        </w:tc>
        <w:tc>
          <w:tcPr>
            <w:tcW w:w="1095" w:type="dxa"/>
            <w:vAlign w:val="center"/>
          </w:tcPr>
          <w:p>
            <w:pPr>
              <w:pStyle w:val="13"/>
            </w:pPr>
            <w:r>
              <w:t>48.59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48.59</w:t>
            </w:r>
          </w:p>
        </w:tc>
        <w:tc>
          <w:tcPr>
            <w:tcW w:w="1095" w:type="dxa"/>
            <w:vAlign w:val="center"/>
          </w:tcPr>
          <w:p>
            <w:pPr>
              <w:pStyle w:val="13"/>
            </w:pPr>
            <w:r>
              <w:t>48.59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36.51</w:t>
            </w:r>
          </w:p>
        </w:tc>
        <w:tc>
          <w:tcPr>
            <w:tcW w:w="1095" w:type="dxa"/>
            <w:vAlign w:val="center"/>
          </w:tcPr>
          <w:p>
            <w:pPr>
              <w:pStyle w:val="13"/>
            </w:pPr>
            <w:r>
              <w:t>36.51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36.51</w:t>
            </w:r>
          </w:p>
        </w:tc>
        <w:tc>
          <w:tcPr>
            <w:tcW w:w="1095" w:type="dxa"/>
            <w:vAlign w:val="center"/>
          </w:tcPr>
          <w:p>
            <w:pPr>
              <w:pStyle w:val="13"/>
            </w:pPr>
            <w:r>
              <w:t>36.51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36.51</w:t>
            </w:r>
          </w:p>
        </w:tc>
        <w:tc>
          <w:tcPr>
            <w:tcW w:w="1095" w:type="dxa"/>
            <w:vAlign w:val="center"/>
          </w:tcPr>
          <w:p>
            <w:pPr>
              <w:pStyle w:val="13"/>
            </w:pPr>
            <w:r>
              <w:t>36.51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45.48</w:t>
            </w:r>
          </w:p>
        </w:tc>
        <w:tc>
          <w:tcPr>
            <w:tcW w:w="1095" w:type="dxa"/>
            <w:vAlign w:val="center"/>
          </w:tcPr>
          <w:p>
            <w:pPr>
              <w:pStyle w:val="13"/>
            </w:pPr>
            <w:r>
              <w:t>45.48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45.48</w:t>
            </w:r>
          </w:p>
        </w:tc>
        <w:tc>
          <w:tcPr>
            <w:tcW w:w="1095" w:type="dxa"/>
            <w:vAlign w:val="center"/>
          </w:tcPr>
          <w:p>
            <w:pPr>
              <w:pStyle w:val="13"/>
            </w:pPr>
            <w:r>
              <w:t>45.48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45.48</w:t>
            </w:r>
          </w:p>
        </w:tc>
        <w:tc>
          <w:tcPr>
            <w:tcW w:w="1095" w:type="dxa"/>
            <w:vAlign w:val="center"/>
          </w:tcPr>
          <w:p>
            <w:pPr>
              <w:pStyle w:val="13"/>
            </w:pPr>
            <w:r>
              <w:t>45.48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970.02</w:t>
            </w:r>
          </w:p>
        </w:tc>
        <w:tc>
          <w:tcPr>
            <w:tcW w:w="1232" w:type="dxa"/>
            <w:vAlign w:val="center"/>
          </w:tcPr>
          <w:p>
            <w:pPr>
              <w:pStyle w:val="14"/>
            </w:pPr>
            <w:r>
              <w:t>一、一般公共服务支出</w:t>
            </w:r>
          </w:p>
        </w:tc>
        <w:tc>
          <w:tcPr>
            <w:tcW w:w="1232" w:type="dxa"/>
            <w:vAlign w:val="center"/>
          </w:tcPr>
          <w:p>
            <w:pPr>
              <w:pStyle w:val="13"/>
            </w:pPr>
            <w:r>
              <w:t>839.44</w:t>
            </w:r>
          </w:p>
        </w:tc>
        <w:tc>
          <w:tcPr>
            <w:tcW w:w="1232" w:type="dxa"/>
            <w:vAlign w:val="center"/>
          </w:tcPr>
          <w:p>
            <w:pPr>
              <w:pStyle w:val="13"/>
            </w:pPr>
            <w:r>
              <w:t>839.44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48.59</w:t>
            </w:r>
          </w:p>
        </w:tc>
        <w:tc>
          <w:tcPr>
            <w:tcW w:w="1232" w:type="dxa"/>
            <w:vAlign w:val="center"/>
          </w:tcPr>
          <w:p>
            <w:pPr>
              <w:pStyle w:val="13"/>
            </w:pPr>
            <w:r>
              <w:t>48.59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36.51</w:t>
            </w:r>
          </w:p>
        </w:tc>
        <w:tc>
          <w:tcPr>
            <w:tcW w:w="1232" w:type="dxa"/>
            <w:vAlign w:val="center"/>
          </w:tcPr>
          <w:p>
            <w:pPr>
              <w:pStyle w:val="13"/>
            </w:pPr>
            <w:r>
              <w:t>36.51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45.48</w:t>
            </w:r>
          </w:p>
        </w:tc>
        <w:tc>
          <w:tcPr>
            <w:tcW w:w="1232" w:type="dxa"/>
            <w:vAlign w:val="center"/>
          </w:tcPr>
          <w:p>
            <w:pPr>
              <w:pStyle w:val="13"/>
            </w:pPr>
            <w:r>
              <w:t>45.48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970.02</w:t>
            </w:r>
          </w:p>
        </w:tc>
        <w:tc>
          <w:tcPr>
            <w:tcW w:w="1232" w:type="dxa"/>
            <w:vAlign w:val="center"/>
          </w:tcPr>
          <w:p>
            <w:pPr>
              <w:pStyle w:val="16"/>
            </w:pPr>
            <w:r>
              <w:t>本年支出合计</w:t>
            </w:r>
          </w:p>
        </w:tc>
        <w:tc>
          <w:tcPr>
            <w:tcW w:w="1232" w:type="dxa"/>
            <w:vAlign w:val="center"/>
          </w:tcPr>
          <w:p>
            <w:pPr>
              <w:pStyle w:val="17"/>
            </w:pPr>
            <w:r>
              <w:t>970.02</w:t>
            </w:r>
          </w:p>
        </w:tc>
        <w:tc>
          <w:tcPr>
            <w:tcW w:w="1232" w:type="dxa"/>
            <w:vAlign w:val="center"/>
          </w:tcPr>
          <w:p>
            <w:pPr>
              <w:pStyle w:val="17"/>
            </w:pPr>
            <w:r>
              <w:t>970.02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970.02</w:t>
            </w:r>
          </w:p>
        </w:tc>
        <w:tc>
          <w:tcPr>
            <w:tcW w:w="1232" w:type="dxa"/>
            <w:vAlign w:val="center"/>
          </w:tcPr>
          <w:p>
            <w:pPr>
              <w:pStyle w:val="16"/>
            </w:pPr>
            <w:r>
              <w:t>支出总计</w:t>
            </w:r>
          </w:p>
        </w:tc>
        <w:tc>
          <w:tcPr>
            <w:tcW w:w="1232" w:type="dxa"/>
            <w:vAlign w:val="center"/>
          </w:tcPr>
          <w:p>
            <w:pPr>
              <w:pStyle w:val="17"/>
            </w:pPr>
            <w:r>
              <w:t>970.02</w:t>
            </w:r>
          </w:p>
        </w:tc>
        <w:tc>
          <w:tcPr>
            <w:tcW w:w="1232" w:type="dxa"/>
            <w:vAlign w:val="center"/>
          </w:tcPr>
          <w:p>
            <w:pPr>
              <w:pStyle w:val="17"/>
            </w:pPr>
            <w:r>
              <w:t>970.02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970.02</w:t>
            </w:r>
          </w:p>
        </w:tc>
        <w:tc>
          <w:tcPr>
            <w:tcW w:w="1643" w:type="dxa"/>
            <w:vAlign w:val="center"/>
          </w:tcPr>
          <w:p>
            <w:pPr>
              <w:pStyle w:val="17"/>
            </w:pPr>
            <w:r>
              <w:t>541.54</w:t>
            </w:r>
          </w:p>
        </w:tc>
        <w:tc>
          <w:tcPr>
            <w:tcW w:w="1643" w:type="dxa"/>
            <w:vAlign w:val="center"/>
          </w:tcPr>
          <w:p>
            <w:pPr>
              <w:pStyle w:val="17"/>
            </w:pPr>
            <w:r>
              <w:t>428.48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839.44</w:t>
            </w:r>
          </w:p>
        </w:tc>
        <w:tc>
          <w:tcPr>
            <w:tcW w:w="1643" w:type="dxa"/>
            <w:vAlign w:val="center"/>
          </w:tcPr>
          <w:p>
            <w:pPr>
              <w:pStyle w:val="13"/>
            </w:pPr>
            <w:r>
              <w:t>410.96</w:t>
            </w:r>
          </w:p>
        </w:tc>
        <w:tc>
          <w:tcPr>
            <w:tcW w:w="1643" w:type="dxa"/>
            <w:vAlign w:val="center"/>
          </w:tcPr>
          <w:p>
            <w:pPr>
              <w:pStyle w:val="13"/>
            </w:pPr>
            <w:r>
              <w:t>428.48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839.44</w:t>
            </w:r>
          </w:p>
        </w:tc>
        <w:tc>
          <w:tcPr>
            <w:tcW w:w="1643" w:type="dxa"/>
            <w:vAlign w:val="center"/>
          </w:tcPr>
          <w:p>
            <w:pPr>
              <w:pStyle w:val="13"/>
            </w:pPr>
            <w:r>
              <w:t>410.96</w:t>
            </w:r>
          </w:p>
        </w:tc>
        <w:tc>
          <w:tcPr>
            <w:tcW w:w="1643" w:type="dxa"/>
            <w:vAlign w:val="center"/>
          </w:tcPr>
          <w:p>
            <w:pPr>
              <w:pStyle w:val="13"/>
            </w:pPr>
            <w:r>
              <w:t>428.48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268.48</w:t>
            </w:r>
          </w:p>
        </w:tc>
        <w:tc>
          <w:tcPr>
            <w:tcW w:w="1643" w:type="dxa"/>
            <w:vAlign w:val="center"/>
          </w:tcPr>
          <w:p>
            <w:pPr>
              <w:pStyle w:val="13"/>
            </w:pPr>
          </w:p>
        </w:tc>
        <w:tc>
          <w:tcPr>
            <w:tcW w:w="1643" w:type="dxa"/>
            <w:vAlign w:val="center"/>
          </w:tcPr>
          <w:p>
            <w:pPr>
              <w:pStyle w:val="13"/>
            </w:pPr>
            <w:r>
              <w:t>268.48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2010303</w:t>
            </w:r>
          </w:p>
        </w:tc>
        <w:tc>
          <w:tcPr>
            <w:tcW w:w="1643" w:type="dxa"/>
            <w:vAlign w:val="center"/>
          </w:tcPr>
          <w:p>
            <w:pPr>
              <w:pStyle w:val="14"/>
            </w:pPr>
            <w:r>
              <w:t>机关服务</w:t>
            </w:r>
          </w:p>
        </w:tc>
        <w:tc>
          <w:tcPr>
            <w:tcW w:w="1643" w:type="dxa"/>
            <w:vAlign w:val="center"/>
          </w:tcPr>
          <w:p>
            <w:pPr>
              <w:pStyle w:val="13"/>
            </w:pPr>
            <w:r>
              <w:t>160.00</w:t>
            </w:r>
          </w:p>
        </w:tc>
        <w:tc>
          <w:tcPr>
            <w:tcW w:w="1643" w:type="dxa"/>
            <w:vAlign w:val="center"/>
          </w:tcPr>
          <w:p>
            <w:pPr>
              <w:pStyle w:val="13"/>
            </w:pPr>
          </w:p>
        </w:tc>
        <w:tc>
          <w:tcPr>
            <w:tcW w:w="1643"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2010399</w:t>
            </w:r>
          </w:p>
        </w:tc>
        <w:tc>
          <w:tcPr>
            <w:tcW w:w="1643" w:type="dxa"/>
            <w:vAlign w:val="center"/>
          </w:tcPr>
          <w:p>
            <w:pPr>
              <w:pStyle w:val="14"/>
            </w:pPr>
            <w:r>
              <w:t>其他政府办公厅（室）及相关机构事务支出</w:t>
            </w:r>
          </w:p>
        </w:tc>
        <w:tc>
          <w:tcPr>
            <w:tcW w:w="1643" w:type="dxa"/>
            <w:vAlign w:val="center"/>
          </w:tcPr>
          <w:p>
            <w:pPr>
              <w:pStyle w:val="13"/>
            </w:pPr>
            <w:r>
              <w:t>410.96</w:t>
            </w:r>
          </w:p>
        </w:tc>
        <w:tc>
          <w:tcPr>
            <w:tcW w:w="1643" w:type="dxa"/>
            <w:vAlign w:val="center"/>
          </w:tcPr>
          <w:p>
            <w:pPr>
              <w:pStyle w:val="13"/>
            </w:pPr>
            <w:r>
              <w:t>410.96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48.59</w:t>
            </w:r>
          </w:p>
        </w:tc>
        <w:tc>
          <w:tcPr>
            <w:tcW w:w="1643" w:type="dxa"/>
            <w:vAlign w:val="center"/>
          </w:tcPr>
          <w:p>
            <w:pPr>
              <w:pStyle w:val="13"/>
            </w:pPr>
            <w:r>
              <w:t>48.59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48.59</w:t>
            </w:r>
          </w:p>
        </w:tc>
        <w:tc>
          <w:tcPr>
            <w:tcW w:w="1643" w:type="dxa"/>
            <w:vAlign w:val="center"/>
          </w:tcPr>
          <w:p>
            <w:pPr>
              <w:pStyle w:val="13"/>
            </w:pPr>
            <w:r>
              <w:t>48.59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48.59</w:t>
            </w:r>
          </w:p>
        </w:tc>
        <w:tc>
          <w:tcPr>
            <w:tcW w:w="1643" w:type="dxa"/>
            <w:vAlign w:val="center"/>
          </w:tcPr>
          <w:p>
            <w:pPr>
              <w:pStyle w:val="13"/>
            </w:pPr>
            <w:r>
              <w:t>48.59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36.51</w:t>
            </w:r>
          </w:p>
        </w:tc>
        <w:tc>
          <w:tcPr>
            <w:tcW w:w="1643" w:type="dxa"/>
            <w:vAlign w:val="center"/>
          </w:tcPr>
          <w:p>
            <w:pPr>
              <w:pStyle w:val="13"/>
            </w:pPr>
            <w:r>
              <w:t>36.51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36.51</w:t>
            </w:r>
          </w:p>
        </w:tc>
        <w:tc>
          <w:tcPr>
            <w:tcW w:w="1643" w:type="dxa"/>
            <w:vAlign w:val="center"/>
          </w:tcPr>
          <w:p>
            <w:pPr>
              <w:pStyle w:val="13"/>
            </w:pPr>
            <w:r>
              <w:t>36.51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36.51</w:t>
            </w:r>
          </w:p>
        </w:tc>
        <w:tc>
          <w:tcPr>
            <w:tcW w:w="1643" w:type="dxa"/>
            <w:vAlign w:val="center"/>
          </w:tcPr>
          <w:p>
            <w:pPr>
              <w:pStyle w:val="13"/>
            </w:pPr>
            <w:r>
              <w:t>36.51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45.48</w:t>
            </w:r>
          </w:p>
        </w:tc>
        <w:tc>
          <w:tcPr>
            <w:tcW w:w="1643" w:type="dxa"/>
            <w:vAlign w:val="center"/>
          </w:tcPr>
          <w:p>
            <w:pPr>
              <w:pStyle w:val="13"/>
            </w:pPr>
            <w:r>
              <w:t>45.48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45.48</w:t>
            </w:r>
          </w:p>
        </w:tc>
        <w:tc>
          <w:tcPr>
            <w:tcW w:w="1643" w:type="dxa"/>
            <w:vAlign w:val="center"/>
          </w:tcPr>
          <w:p>
            <w:pPr>
              <w:pStyle w:val="13"/>
            </w:pPr>
            <w:r>
              <w:t>45.48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45.48</w:t>
            </w:r>
          </w:p>
        </w:tc>
        <w:tc>
          <w:tcPr>
            <w:tcW w:w="1643" w:type="dxa"/>
            <w:vAlign w:val="center"/>
          </w:tcPr>
          <w:p>
            <w:pPr>
              <w:pStyle w:val="13"/>
            </w:pPr>
            <w:r>
              <w:t>45.48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w:t>
            </w:r>
            <w:r>
              <w:rPr>
                <w:rFonts w:hint="eastAsia"/>
                <w:lang w:eastAsia="zh-CN"/>
              </w:rPr>
              <w:t>单位</w:t>
            </w:r>
            <w:r>
              <w:t>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541.54</w:t>
            </w:r>
          </w:p>
        </w:tc>
        <w:tc>
          <w:tcPr>
            <w:tcW w:w="1643" w:type="dxa"/>
            <w:vAlign w:val="center"/>
          </w:tcPr>
          <w:p>
            <w:pPr>
              <w:pStyle w:val="17"/>
            </w:pPr>
            <w:r>
              <w:t>519.94</w:t>
            </w:r>
          </w:p>
        </w:tc>
        <w:tc>
          <w:tcPr>
            <w:tcW w:w="1643" w:type="dxa"/>
            <w:vAlign w:val="center"/>
          </w:tcPr>
          <w:p>
            <w:pPr>
              <w:pStyle w:val="17"/>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519.94</w:t>
            </w:r>
          </w:p>
        </w:tc>
        <w:tc>
          <w:tcPr>
            <w:tcW w:w="1643" w:type="dxa"/>
            <w:vAlign w:val="center"/>
          </w:tcPr>
          <w:p>
            <w:pPr>
              <w:pStyle w:val="13"/>
            </w:pPr>
            <w:r>
              <w:t>519.94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210.87</w:t>
            </w:r>
          </w:p>
        </w:tc>
        <w:tc>
          <w:tcPr>
            <w:tcW w:w="1643" w:type="dxa"/>
            <w:vAlign w:val="center"/>
          </w:tcPr>
          <w:p>
            <w:pPr>
              <w:pStyle w:val="13"/>
            </w:pPr>
            <w:r>
              <w:t>210.87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36.33</w:t>
            </w:r>
          </w:p>
        </w:tc>
        <w:tc>
          <w:tcPr>
            <w:tcW w:w="1643" w:type="dxa"/>
            <w:vAlign w:val="center"/>
          </w:tcPr>
          <w:p>
            <w:pPr>
              <w:pStyle w:val="13"/>
            </w:pPr>
            <w:r>
              <w:t>36.33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62.73</w:t>
            </w:r>
          </w:p>
        </w:tc>
        <w:tc>
          <w:tcPr>
            <w:tcW w:w="1643" w:type="dxa"/>
            <w:vAlign w:val="center"/>
          </w:tcPr>
          <w:p>
            <w:pPr>
              <w:pStyle w:val="13"/>
            </w:pPr>
            <w:r>
              <w:t>62.73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65.57</w:t>
            </w:r>
          </w:p>
        </w:tc>
        <w:tc>
          <w:tcPr>
            <w:tcW w:w="1643" w:type="dxa"/>
            <w:vAlign w:val="center"/>
          </w:tcPr>
          <w:p>
            <w:pPr>
              <w:pStyle w:val="13"/>
            </w:pPr>
            <w:r>
              <w:t>65.57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48.59</w:t>
            </w:r>
          </w:p>
        </w:tc>
        <w:tc>
          <w:tcPr>
            <w:tcW w:w="1643" w:type="dxa"/>
            <w:vAlign w:val="center"/>
          </w:tcPr>
          <w:p>
            <w:pPr>
              <w:pStyle w:val="13"/>
            </w:pPr>
            <w:r>
              <w:t>48.59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29.98</w:t>
            </w:r>
          </w:p>
        </w:tc>
        <w:tc>
          <w:tcPr>
            <w:tcW w:w="1643" w:type="dxa"/>
            <w:vAlign w:val="center"/>
          </w:tcPr>
          <w:p>
            <w:pPr>
              <w:pStyle w:val="13"/>
            </w:pPr>
            <w:r>
              <w:t>29.98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6.53</w:t>
            </w:r>
          </w:p>
        </w:tc>
        <w:tc>
          <w:tcPr>
            <w:tcW w:w="1643" w:type="dxa"/>
            <w:vAlign w:val="center"/>
          </w:tcPr>
          <w:p>
            <w:pPr>
              <w:pStyle w:val="13"/>
            </w:pPr>
            <w:r>
              <w:t>6.53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1.63</w:t>
            </w:r>
          </w:p>
        </w:tc>
        <w:tc>
          <w:tcPr>
            <w:tcW w:w="1643" w:type="dxa"/>
            <w:vAlign w:val="center"/>
          </w:tcPr>
          <w:p>
            <w:pPr>
              <w:pStyle w:val="13"/>
            </w:pPr>
            <w:r>
              <w:t>1.63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45.48</w:t>
            </w:r>
          </w:p>
        </w:tc>
        <w:tc>
          <w:tcPr>
            <w:tcW w:w="1643" w:type="dxa"/>
            <w:vAlign w:val="center"/>
          </w:tcPr>
          <w:p>
            <w:pPr>
              <w:pStyle w:val="13"/>
            </w:pPr>
            <w:r>
              <w:t>45.48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12.23</w:t>
            </w:r>
          </w:p>
        </w:tc>
        <w:tc>
          <w:tcPr>
            <w:tcW w:w="1643" w:type="dxa"/>
            <w:vAlign w:val="center"/>
          </w:tcPr>
          <w:p>
            <w:pPr>
              <w:pStyle w:val="13"/>
            </w:pPr>
            <w:r>
              <w:t>12.23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21.60</w:t>
            </w:r>
          </w:p>
        </w:tc>
        <w:tc>
          <w:tcPr>
            <w:tcW w:w="1643" w:type="dxa"/>
            <w:vAlign w:val="center"/>
          </w:tcPr>
          <w:p>
            <w:pPr>
              <w:pStyle w:val="13"/>
            </w:pPr>
          </w:p>
        </w:tc>
        <w:tc>
          <w:tcPr>
            <w:tcW w:w="1643"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10.80</w:t>
            </w:r>
          </w:p>
        </w:tc>
        <w:tc>
          <w:tcPr>
            <w:tcW w:w="1643" w:type="dxa"/>
            <w:vAlign w:val="center"/>
          </w:tcPr>
          <w:p>
            <w:pPr>
              <w:pStyle w:val="13"/>
            </w:pPr>
          </w:p>
        </w:tc>
        <w:tc>
          <w:tcPr>
            <w:tcW w:w="1643" w:type="dxa"/>
            <w:vAlign w:val="center"/>
          </w:tcPr>
          <w:p>
            <w:pPr>
              <w:pStyle w:val="13"/>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1.08</w:t>
            </w:r>
          </w:p>
        </w:tc>
        <w:tc>
          <w:tcPr>
            <w:tcW w:w="1643" w:type="dxa"/>
            <w:vAlign w:val="center"/>
          </w:tcPr>
          <w:p>
            <w:pPr>
              <w:pStyle w:val="13"/>
            </w:pPr>
          </w:p>
        </w:tc>
        <w:tc>
          <w:tcPr>
            <w:tcW w:w="1643"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1.08</w:t>
            </w:r>
          </w:p>
        </w:tc>
        <w:tc>
          <w:tcPr>
            <w:tcW w:w="1643" w:type="dxa"/>
            <w:vAlign w:val="center"/>
          </w:tcPr>
          <w:p>
            <w:pPr>
              <w:pStyle w:val="13"/>
            </w:pPr>
          </w:p>
        </w:tc>
        <w:tc>
          <w:tcPr>
            <w:tcW w:w="1643"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8.64</w:t>
            </w:r>
          </w:p>
        </w:tc>
        <w:tc>
          <w:tcPr>
            <w:tcW w:w="1643" w:type="dxa"/>
            <w:vAlign w:val="center"/>
          </w:tcPr>
          <w:p>
            <w:pPr>
              <w:pStyle w:val="13"/>
            </w:pPr>
          </w:p>
        </w:tc>
        <w:tc>
          <w:tcPr>
            <w:tcW w:w="1643" w:type="dxa"/>
            <w:vAlign w:val="center"/>
          </w:tcPr>
          <w:p>
            <w:pPr>
              <w:pStyle w:val="13"/>
            </w:pPr>
            <w:r>
              <w:t>8.64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428平乡县行政审批局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平乡县行政审批局2022年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平乡县行政审批局2022年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按照《预算法》、《地方预决算公开操作规程》和《关于进一步推进预算公开工作的实施意见》规定，现将平乡县行政审批局2022年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一）贯彻执行党中央、国务院和省委、省政府，市委、市政府及县委、县政府“放管服”改革、行政审批、政务服务、公共资源交易、社会信用体系建设有关方针政策和法律法规，制定和完善有关规章制度和管理办法并组织实施。</w:t>
      </w:r>
    </w:p>
    <w:p>
      <w:pPr>
        <w:pStyle w:val="19"/>
      </w:pPr>
      <w:r>
        <w:t>（二）负责综合协调和监督管理县级各</w:t>
      </w:r>
      <w:r>
        <w:rPr>
          <w:rFonts w:hint="eastAsia"/>
          <w:lang w:eastAsia="zh-CN"/>
        </w:rPr>
        <w:t>单位</w:t>
      </w:r>
      <w:r>
        <w:t>行政审批等事项和公共服务事项的集中统一办理；组织相关</w:t>
      </w:r>
      <w:r>
        <w:rPr>
          <w:rFonts w:hint="eastAsia"/>
          <w:lang w:eastAsia="zh-CN"/>
        </w:rPr>
        <w:t>单位</w:t>
      </w:r>
      <w:r>
        <w:t>开展审批服务事项的联合办理和联审会办；研究推进并联审批服务工作。负责办理县政府确定集中行使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19"/>
      </w:pPr>
      <w:r>
        <w:t>（三）协调指导全县公共资源交易市场工作。拟订全县公共资源交易市场管理制度和规则；编制全县公共资源交易目录；负责建设、管理全县统一的公共资源交易电子服务系统；负责推进全县公共资源交易领域信用体系建设；指导全县并监督县本级公共资源交易项目进场交易；指导全县并负责县本级公共资源交易项目场内交易活动的监督工作，受理对县公共资源交易中心的投诉举报，将违法违规问题移送有关</w:t>
      </w:r>
      <w:r>
        <w:rPr>
          <w:rFonts w:hint="eastAsia"/>
          <w:lang w:eastAsia="zh-CN"/>
        </w:rPr>
        <w:t>单位</w:t>
      </w:r>
      <w:r>
        <w:t>处理；协调县级公共资源交易的联动执法。</w:t>
      </w:r>
    </w:p>
    <w:p>
      <w:pPr>
        <w:pStyle w:val="19"/>
      </w:pPr>
      <w:r>
        <w:t>（四）组织协调全县“放管服”改革工作。指导、协调贯彻落实党中央、国务院和省委、省政府及市委、市政府、县委、县政府关于“放管服”改革的政策措施，承担县推进政府职能转变和“放管服”改革协调小组的日常工作。</w:t>
      </w:r>
    </w:p>
    <w:p>
      <w:pPr>
        <w:pStyle w:val="19"/>
      </w:pPr>
      <w:r>
        <w:t>（五）指导协调全县行政审批制度改革工作。建立健全县行政审批管理体系；推进简政放权，清理和规范各类行政许可等管理事项；协调推进行政审批标准化工作；承担县行政审批制度改革工作领导小组的日常工作。</w:t>
      </w:r>
    </w:p>
    <w:p>
      <w:pPr>
        <w:pStyle w:val="19"/>
      </w:pPr>
      <w:r>
        <w:t>（六）指导协调全县政务服务管理工作。负责优化政务服务供给，降低制度性交易成本，提升政务服务效能；负责推进审批服务便民化；指导协调县有关</w:t>
      </w:r>
      <w:r>
        <w:rPr>
          <w:rFonts w:hint="eastAsia"/>
          <w:lang w:eastAsia="zh-CN"/>
        </w:rPr>
        <w:t>单位</w:t>
      </w:r>
      <w:r>
        <w:t>为公民、法人或其他组织提供规范、高效、优质的政务服务。</w:t>
      </w:r>
    </w:p>
    <w:p>
      <w:pPr>
        <w:pStyle w:val="19"/>
      </w:pPr>
      <w:r>
        <w:t>（七）统筹推进全县“互联网+政务服务”工作，构建全县一体化政务服务平台。推行政务服务网上办理，形成管理机构、实体大厅、网上平台“三位一体”的政务服务管理模式；推进全县电子证照库建设；推进全县政务服务平台规范化、标准化、集约化建设。负责行政审批、公共资源交易平台的建设和管理，会同有关</w:t>
      </w:r>
      <w:r>
        <w:rPr>
          <w:rFonts w:hint="eastAsia"/>
          <w:lang w:eastAsia="zh-CN"/>
        </w:rPr>
        <w:t>单位</w:t>
      </w:r>
      <w:r>
        <w:t>推进行政审批、公共资源交易信息化建设。</w:t>
      </w:r>
    </w:p>
    <w:p>
      <w:pPr>
        <w:pStyle w:val="19"/>
      </w:pPr>
      <w:r>
        <w:t>（八）引导和推动全市社会信用体系建设。组织制定发展规划和年度工作要点；推动健全信用法规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pStyle w:val="19"/>
      </w:pPr>
      <w:r>
        <w:t>（九）开展县级行政审批、政务服务、公共资源交易工作。指导全县政务服务和公共资源交易规范化建设，协调县级行政审批局与县有关</w:t>
      </w:r>
      <w:r>
        <w:rPr>
          <w:rFonts w:hint="eastAsia"/>
          <w:lang w:eastAsia="zh-CN"/>
        </w:rPr>
        <w:t>单位</w:t>
      </w:r>
      <w:r>
        <w:t>，建立完善市县审批服务联动工作机制。</w:t>
      </w:r>
    </w:p>
    <w:p>
      <w:pPr>
        <w:pStyle w:val="19"/>
      </w:pPr>
      <w:r>
        <w:t>（十）建立健全全县政务服务、行政审批服务效能可量化的考核评价制度；对具有政务服务职能的</w:t>
      </w:r>
      <w:r>
        <w:rPr>
          <w:rFonts w:hint="eastAsia"/>
          <w:lang w:eastAsia="zh-CN"/>
        </w:rPr>
        <w:t>单位</w:t>
      </w:r>
      <w:r>
        <w:t>进行综合考评，对进驻事项的办理情况、办理效能，以及办事人员的服务质量等进行监督；负责对各窗口及其工作人员进行教育、培训和管理；负责对县政务服务中心各分中心进行监督管理。</w:t>
      </w:r>
    </w:p>
    <w:p>
      <w:pPr>
        <w:pStyle w:val="19"/>
      </w:pPr>
      <w:r>
        <w:t>（十一）协调指导政府群众服务热线工作，协调交办相关</w:t>
      </w:r>
      <w:r>
        <w:rPr>
          <w:rFonts w:hint="eastAsia"/>
          <w:lang w:eastAsia="zh-CN"/>
        </w:rPr>
        <w:t>单位</w:t>
      </w:r>
      <w:r>
        <w:t>及时处理群众诉求，负责指导县政府群众服务热线建设和管理工作。</w:t>
      </w:r>
    </w:p>
    <w:p>
      <w:pPr>
        <w:pStyle w:val="19"/>
      </w:pPr>
      <w:r>
        <w:t>（十二）完成县委、县政府交办的其他任务。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平乡县行政审批局本级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20"/>
      </w:pPr>
      <w:r>
        <w:t>按照预算管理有关规定，目前我县预算编制实行综合预算制度，即 全部收入和支出都反映的预算中。平乡县行政审批局的收支包含在</w:t>
      </w:r>
      <w:r>
        <w:rPr>
          <w:rFonts w:hint="eastAsia"/>
          <w:lang w:eastAsia="zh-CN"/>
        </w:rPr>
        <w:t>单位</w:t>
      </w:r>
      <w:r>
        <w:t>预算中。</w:t>
      </w:r>
    </w:p>
    <w:p>
      <w:pPr>
        <w:pStyle w:val="20"/>
      </w:pPr>
      <w:r>
        <w:t>1、收入说明</w:t>
      </w:r>
    </w:p>
    <w:p>
      <w:pPr>
        <w:pStyle w:val="20"/>
      </w:pPr>
      <w:r>
        <w:t>反映本</w:t>
      </w:r>
      <w:r>
        <w:rPr>
          <w:rFonts w:hint="eastAsia"/>
          <w:lang w:eastAsia="zh-CN"/>
        </w:rPr>
        <w:t>单位</w:t>
      </w:r>
      <w:r>
        <w:t>当年全部收入。2021年预算收入970.02万元，其中：一般公共预算收入970.02，基金预算收入0万元，财政专户核拨收入0万元，其他来源收入0万元。</w:t>
      </w:r>
    </w:p>
    <w:p>
      <w:pPr>
        <w:pStyle w:val="20"/>
      </w:pPr>
      <w:r>
        <w:t>2、支出说明</w:t>
      </w:r>
    </w:p>
    <w:p>
      <w:pPr>
        <w:pStyle w:val="20"/>
      </w:pPr>
      <w:r>
        <w:t>收支预算总表支出栏、基本支出表、项目支出表。项目支出表按经济分类和支出功能分类科目编制，反映平乡县行政审批局年度</w:t>
      </w:r>
      <w:r>
        <w:rPr>
          <w:rFonts w:hint="eastAsia"/>
          <w:lang w:eastAsia="zh-CN"/>
        </w:rPr>
        <w:t>单位</w:t>
      </w:r>
      <w:r>
        <w:t xml:space="preserve">预算为970.02，其中基本支出541.54万元，包括人员经费519.94万元和日常公用经费21.6万元；项目支出428.48万元，主要“劳务派遣”支出、政府采购评标专家酬金项目支出、可研评审、稳定风险评估、水土保持等专用经费、委托业务及维护费用支出和综合业务工作经费支出等。                    </w:t>
      </w:r>
    </w:p>
    <w:p>
      <w:pPr>
        <w:pStyle w:val="20"/>
      </w:pPr>
      <w:r>
        <w:t>3、比上年增减情况</w:t>
      </w:r>
    </w:p>
    <w:p>
      <w:pPr>
        <w:pStyle w:val="20"/>
      </w:pPr>
      <w:r>
        <w:t>2022年，</w:t>
      </w:r>
      <w:r>
        <w:rPr>
          <w:rFonts w:hint="eastAsia"/>
          <w:lang w:eastAsia="zh-CN"/>
        </w:rPr>
        <w:t>单位</w:t>
      </w:r>
      <w:r>
        <w:t>预算收支安排970.02万元，较2021年增加166.37万元，其中：基本支出111.49万元，主要是平乡县行政审批局与本年基本工资福利支出增加，日常公用支出相对增加；项目支出增加54.88万元，主要是增加劳务派遣，项目支出总体有所增加。</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w:t>
      </w:r>
      <w:r>
        <w:rPr>
          <w:rFonts w:hint="eastAsia"/>
          <w:lang w:eastAsia="zh-CN"/>
        </w:rPr>
        <w:t>单位</w:t>
      </w:r>
      <w:r>
        <w:t>机关运行经费共计安排21.6万元，主要用于保证机关正常运转的办公经费、邮电费、公务车运行维护费、车补等支出。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w:t>
      </w:r>
      <w:r>
        <w:rPr>
          <w:rFonts w:hint="eastAsia"/>
          <w:lang w:eastAsia="zh-CN"/>
        </w:rPr>
        <w:t>单位</w:t>
      </w:r>
      <w:r>
        <w:t>财政拨款“三公”经费预算安排0万元，其中：因公出国（境）费0万元；公务用车购置及运维费0万元；公务接待费0万元。“三公”经费与上年减少。</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根据《中共邢台市委办公室、邢台市人民政府办公室关于印发〈平乡县机构改革方案〉的通知》（邢办字〔2018〕85号），贯彻落实党中央</w:t>
      </w:r>
      <w:r>
        <w:rPr>
          <w:rFonts w:hint="eastAsia"/>
          <w:lang w:eastAsia="zh-CN"/>
        </w:rPr>
        <w:t>、</w:t>
      </w:r>
      <w:r>
        <w:rPr>
          <w:rFonts w:hint="eastAsia"/>
          <w:lang w:val="en-US" w:eastAsia="zh-CN"/>
        </w:rPr>
        <w:t>国务院</w:t>
      </w:r>
      <w:r>
        <w:t>和省委、市委、县委关于行政审批和政务服务管理工作的方针政策和决策部署，坚持和加强党对行政审批和政务服务管理工作的集中统一领导。</w:t>
      </w:r>
    </w:p>
    <w:p>
      <w:pPr>
        <w:pStyle w:val="23"/>
      </w:pPr>
      <w:r>
        <w:t>对办理业务量大，无需第三方机构出具、但材料较多一般群众又不易准备的，如注册登记章程等事项，依据不同类别制成二维码，群众通过手机扫一扫就可得到示范文本，稍加修改，即可申报，解决群众不会做、不知道怎么做的问题；通过“互联网+政务服务”平台、无休日预约服务、代办帮办服务等各种方式，进一步提高审批服务效率，使更多的高频事项实现“两不见面”办理。抽调相关窗口骨干力量组成专业审批服务队伍，提供信息咨询、政策指导、帮办代办等服务，持续推进政务服务由政府“端菜”向群众“点餐”的转变。</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（一）设备网络运行更有保障</w:t>
      </w:r>
    </w:p>
    <w:p>
      <w:pPr>
        <w:pStyle w:val="24"/>
      </w:pPr>
      <w:r>
        <w:t>绩效目标：保障机关平台、设备及网络的软件、硬件良好稳定运行，为我县“互联网+政务服务”工作提供强有力的运行保障。</w:t>
      </w:r>
    </w:p>
    <w:p>
      <w:pPr>
        <w:pStyle w:val="24"/>
      </w:pPr>
      <w:r>
        <w:t>绩效指标：提升政务服务平台网上可办率，确保网络设备、自助设备、监控设备、机房电力达到最优效果，高效服务办事群众及审批后台技术等方面的支持。</w:t>
      </w:r>
    </w:p>
    <w:p>
      <w:pPr>
        <w:pStyle w:val="24"/>
      </w:pPr>
      <w:r>
        <w:t>（二）通信业务24小时服务不间断</w:t>
      </w:r>
    </w:p>
    <w:p>
      <w:pPr>
        <w:pStyle w:val="24"/>
      </w:pPr>
      <w:r>
        <w:t>绩效目标：确保网络、电话、一体机、短信等通信服务顺利通畅。</w:t>
      </w:r>
    </w:p>
    <w:p>
      <w:pPr>
        <w:pStyle w:val="24"/>
      </w:pPr>
      <w:r>
        <w:t>绩效指标：提高“互联网+政务服务”在全年网络服务所占比例，降低通信业务故障发生率，提升网络用户使用满意度。</w:t>
      </w:r>
    </w:p>
    <w:p>
      <w:pPr>
        <w:pStyle w:val="24"/>
      </w:pPr>
      <w:r>
        <w:t>（三）入驻</w:t>
      </w:r>
      <w:r>
        <w:rPr>
          <w:rFonts w:hint="eastAsia"/>
          <w:lang w:eastAsia="zh-CN"/>
        </w:rPr>
        <w:t>单位</w:t>
      </w:r>
      <w:r>
        <w:t>及便民服务更贴心</w:t>
      </w:r>
    </w:p>
    <w:p>
      <w:pPr>
        <w:pStyle w:val="24"/>
      </w:pPr>
      <w:r>
        <w:t>绩效目标：确保入驻</w:t>
      </w:r>
      <w:r>
        <w:rPr>
          <w:rFonts w:hint="eastAsia"/>
          <w:lang w:eastAsia="zh-CN"/>
        </w:rPr>
        <w:t>单位</w:t>
      </w:r>
      <w:r>
        <w:t>工作良好运行，确保入驻人员的稳定性，为企业群众提供优质、高效的服务。</w:t>
      </w:r>
    </w:p>
    <w:p>
      <w:pPr>
        <w:pStyle w:val="24"/>
      </w:pPr>
      <w:r>
        <w:t>绩效指标：提升群众对便民中心各类审批服务满意度，执行“六个一”制度，赢得群众企业好评。减少问题发生，及时问题整改。</w:t>
      </w:r>
    </w:p>
    <w:p>
      <w:pPr>
        <w:pStyle w:val="24"/>
      </w:pPr>
      <w:r>
        <w:t>（四）现场踏勘保障审批数据真实性</w:t>
      </w:r>
    </w:p>
    <w:p>
      <w:pPr>
        <w:pStyle w:val="24"/>
      </w:pPr>
      <w:r>
        <w:t>绩效目标：通过现场踏勘，进行现场与实际办理业务相结合，及时反馈给下一步环节进行审批。对于达标的现场，现场审批通过，审批情况转移到下一环节。对于不达标的现场进行限时整改，待达标后继续现场踏勘。</w:t>
      </w:r>
    </w:p>
    <w:p>
      <w:pPr>
        <w:pStyle w:val="24"/>
      </w:pPr>
      <w:r>
        <w:t>绩效指标：现场踏勘为审批事项提供真实数据，确保档案信息有效性，必不可少的审批流程，且为审批流程中的重要位置，增强审批数据的合法性、合规性。</w:t>
      </w:r>
    </w:p>
    <w:p>
      <w:pPr>
        <w:pStyle w:val="24"/>
      </w:pPr>
      <w:r>
        <w:t>（五）公共资源交易中心运行有保障</w:t>
      </w:r>
    </w:p>
    <w:p>
      <w:pPr>
        <w:pStyle w:val="24"/>
      </w:pPr>
      <w:r>
        <w:t>绩效目标：确保更好的推进公共资源交易中心招标、开标、评标等工作正常进行，进一步完成各项工作，确保公共资源交易正常运行，做好日常运行和维护等工作。</w:t>
      </w:r>
    </w:p>
    <w:p>
      <w:pPr>
        <w:pStyle w:val="24"/>
      </w:pPr>
      <w:r>
        <w:t>绩效指标：规范招投标工作，提高综合业务水平，规范工作标准，为招投标企业提供更加优质的服务。</w:t>
      </w:r>
    </w:p>
    <w:p>
      <w:pPr>
        <w:pStyle w:val="24"/>
      </w:pPr>
      <w:r>
        <w:t>（六）一体化网上审批提供技术支持</w:t>
      </w:r>
    </w:p>
    <w:p>
      <w:pPr>
        <w:pStyle w:val="24"/>
      </w:pPr>
      <w:r>
        <w:t>绩效目标：根据省市行政审批制度改革要求，结合“放管服”改革，大力推进“互联网+政务服务”，建设一体化网上审批政务服务平台，最大限度地推进企业经营、群众日常生活密切相关的政务服务实现网上办理。</w:t>
      </w:r>
    </w:p>
    <w:p>
      <w:pPr>
        <w:pStyle w:val="24"/>
      </w:pPr>
      <w:r>
        <w:t>绩效指标：为审批业务提供技术支持，最大限度推进与企业经营、群众日常生活相关的政务服务实现网上办理。</w:t>
      </w:r>
    </w:p>
    <w:p>
      <w:pPr>
        <w:pStyle w:val="24"/>
      </w:pPr>
      <w:r>
        <w:t>（七）政府采购评标专家酬金有保障</w:t>
      </w:r>
    </w:p>
    <w:p>
      <w:pPr>
        <w:pStyle w:val="24"/>
      </w:pPr>
      <w:r>
        <w:t>绩效目标：用于县采购中心组织的，县本级政府集中采购项目的评标专家劳务费用支出。</w:t>
      </w:r>
    </w:p>
    <w:p>
      <w:pPr>
        <w:pStyle w:val="24"/>
      </w:pPr>
      <w:r>
        <w:t>绩效指标：为政府采购项目提供规范保障，严格依法按照政府采购流程进行采购评标工作。</w:t>
      </w:r>
    </w:p>
    <w:p>
      <w:pPr>
        <w:pStyle w:val="24"/>
      </w:pPr>
      <w:r>
        <w:t>（八）社会信用体系建设再推进</w:t>
      </w:r>
    </w:p>
    <w:p>
      <w:pPr>
        <w:pStyle w:val="24"/>
      </w:pPr>
      <w:r>
        <w:t>绩效目标：以加强信用监管为着力点，创新监管理念、监管制度和监管方式，建立健全贯穿市场主体全生命周期，衔接事前、事中、事后全监管环节的新型监管机制，提升监管能力和水平，进一步规范市场秩序，优化营商环境，推动高质量发展。</w:t>
      </w:r>
    </w:p>
    <w:p>
      <w:pPr>
        <w:pStyle w:val="24"/>
      </w:pPr>
      <w:r>
        <w:t>绩效指标：进一步整合各类政务数据资源，加大信息采集公示力度，同时，加强政务失信问题专项整治，拓展信用场景应用，让守信主体享受更多优惠便利。加快推动信用联合惩戒落地，构建以信用监管为核心的新型监管体系，提升全县社会信用体系建设水平。</w:t>
      </w:r>
    </w:p>
    <w:p>
      <w:pPr>
        <w:pStyle w:val="24"/>
      </w:pPr>
      <w:r>
        <w:t>（九）自助服务大厅建设为便民服务添助力</w:t>
      </w:r>
    </w:p>
    <w:p>
      <w:pPr>
        <w:pStyle w:val="24"/>
      </w:pPr>
      <w:r>
        <w:t>绩效目标：建成24小时政务服务智能化自助服务大厅，构建线上线下一体化政务服务新模式，高效解决群众和企业反映强烈的办事难、办事慢、办事繁等问题。</w:t>
      </w:r>
    </w:p>
    <w:p>
      <w:pPr>
        <w:pStyle w:val="24"/>
      </w:pPr>
      <w:r>
        <w:t>绩效指标：加快建设“24小时”自助服务大厅，将审批自助办理一体机、燃气自助一体机、税务局一体机、交警队自助一体机、公积金查询自助一体机、不动产查询自助一体机、社保查询自助一体机、城乡居民医保查询一体机等与老百姓密切相关的服务纳入自助服务终端，填补办公时间外的服务盲点，打造政务服务24小时“不打烊”自助大厅，将服务时间由原来8小时变成24小时不打烊服务，实现政务服务从人工到智能的跨越，方便群众网上办、马上办、就近办。</w:t>
      </w:r>
    </w:p>
    <w:p>
      <w:pPr>
        <w:pStyle w:val="24"/>
      </w:pPr>
      <w:r>
        <w:t>（十）政府采购中心为县内采购更规范</w:t>
      </w:r>
    </w:p>
    <w:p>
      <w:pPr>
        <w:pStyle w:val="24"/>
      </w:pPr>
      <w:r>
        <w:t>绩效目标：做好政府采购信息的发布、投标文件的编制、投标活动的组织等工作，负责确定定点采购单位审核等工作</w:t>
      </w:r>
    </w:p>
    <w:p>
      <w:pPr>
        <w:pStyle w:val="24"/>
      </w:pPr>
      <w:r>
        <w:t>绩效指标：为政府采购项目提供规范保障，严格依法按照政府采购流程进行采购评标工作。确保政府采购信息发布的及时性，投标文件编制的完整性，投标活动组织的程序正规性，定点采购单位的正确性，增强采购各方满意度。提升采购工作水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完善制度建设。制定完善预算绩效管理制度、资金管理办法、工作保障制度等，为全年预算绩效目标的实现奠定制度基础。</w:t>
      </w:r>
    </w:p>
    <w:p>
      <w:pPr>
        <w:pStyle w:val="25"/>
      </w:pPr>
      <w:r>
        <w:t>加强支出管理。通过优化支出结构、编细编实预算、加快履行政府采购手续、尽快启动项目、及时支付资金、按规定及时下达资金等多种措施，确保支出进度达标。</w:t>
      </w:r>
    </w:p>
    <w:p>
      <w:pPr>
        <w:pStyle w:val="25"/>
      </w:pPr>
      <w:r>
        <w:t>加强绩效运行监控。按要求开展绩效运行监控，发现问题及时采取措施，确保绩效目标如期保质实现。</w:t>
      </w:r>
    </w:p>
    <w:p>
      <w:pPr>
        <w:pStyle w:val="25"/>
      </w:pPr>
      <w:r>
        <w:t>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5"/>
      </w:pPr>
      <w:r>
        <w:t>规范财务资产管理。完善财务管理制度，严格审批程序，加强固定资产登记、使用和报废处置管理，做到支出合理，物尽其用。</w:t>
      </w:r>
    </w:p>
    <w:p>
      <w:pPr>
        <w:pStyle w:val="2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加强宣传培训调研等。加强人员培训，提高本</w:t>
      </w:r>
      <w:r>
        <w:rPr>
          <w:rFonts w:hint="eastAsia"/>
          <w:lang w:eastAsia="zh-CN"/>
        </w:rPr>
        <w:t>单位</w:t>
      </w:r>
      <w:r>
        <w:t>职工业务素质；加强调研，提出优化财政资金配置、提高资金使用效益的意见意见；加大宣传力度，强化预算绩效管理意识，促进预算绩效管理水平进一步提升。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1、可研评审、稳定风险评估、水土保持等专用经费绩效目标表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1."河北省固定资产投资项规定：“项目审批</w:t>
            </w:r>
            <w:r>
              <w:rPr>
                <w:rFonts w:hint="eastAsia"/>
                <w:lang w:eastAsia="zh-CN"/>
              </w:rPr>
              <w:t>单位</w:t>
            </w:r>
            <w:r>
              <w:t>在审批投资项目时，一般应当有具备相应资信等级的工程咨询机构、具有相关职业或概算进行评估评审”、“项目审批</w:t>
            </w:r>
            <w:r>
              <w:rPr>
                <w:rFonts w:hint="eastAsia"/>
                <w:lang w:eastAsia="zh-CN"/>
              </w:rPr>
              <w:t>单位</w:t>
            </w:r>
            <w:r>
              <w:t>一般应委托工程咨询机构对项目可行性研究报告进行评审，对符合相关规定，具备建设条件的项目，批复可行性研究报告”目社会稳定风向评估办法》规定：“审批政府投资项目可行性研究报告和核准企业投资项目申请报告阶段，进行社会稳定风险评估”、“有关评估费用由委托评估的机关承担，评估机构不得向项目单位收取费用”。其中可研评审约115万元，稳定风险评估约25万元，水土保持约20万元。</w:t>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防范、化解风险事件数</w:t>
            </w:r>
          </w:p>
        </w:tc>
        <w:tc>
          <w:tcPr>
            <w:tcW w:w="2466" w:type="dxa"/>
            <w:vAlign w:val="center"/>
          </w:tcPr>
          <w:p>
            <w:pPr>
              <w:pStyle w:val="14"/>
            </w:pPr>
            <w:r>
              <w:t>防范、化解风险事件数</w:t>
            </w:r>
          </w:p>
        </w:tc>
        <w:tc>
          <w:tcPr>
            <w:tcW w:w="2466" w:type="dxa"/>
            <w:vAlign w:val="center"/>
          </w:tcPr>
          <w:p>
            <w:pPr>
              <w:pStyle w:val="14"/>
            </w:pPr>
            <w:r>
              <w:t>≥150件</w:t>
            </w:r>
          </w:p>
        </w:tc>
        <w:tc>
          <w:tcPr>
            <w:tcW w:w="2466" w:type="dxa"/>
            <w:vAlign w:val="center"/>
          </w:tcPr>
          <w:p>
            <w:pPr>
              <w:pStyle w:val="14"/>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防范、化解风险事件完成率</w:t>
            </w:r>
          </w:p>
        </w:tc>
        <w:tc>
          <w:tcPr>
            <w:tcW w:w="2466" w:type="dxa"/>
            <w:vAlign w:val="center"/>
          </w:tcPr>
          <w:p>
            <w:pPr>
              <w:pStyle w:val="14"/>
            </w:pPr>
            <w:r>
              <w:t>已完成防范、化解风险事件占总事件比率</w:t>
            </w:r>
          </w:p>
        </w:tc>
        <w:tc>
          <w:tcPr>
            <w:tcW w:w="2466" w:type="dxa"/>
            <w:vAlign w:val="center"/>
          </w:tcPr>
          <w:p>
            <w:pPr>
              <w:pStyle w:val="14"/>
            </w:pPr>
            <w:r>
              <w:t>≥95%</w:t>
            </w:r>
          </w:p>
        </w:tc>
        <w:tc>
          <w:tcPr>
            <w:tcW w:w="2466" w:type="dxa"/>
            <w:vAlign w:val="center"/>
          </w:tcPr>
          <w:p>
            <w:pPr>
              <w:pStyle w:val="14"/>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已完成工作时间占应完成时间的比率</w:t>
            </w:r>
          </w:p>
        </w:tc>
        <w:tc>
          <w:tcPr>
            <w:tcW w:w="2466" w:type="dxa"/>
            <w:vAlign w:val="center"/>
          </w:tcPr>
          <w:p>
            <w:pPr>
              <w:pStyle w:val="14"/>
            </w:pPr>
            <w:r>
              <w:t>≥95%</w:t>
            </w:r>
          </w:p>
        </w:tc>
        <w:tc>
          <w:tcPr>
            <w:tcW w:w="2466" w:type="dxa"/>
            <w:vAlign w:val="center"/>
          </w:tcPr>
          <w:p>
            <w:pPr>
              <w:pStyle w:val="14"/>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预算成本控制率</w:t>
            </w:r>
          </w:p>
        </w:tc>
        <w:tc>
          <w:tcPr>
            <w:tcW w:w="2466" w:type="dxa"/>
            <w:vAlign w:val="center"/>
          </w:tcPr>
          <w:p>
            <w:pPr>
              <w:pStyle w:val="14"/>
            </w:pPr>
            <w:r>
              <w:t>实际支出数点预算数的比率</w:t>
            </w:r>
          </w:p>
        </w:tc>
        <w:tc>
          <w:tcPr>
            <w:tcW w:w="2466" w:type="dxa"/>
            <w:vAlign w:val="center"/>
          </w:tcPr>
          <w:p>
            <w:pPr>
              <w:pStyle w:val="14"/>
            </w:pPr>
            <w:r>
              <w:t>≥95%</w:t>
            </w:r>
          </w:p>
        </w:tc>
        <w:tc>
          <w:tcPr>
            <w:tcW w:w="2466" w:type="dxa"/>
            <w:vAlign w:val="center"/>
          </w:tcPr>
          <w:p>
            <w:pPr>
              <w:pStyle w:val="14"/>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政府投资规范提升率</w:t>
            </w:r>
          </w:p>
        </w:tc>
        <w:tc>
          <w:tcPr>
            <w:tcW w:w="2466" w:type="dxa"/>
            <w:vAlign w:val="center"/>
          </w:tcPr>
          <w:p>
            <w:pPr>
              <w:pStyle w:val="14"/>
            </w:pPr>
            <w:r>
              <w:t>政府投资规范同比提升率</w:t>
            </w:r>
          </w:p>
        </w:tc>
        <w:tc>
          <w:tcPr>
            <w:tcW w:w="2466" w:type="dxa"/>
            <w:vAlign w:val="center"/>
          </w:tcPr>
          <w:p>
            <w:pPr>
              <w:pStyle w:val="14"/>
            </w:pPr>
            <w:r>
              <w:t>≥50%</w:t>
            </w:r>
          </w:p>
        </w:tc>
        <w:tc>
          <w:tcPr>
            <w:tcW w:w="2466" w:type="dxa"/>
            <w:vAlign w:val="center"/>
          </w:tcPr>
          <w:p>
            <w:pPr>
              <w:pStyle w:val="14"/>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提高政府投资效益率</w:t>
            </w:r>
          </w:p>
        </w:tc>
        <w:tc>
          <w:tcPr>
            <w:tcW w:w="2466" w:type="dxa"/>
            <w:vAlign w:val="center"/>
          </w:tcPr>
          <w:p>
            <w:pPr>
              <w:pStyle w:val="14"/>
            </w:pPr>
            <w:r>
              <w:t>提高政府投资同比效益率</w:t>
            </w:r>
          </w:p>
        </w:tc>
        <w:tc>
          <w:tcPr>
            <w:tcW w:w="2466" w:type="dxa"/>
            <w:vAlign w:val="center"/>
          </w:tcPr>
          <w:p>
            <w:pPr>
              <w:pStyle w:val="14"/>
            </w:pPr>
            <w:r>
              <w:t>≥10%</w:t>
            </w:r>
          </w:p>
        </w:tc>
        <w:tc>
          <w:tcPr>
            <w:tcW w:w="2466" w:type="dxa"/>
            <w:vAlign w:val="center"/>
          </w:tcPr>
          <w:p>
            <w:pPr>
              <w:pStyle w:val="14"/>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降低给社会带来损失等后果</w:t>
            </w:r>
          </w:p>
        </w:tc>
        <w:tc>
          <w:tcPr>
            <w:tcW w:w="2466" w:type="dxa"/>
            <w:vAlign w:val="center"/>
          </w:tcPr>
          <w:p>
            <w:pPr>
              <w:pStyle w:val="14"/>
            </w:pPr>
            <w:r>
              <w:t>降低给社会带来损失等情况</w:t>
            </w:r>
          </w:p>
        </w:tc>
        <w:tc>
          <w:tcPr>
            <w:tcW w:w="2466" w:type="dxa"/>
            <w:vAlign w:val="center"/>
          </w:tcPr>
          <w:p>
            <w:pPr>
              <w:pStyle w:val="14"/>
            </w:pPr>
            <w:r>
              <w:t>明显降低</w:t>
            </w:r>
          </w:p>
        </w:tc>
        <w:tc>
          <w:tcPr>
            <w:tcW w:w="2466" w:type="dxa"/>
            <w:vAlign w:val="center"/>
          </w:tcPr>
          <w:p>
            <w:pPr>
              <w:pStyle w:val="14"/>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群众对业务办理的满意度</w:t>
            </w:r>
          </w:p>
        </w:tc>
        <w:tc>
          <w:tcPr>
            <w:tcW w:w="2466" w:type="dxa"/>
            <w:vAlign w:val="center"/>
          </w:tcPr>
          <w:p>
            <w:pPr>
              <w:pStyle w:val="14"/>
            </w:pPr>
            <w:r>
              <w:t>群众对业务办理的满意度</w:t>
            </w:r>
          </w:p>
        </w:tc>
        <w:tc>
          <w:tcPr>
            <w:tcW w:w="2466" w:type="dxa"/>
            <w:vAlign w:val="center"/>
          </w:tcPr>
          <w:p>
            <w:pPr>
              <w:pStyle w:val="14"/>
            </w:pPr>
            <w:r>
              <w:t>≥95%</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企业对业务办理的满意度</w:t>
            </w:r>
          </w:p>
        </w:tc>
        <w:tc>
          <w:tcPr>
            <w:tcW w:w="2466" w:type="dxa"/>
            <w:vAlign w:val="center"/>
          </w:tcPr>
          <w:p>
            <w:pPr>
              <w:pStyle w:val="14"/>
            </w:pPr>
            <w:r>
              <w:t>企业对业务办理的满意度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2、劳务派遣人员工资社保待遇绩效目标表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1.保障职工资待遇及社保缴费及时足额发放缴纳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工资发放人员数量（人）</w:t>
            </w:r>
          </w:p>
        </w:tc>
        <w:tc>
          <w:tcPr>
            <w:tcW w:w="2466" w:type="dxa"/>
            <w:vAlign w:val="center"/>
          </w:tcPr>
          <w:p>
            <w:pPr>
              <w:pStyle w:val="14"/>
            </w:pPr>
            <w:r>
              <w:t>享受待遇的人数</w:t>
            </w:r>
          </w:p>
        </w:tc>
        <w:tc>
          <w:tcPr>
            <w:tcW w:w="2466" w:type="dxa"/>
            <w:vAlign w:val="center"/>
          </w:tcPr>
          <w:p>
            <w:pPr>
              <w:pStyle w:val="14"/>
            </w:pPr>
            <w:r>
              <w:t>32人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实际发放的资金金额占应发放金额的比率</w:t>
            </w:r>
          </w:p>
        </w:tc>
        <w:tc>
          <w:tcPr>
            <w:tcW w:w="2466" w:type="dxa"/>
            <w:vAlign w:val="center"/>
          </w:tcPr>
          <w:p>
            <w:pPr>
              <w:pStyle w:val="14"/>
            </w:pPr>
            <w:r>
              <w:t>≥98%</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工资发放时间</w:t>
            </w:r>
          </w:p>
        </w:tc>
        <w:tc>
          <w:tcPr>
            <w:tcW w:w="2466" w:type="dxa"/>
            <w:vAlign w:val="center"/>
          </w:tcPr>
          <w:p>
            <w:pPr>
              <w:pStyle w:val="14"/>
            </w:pPr>
            <w:r>
              <w:t>每月按标准发放工资的时间</w:t>
            </w:r>
          </w:p>
        </w:tc>
        <w:tc>
          <w:tcPr>
            <w:tcW w:w="2466" w:type="dxa"/>
            <w:vAlign w:val="center"/>
          </w:tcPr>
          <w:p>
            <w:pPr>
              <w:pStyle w:val="14"/>
            </w:pPr>
            <w:r>
              <w:t>每月30号前发放到位</w:t>
            </w:r>
          </w:p>
        </w:tc>
        <w:tc>
          <w:tcPr>
            <w:tcW w:w="2466" w:type="dxa"/>
            <w:vAlign w:val="center"/>
          </w:tcPr>
          <w:p>
            <w:pPr>
              <w:pStyle w:val="14"/>
            </w:pPr>
            <w:r>
              <w:t>代理银行发放清单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每人每月平均发放工资标准</w:t>
            </w:r>
          </w:p>
        </w:tc>
        <w:tc>
          <w:tcPr>
            <w:tcW w:w="2466" w:type="dxa"/>
            <w:vAlign w:val="center"/>
          </w:tcPr>
          <w:p>
            <w:pPr>
              <w:pStyle w:val="14"/>
            </w:pPr>
            <w:r>
              <w:t>≤2500元/人/月</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实际完成工作量占应完成工作量的比率</w:t>
            </w:r>
          </w:p>
        </w:tc>
        <w:tc>
          <w:tcPr>
            <w:tcW w:w="2466" w:type="dxa"/>
            <w:vAlign w:val="center"/>
          </w:tcPr>
          <w:p>
            <w:pPr>
              <w:pStyle w:val="14"/>
            </w:pPr>
            <w:r>
              <w:t>≥99%</w:t>
            </w:r>
          </w:p>
        </w:tc>
        <w:tc>
          <w:tcPr>
            <w:tcW w:w="2466"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人员正常可持续服务</w:t>
            </w:r>
          </w:p>
        </w:tc>
        <w:tc>
          <w:tcPr>
            <w:tcW w:w="2466" w:type="dxa"/>
            <w:vAlign w:val="center"/>
          </w:tcPr>
          <w:p>
            <w:pPr>
              <w:pStyle w:val="14"/>
            </w:pPr>
            <w:r>
              <w:t>不因工资及社保发放不到位造成影响</w:t>
            </w:r>
          </w:p>
        </w:tc>
        <w:tc>
          <w:tcPr>
            <w:tcW w:w="2466" w:type="dxa"/>
            <w:vAlign w:val="center"/>
          </w:tcPr>
          <w:p>
            <w:pPr>
              <w:pStyle w:val="14"/>
            </w:pPr>
            <w:r>
              <w:t>不发生人员流失</w:t>
            </w:r>
          </w:p>
        </w:tc>
        <w:tc>
          <w:tcPr>
            <w:tcW w:w="2466"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考核合格率</w:t>
            </w:r>
          </w:p>
        </w:tc>
        <w:tc>
          <w:tcPr>
            <w:tcW w:w="2466" w:type="dxa"/>
            <w:vAlign w:val="center"/>
          </w:tcPr>
          <w:p>
            <w:pPr>
              <w:pStyle w:val="14"/>
            </w:pPr>
            <w:r>
              <w:t>考核合格人数占总人数的比例</w:t>
            </w:r>
          </w:p>
        </w:tc>
        <w:tc>
          <w:tcPr>
            <w:tcW w:w="2466" w:type="dxa"/>
            <w:vAlign w:val="center"/>
          </w:tcPr>
          <w:p>
            <w:pPr>
              <w:pStyle w:val="14"/>
            </w:pPr>
            <w:r>
              <w:t>≥98%</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明显提升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调查中满意人数占人数的比率</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3、委托业务及维护费用绩效目标表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优化、深化、硬化平乡县审批局通信服务，经协商为行政审批局提供优质的政务外网、互联网外网、电话服务，进一步保证审批大厅、审批科室、公共资源交易中心网络通讯畅通、不掉线，更好得为群众百姓提供便捷的审批服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维护平台、设备、网络数量</w:t>
            </w:r>
          </w:p>
        </w:tc>
        <w:tc>
          <w:tcPr>
            <w:tcW w:w="2466" w:type="dxa"/>
            <w:vAlign w:val="center"/>
          </w:tcPr>
          <w:p>
            <w:pPr>
              <w:pStyle w:val="14"/>
            </w:pPr>
            <w:r>
              <w:t>维护整个平台机房运行的网络设备、网络线路、供电设备及政务大厅终端设备等的数量</w:t>
            </w:r>
          </w:p>
        </w:tc>
        <w:tc>
          <w:tcPr>
            <w:tcW w:w="2466" w:type="dxa"/>
            <w:vAlign w:val="center"/>
          </w:tcPr>
          <w:p>
            <w:pPr>
              <w:pStyle w:val="14"/>
            </w:pPr>
            <w:r>
              <w:t>≥50个、套</w:t>
            </w:r>
          </w:p>
        </w:tc>
        <w:tc>
          <w:tcPr>
            <w:tcW w:w="2466" w:type="dxa"/>
            <w:vAlign w:val="center"/>
          </w:tcPr>
          <w:p>
            <w:pPr>
              <w:pStyle w:val="14"/>
            </w:pPr>
            <w:r>
              <w:t>“互联网+政务服务”维护方案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高质量维修完成率</w:t>
            </w:r>
          </w:p>
        </w:tc>
        <w:tc>
          <w:tcPr>
            <w:tcW w:w="2466" w:type="dxa"/>
            <w:vAlign w:val="center"/>
          </w:tcPr>
          <w:p>
            <w:pPr>
              <w:pStyle w:val="14"/>
            </w:pPr>
            <w:r>
              <w:t>高质量维修占总维修数目比率</w:t>
            </w:r>
          </w:p>
        </w:tc>
        <w:tc>
          <w:tcPr>
            <w:tcW w:w="2466" w:type="dxa"/>
            <w:vAlign w:val="center"/>
          </w:tcPr>
          <w:p>
            <w:pPr>
              <w:pStyle w:val="14"/>
            </w:pPr>
            <w:r>
              <w:t>≥95%</w:t>
            </w:r>
          </w:p>
        </w:tc>
        <w:tc>
          <w:tcPr>
            <w:tcW w:w="2466" w:type="dxa"/>
            <w:vAlign w:val="center"/>
          </w:tcPr>
          <w:p>
            <w:pPr>
              <w:pStyle w:val="14"/>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设备维修维护时间</w:t>
            </w:r>
          </w:p>
        </w:tc>
        <w:tc>
          <w:tcPr>
            <w:tcW w:w="2466" w:type="dxa"/>
            <w:vAlign w:val="center"/>
          </w:tcPr>
          <w:p>
            <w:pPr>
              <w:pStyle w:val="14"/>
            </w:pPr>
            <w:r>
              <w:t>设备维修维护时间</w:t>
            </w:r>
          </w:p>
        </w:tc>
        <w:tc>
          <w:tcPr>
            <w:tcW w:w="2466" w:type="dxa"/>
            <w:vAlign w:val="center"/>
          </w:tcPr>
          <w:p>
            <w:pPr>
              <w:pStyle w:val="14"/>
            </w:pPr>
            <w:r>
              <w:t>48小时内处理完毕</w:t>
            </w:r>
          </w:p>
        </w:tc>
        <w:tc>
          <w:tcPr>
            <w:tcW w:w="2466" w:type="dxa"/>
            <w:vAlign w:val="center"/>
          </w:tcPr>
          <w:p>
            <w:pPr>
              <w:pStyle w:val="14"/>
            </w:pPr>
            <w:r>
              <w:t>“互联网+政务服务”维护方案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维修维护费用</w:t>
            </w:r>
          </w:p>
        </w:tc>
        <w:tc>
          <w:tcPr>
            <w:tcW w:w="2466" w:type="dxa"/>
            <w:vAlign w:val="center"/>
          </w:tcPr>
          <w:p>
            <w:pPr>
              <w:pStyle w:val="14"/>
            </w:pPr>
            <w:r>
              <w:t>平均维修维护单价</w:t>
            </w:r>
          </w:p>
        </w:tc>
        <w:tc>
          <w:tcPr>
            <w:tcW w:w="2466" w:type="dxa"/>
            <w:vAlign w:val="center"/>
          </w:tcPr>
          <w:p>
            <w:pPr>
              <w:pStyle w:val="14"/>
            </w:pPr>
            <w:r>
              <w:t>万元/次</w:t>
            </w:r>
          </w:p>
        </w:tc>
        <w:tc>
          <w:tcPr>
            <w:tcW w:w="2466" w:type="dxa"/>
            <w:vAlign w:val="center"/>
          </w:tcPr>
          <w:p>
            <w:pPr>
              <w:pStyle w:val="14"/>
            </w:pPr>
            <w:r>
              <w:t>设备维护使用情况表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设施预设功能达标率</w:t>
            </w:r>
          </w:p>
        </w:tc>
        <w:tc>
          <w:tcPr>
            <w:tcW w:w="2466" w:type="dxa"/>
            <w:vAlign w:val="center"/>
          </w:tcPr>
          <w:p>
            <w:pPr>
              <w:pStyle w:val="14"/>
            </w:pPr>
            <w:r>
              <w:t>网络设备、自助设备、监控设备、机房动力等设备达到预设功能比例</w:t>
            </w:r>
          </w:p>
        </w:tc>
        <w:tc>
          <w:tcPr>
            <w:tcW w:w="2466" w:type="dxa"/>
            <w:vAlign w:val="center"/>
          </w:tcPr>
          <w:p>
            <w:pPr>
              <w:pStyle w:val="14"/>
            </w:pPr>
            <w:r>
              <w:t>≥95%</w:t>
            </w:r>
          </w:p>
        </w:tc>
        <w:tc>
          <w:tcPr>
            <w:tcW w:w="2466" w:type="dxa"/>
            <w:vAlign w:val="center"/>
          </w:tcPr>
          <w:p>
            <w:pPr>
              <w:pStyle w:val="14"/>
            </w:pPr>
            <w:r>
              <w:t>平台维护项目统计表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通信服务全年开通时间占用率</w:t>
            </w:r>
          </w:p>
        </w:tc>
        <w:tc>
          <w:tcPr>
            <w:tcW w:w="2466" w:type="dxa"/>
            <w:vAlign w:val="center"/>
          </w:tcPr>
          <w:p>
            <w:pPr>
              <w:pStyle w:val="14"/>
            </w:pPr>
            <w:r>
              <w:t>“互联网+政务服务”在全年网络服务所占比率</w:t>
            </w:r>
          </w:p>
        </w:tc>
        <w:tc>
          <w:tcPr>
            <w:tcW w:w="2466" w:type="dxa"/>
            <w:vAlign w:val="center"/>
          </w:tcPr>
          <w:p>
            <w:pPr>
              <w:pStyle w:val="14"/>
            </w:pPr>
            <w:r>
              <w:t>全年24小时不间断服务</w:t>
            </w:r>
          </w:p>
        </w:tc>
        <w:tc>
          <w:tcPr>
            <w:tcW w:w="2466" w:type="dxa"/>
            <w:vAlign w:val="center"/>
          </w:tcPr>
          <w:p>
            <w:pPr>
              <w:pStyle w:val="14"/>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通讯设施预设功能达标率</w:t>
            </w:r>
          </w:p>
        </w:tc>
        <w:tc>
          <w:tcPr>
            <w:tcW w:w="2466" w:type="dxa"/>
            <w:vAlign w:val="center"/>
          </w:tcPr>
          <w:p>
            <w:pPr>
              <w:pStyle w:val="14"/>
            </w:pPr>
            <w:r>
              <w:t>为审批业务提供通信设备预计达到可使用功能情况</w:t>
            </w:r>
          </w:p>
        </w:tc>
        <w:tc>
          <w:tcPr>
            <w:tcW w:w="2466" w:type="dxa"/>
            <w:vAlign w:val="center"/>
          </w:tcPr>
          <w:p>
            <w:pPr>
              <w:pStyle w:val="14"/>
            </w:pPr>
            <w:r>
              <w:t>≥95%</w:t>
            </w:r>
          </w:p>
        </w:tc>
        <w:tc>
          <w:tcPr>
            <w:tcW w:w="2466" w:type="dxa"/>
            <w:vAlign w:val="center"/>
          </w:tcPr>
          <w:p>
            <w:pPr>
              <w:pStyle w:val="14"/>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自助通办提升度</w:t>
            </w:r>
          </w:p>
        </w:tc>
        <w:tc>
          <w:tcPr>
            <w:tcW w:w="2466" w:type="dxa"/>
            <w:vAlign w:val="center"/>
          </w:tcPr>
          <w:p>
            <w:pPr>
              <w:pStyle w:val="14"/>
            </w:pPr>
            <w:r>
              <w:t>自助机运行以来，自助通办业务效率提升情况</w:t>
            </w:r>
          </w:p>
        </w:tc>
        <w:tc>
          <w:tcPr>
            <w:tcW w:w="2466" w:type="dxa"/>
            <w:vAlign w:val="center"/>
          </w:tcPr>
          <w:p>
            <w:pPr>
              <w:pStyle w:val="14"/>
            </w:pPr>
            <w:r>
              <w:t>明显提升</w:t>
            </w:r>
          </w:p>
        </w:tc>
        <w:tc>
          <w:tcPr>
            <w:tcW w:w="2466" w:type="dxa"/>
            <w:vAlign w:val="center"/>
          </w:tcPr>
          <w:p>
            <w:pPr>
              <w:pStyle w:val="14"/>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对窗口人员服务满意度</w:t>
            </w:r>
          </w:p>
        </w:tc>
        <w:tc>
          <w:tcPr>
            <w:tcW w:w="2466" w:type="dxa"/>
            <w:vAlign w:val="center"/>
          </w:tcPr>
          <w:p>
            <w:pPr>
              <w:pStyle w:val="14"/>
            </w:pPr>
            <w:r>
              <w:t>对窗口人员服务等方面满意度</w:t>
            </w:r>
          </w:p>
        </w:tc>
        <w:tc>
          <w:tcPr>
            <w:tcW w:w="2466" w:type="dxa"/>
            <w:vAlign w:val="center"/>
          </w:tcPr>
          <w:p>
            <w:pPr>
              <w:pStyle w:val="14"/>
            </w:pPr>
            <w:r>
              <w:t>≥95%</w:t>
            </w:r>
          </w:p>
        </w:tc>
        <w:tc>
          <w:tcPr>
            <w:tcW w:w="2466" w:type="dxa"/>
            <w:vAlign w:val="center"/>
          </w:tcPr>
          <w:p>
            <w:pPr>
              <w:pStyle w:val="14"/>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对业务办理服务满意度</w:t>
            </w:r>
          </w:p>
        </w:tc>
        <w:tc>
          <w:tcPr>
            <w:tcW w:w="2466" w:type="dxa"/>
            <w:vAlign w:val="center"/>
          </w:tcPr>
          <w:p>
            <w:pPr>
              <w:pStyle w:val="14"/>
            </w:pPr>
            <w:r>
              <w:t>对业务办理等方面满意度</w:t>
            </w:r>
          </w:p>
        </w:tc>
        <w:tc>
          <w:tcPr>
            <w:tcW w:w="2466" w:type="dxa"/>
            <w:vAlign w:val="center"/>
          </w:tcPr>
          <w:p>
            <w:pPr>
              <w:pStyle w:val="14"/>
            </w:pPr>
            <w:r>
              <w:t>≥95%</w:t>
            </w:r>
          </w:p>
        </w:tc>
        <w:tc>
          <w:tcPr>
            <w:tcW w:w="2466" w:type="dxa"/>
            <w:vAlign w:val="center"/>
          </w:tcPr>
          <w:p>
            <w:pPr>
              <w:pStyle w:val="14"/>
            </w:pPr>
            <w:r>
              <w:t>平乡县行政审批局问卷调查回访制度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4、政府采购评标专家酬金项目绩效目标表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1.评标专家酬金标准有所提高，年度平均评标32次，每次评标专家酬金平均2000元计算，每年政府采购评标专家酬金6.58万元，根据预算安排申请6万元。</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审批采购项目</w:t>
            </w:r>
          </w:p>
        </w:tc>
        <w:tc>
          <w:tcPr>
            <w:tcW w:w="2466" w:type="dxa"/>
            <w:vAlign w:val="center"/>
          </w:tcPr>
          <w:p>
            <w:pPr>
              <w:pStyle w:val="14"/>
            </w:pPr>
            <w:r>
              <w:t>全年完成政府采购项目数量</w:t>
            </w:r>
          </w:p>
        </w:tc>
        <w:tc>
          <w:tcPr>
            <w:tcW w:w="2466" w:type="dxa"/>
            <w:vAlign w:val="center"/>
          </w:tcPr>
          <w:p>
            <w:pPr>
              <w:pStyle w:val="14"/>
            </w:pPr>
            <w:r>
              <w:t>≥30组次</w:t>
            </w:r>
          </w:p>
        </w:tc>
        <w:tc>
          <w:tcPr>
            <w:tcW w:w="2466" w:type="dxa"/>
            <w:vAlign w:val="center"/>
          </w:tcPr>
          <w:p>
            <w:pPr>
              <w:pStyle w:val="14"/>
            </w:pPr>
            <w:r>
              <w:t>依据财政主管</w:t>
            </w:r>
            <w:r>
              <w:rPr>
                <w:rFonts w:hint="eastAsia"/>
                <w:lang w:eastAsia="zh-CN"/>
              </w:rPr>
              <w:t>单位</w:t>
            </w:r>
            <w:r>
              <w:t>批复政府集中采购项目采购计划及审批项目数量。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采购评审专家高标准完成评审率</w:t>
            </w:r>
          </w:p>
        </w:tc>
        <w:tc>
          <w:tcPr>
            <w:tcW w:w="2466" w:type="dxa"/>
            <w:vAlign w:val="center"/>
          </w:tcPr>
          <w:p>
            <w:pPr>
              <w:pStyle w:val="14"/>
            </w:pPr>
            <w:r>
              <w:t>采购评审专家高标准完成评审占总评审比率</w:t>
            </w:r>
          </w:p>
        </w:tc>
        <w:tc>
          <w:tcPr>
            <w:tcW w:w="2466" w:type="dxa"/>
            <w:vAlign w:val="center"/>
          </w:tcPr>
          <w:p>
            <w:pPr>
              <w:pStyle w:val="14"/>
            </w:pPr>
            <w:r>
              <w:t>≥98%</w:t>
            </w:r>
          </w:p>
        </w:tc>
        <w:tc>
          <w:tcPr>
            <w:tcW w:w="2466" w:type="dxa"/>
            <w:vAlign w:val="center"/>
          </w:tcPr>
          <w:p>
            <w:pPr>
              <w:pStyle w:val="14"/>
            </w:pPr>
            <w:r>
              <w:t>依据财政主管</w:t>
            </w:r>
            <w:r>
              <w:rPr>
                <w:rFonts w:hint="eastAsia"/>
                <w:lang w:eastAsia="zh-CN"/>
              </w:rPr>
              <w:t>单位</w:t>
            </w:r>
            <w:r>
              <w:t>批复政府集中采购项目采购计划及审批项目数量。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劳务费发放及时率</w:t>
            </w:r>
          </w:p>
        </w:tc>
        <w:tc>
          <w:tcPr>
            <w:tcW w:w="2466" w:type="dxa"/>
            <w:vAlign w:val="center"/>
          </w:tcPr>
          <w:p>
            <w:pPr>
              <w:pStyle w:val="14"/>
            </w:pPr>
            <w:r>
              <w:t>开展政府采购评标专家活动补助金劳务费支付及时发放次数占总次数比率</w:t>
            </w:r>
          </w:p>
        </w:tc>
        <w:tc>
          <w:tcPr>
            <w:tcW w:w="2466" w:type="dxa"/>
            <w:vAlign w:val="center"/>
          </w:tcPr>
          <w:p>
            <w:pPr>
              <w:pStyle w:val="14"/>
            </w:pPr>
            <w:r>
              <w:t>≥85%</w:t>
            </w:r>
          </w:p>
        </w:tc>
        <w:tc>
          <w:tcPr>
            <w:tcW w:w="2466" w:type="dxa"/>
            <w:vAlign w:val="center"/>
          </w:tcPr>
          <w:p>
            <w:pPr>
              <w:pStyle w:val="14"/>
            </w:pPr>
            <w:r>
              <w:t>政府采购项目绩效评价管理办法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评标专家组需要费用</w:t>
            </w:r>
          </w:p>
        </w:tc>
        <w:tc>
          <w:tcPr>
            <w:tcW w:w="2466" w:type="dxa"/>
            <w:vAlign w:val="center"/>
          </w:tcPr>
          <w:p>
            <w:pPr>
              <w:pStyle w:val="14"/>
            </w:pPr>
            <w:r>
              <w:t>评标专家每组平均费用</w:t>
            </w:r>
          </w:p>
        </w:tc>
        <w:tc>
          <w:tcPr>
            <w:tcW w:w="2466" w:type="dxa"/>
            <w:vAlign w:val="center"/>
          </w:tcPr>
          <w:p>
            <w:pPr>
              <w:pStyle w:val="14"/>
            </w:pPr>
            <w:r>
              <w:t>≤2000元/组次</w:t>
            </w:r>
          </w:p>
        </w:tc>
        <w:tc>
          <w:tcPr>
            <w:tcW w:w="2466" w:type="dxa"/>
            <w:vAlign w:val="center"/>
          </w:tcPr>
          <w:p>
            <w:pPr>
              <w:pStyle w:val="14"/>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全年通过政府集中采购，整体项目资金节约率</w:t>
            </w:r>
          </w:p>
        </w:tc>
        <w:tc>
          <w:tcPr>
            <w:tcW w:w="2466" w:type="dxa"/>
            <w:vAlign w:val="center"/>
          </w:tcPr>
          <w:p>
            <w:pPr>
              <w:pStyle w:val="14"/>
            </w:pPr>
            <w:r>
              <w:t>全年通过政府集中采购，整体项目资金节约情况</w:t>
            </w:r>
          </w:p>
        </w:tc>
        <w:tc>
          <w:tcPr>
            <w:tcW w:w="2466" w:type="dxa"/>
            <w:vAlign w:val="center"/>
          </w:tcPr>
          <w:p>
            <w:pPr>
              <w:pStyle w:val="14"/>
            </w:pPr>
            <w:r>
              <w:t>≥15%</w:t>
            </w:r>
          </w:p>
        </w:tc>
        <w:tc>
          <w:tcPr>
            <w:tcW w:w="2466" w:type="dxa"/>
            <w:vAlign w:val="center"/>
          </w:tcPr>
          <w:p>
            <w:pPr>
              <w:pStyle w:val="14"/>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社会服务能力提升</w:t>
            </w:r>
          </w:p>
        </w:tc>
        <w:tc>
          <w:tcPr>
            <w:tcW w:w="2466" w:type="dxa"/>
            <w:vAlign w:val="center"/>
          </w:tcPr>
          <w:p>
            <w:pPr>
              <w:pStyle w:val="14"/>
            </w:pPr>
            <w:r>
              <w:t>通过采购途径间接提供社会整体服务水平的提升</w:t>
            </w:r>
          </w:p>
        </w:tc>
        <w:tc>
          <w:tcPr>
            <w:tcW w:w="2466" w:type="dxa"/>
            <w:vAlign w:val="center"/>
          </w:tcPr>
          <w:p>
            <w:pPr>
              <w:pStyle w:val="14"/>
            </w:pPr>
            <w:r>
              <w:t>100%</w:t>
            </w:r>
          </w:p>
        </w:tc>
        <w:tc>
          <w:tcPr>
            <w:tcW w:w="2466" w:type="dxa"/>
            <w:vAlign w:val="center"/>
          </w:tcPr>
          <w:p>
            <w:pPr>
              <w:pStyle w:val="14"/>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提高采购质量，降低采购成本</w:t>
            </w:r>
          </w:p>
        </w:tc>
        <w:tc>
          <w:tcPr>
            <w:tcW w:w="2466" w:type="dxa"/>
            <w:vAlign w:val="center"/>
          </w:tcPr>
          <w:p>
            <w:pPr>
              <w:pStyle w:val="14"/>
            </w:pPr>
            <w:r>
              <w:t>提高采购质量，降低采购成本</w:t>
            </w:r>
          </w:p>
        </w:tc>
        <w:tc>
          <w:tcPr>
            <w:tcW w:w="2466" w:type="dxa"/>
            <w:vAlign w:val="center"/>
          </w:tcPr>
          <w:p>
            <w:pPr>
              <w:pStyle w:val="14"/>
            </w:pPr>
            <w:r>
              <w:t>提高明显</w:t>
            </w:r>
          </w:p>
        </w:tc>
        <w:tc>
          <w:tcPr>
            <w:tcW w:w="2466" w:type="dxa"/>
            <w:vAlign w:val="center"/>
          </w:tcPr>
          <w:p>
            <w:pPr>
              <w:pStyle w:val="14"/>
            </w:pPr>
            <w:r>
              <w:t>政府采购项目绩效评价管理办法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投标方对专家评审服务满意度</w:t>
            </w:r>
          </w:p>
        </w:tc>
        <w:tc>
          <w:tcPr>
            <w:tcW w:w="2466" w:type="dxa"/>
            <w:vAlign w:val="center"/>
          </w:tcPr>
          <w:p>
            <w:pPr>
              <w:pStyle w:val="14"/>
            </w:pPr>
            <w:r>
              <w:t>投标方对专家评审服务满意度</w:t>
            </w:r>
          </w:p>
        </w:tc>
        <w:tc>
          <w:tcPr>
            <w:tcW w:w="2466" w:type="dxa"/>
            <w:vAlign w:val="center"/>
          </w:tcPr>
          <w:p>
            <w:pPr>
              <w:pStyle w:val="14"/>
            </w:pPr>
            <w:r>
              <w:t>≥95%</w:t>
            </w:r>
          </w:p>
        </w:tc>
        <w:tc>
          <w:tcPr>
            <w:tcW w:w="2466" w:type="dxa"/>
            <w:vAlign w:val="center"/>
          </w:tcPr>
          <w:p>
            <w:pPr>
              <w:pStyle w:val="14"/>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服务对象满意率</w:t>
            </w:r>
          </w:p>
        </w:tc>
        <w:tc>
          <w:tcPr>
            <w:tcW w:w="2466" w:type="dxa"/>
            <w:vAlign w:val="center"/>
          </w:tcPr>
          <w:p>
            <w:pPr>
              <w:pStyle w:val="14"/>
            </w:pPr>
            <w:r>
              <w:t>为评标专家提供服务情况</w:t>
            </w:r>
          </w:p>
        </w:tc>
        <w:tc>
          <w:tcPr>
            <w:tcW w:w="2466" w:type="dxa"/>
            <w:vAlign w:val="center"/>
          </w:tcPr>
          <w:p>
            <w:pPr>
              <w:pStyle w:val="14"/>
            </w:pPr>
            <w:r>
              <w:t>100%</w:t>
            </w:r>
          </w:p>
        </w:tc>
        <w:tc>
          <w:tcPr>
            <w:tcW w:w="2466" w:type="dxa"/>
            <w:vAlign w:val="center"/>
          </w:tcPr>
          <w:p>
            <w:pPr>
              <w:pStyle w:val="14"/>
            </w:pPr>
            <w:r>
              <w:t>平乡县行政审批局问卷调查回访制度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5、综合业务工作经费绩效目标表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1.实现一枚印章管审批，切实解决行政审批事项分散、公章"四面围城"、审批"万里长征"的问题。</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审批、服务等方面的办件数量</w:t>
            </w:r>
          </w:p>
        </w:tc>
        <w:tc>
          <w:tcPr>
            <w:tcW w:w="2466" w:type="dxa"/>
            <w:vAlign w:val="center"/>
          </w:tcPr>
          <w:p>
            <w:pPr>
              <w:pStyle w:val="14"/>
            </w:pPr>
            <w:r>
              <w:t>全年政务服务办事大厅年度为企业、群众办理的事项数量</w:t>
            </w:r>
          </w:p>
        </w:tc>
        <w:tc>
          <w:tcPr>
            <w:tcW w:w="2466" w:type="dxa"/>
            <w:vAlign w:val="center"/>
          </w:tcPr>
          <w:p>
            <w:pPr>
              <w:pStyle w:val="14"/>
            </w:pPr>
            <w:r>
              <w:t>≥5000件</w:t>
            </w:r>
          </w:p>
        </w:tc>
        <w:tc>
          <w:tcPr>
            <w:tcW w:w="2466" w:type="dxa"/>
            <w:vAlign w:val="center"/>
          </w:tcPr>
          <w:p>
            <w:pPr>
              <w:pStyle w:val="14"/>
            </w:pPr>
            <w:r>
              <w:t>行政审批局一次性告知制度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审批业务资料完整率</w:t>
            </w:r>
          </w:p>
        </w:tc>
        <w:tc>
          <w:tcPr>
            <w:tcW w:w="2466" w:type="dxa"/>
            <w:vAlign w:val="center"/>
          </w:tcPr>
          <w:p>
            <w:pPr>
              <w:pStyle w:val="14"/>
            </w:pPr>
            <w:r>
              <w:t>审批业务资料完整数占总数比率</w:t>
            </w:r>
          </w:p>
        </w:tc>
        <w:tc>
          <w:tcPr>
            <w:tcW w:w="2466" w:type="dxa"/>
            <w:vAlign w:val="center"/>
          </w:tcPr>
          <w:p>
            <w:pPr>
              <w:pStyle w:val="14"/>
            </w:pPr>
            <w:r>
              <w:t>≥95%</w:t>
            </w:r>
          </w:p>
        </w:tc>
        <w:tc>
          <w:tcPr>
            <w:tcW w:w="2466" w:type="dxa"/>
            <w:vAlign w:val="center"/>
          </w:tcPr>
          <w:p>
            <w:pPr>
              <w:pStyle w:val="14"/>
            </w:pPr>
            <w:r>
              <w:t>行政审批局一次性告知制度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现场踏勘按时办结率</w:t>
            </w:r>
          </w:p>
        </w:tc>
        <w:tc>
          <w:tcPr>
            <w:tcW w:w="2466" w:type="dxa"/>
            <w:vAlign w:val="center"/>
          </w:tcPr>
          <w:p>
            <w:pPr>
              <w:pStyle w:val="14"/>
            </w:pPr>
            <w:r>
              <w:t>现场踏勘规定时间内完成占总数比率</w:t>
            </w:r>
          </w:p>
        </w:tc>
        <w:tc>
          <w:tcPr>
            <w:tcW w:w="2466" w:type="dxa"/>
            <w:vAlign w:val="center"/>
          </w:tcPr>
          <w:p>
            <w:pPr>
              <w:pStyle w:val="14"/>
            </w:pPr>
            <w:r>
              <w:t>≥95%</w:t>
            </w:r>
          </w:p>
        </w:tc>
        <w:tc>
          <w:tcPr>
            <w:tcW w:w="2466" w:type="dxa"/>
            <w:vAlign w:val="center"/>
          </w:tcPr>
          <w:p>
            <w:pPr>
              <w:pStyle w:val="14"/>
            </w:pPr>
            <w:r>
              <w:t>行政审批局限时办结制执行情况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审批业务单价预计消耗办公资源费用</w:t>
            </w:r>
          </w:p>
        </w:tc>
        <w:tc>
          <w:tcPr>
            <w:tcW w:w="2466" w:type="dxa"/>
            <w:vAlign w:val="center"/>
          </w:tcPr>
          <w:p>
            <w:pPr>
              <w:pStyle w:val="14"/>
            </w:pPr>
            <w:r>
              <w:t>审批业务单价预计平均消耗办公资源平均费用</w:t>
            </w:r>
          </w:p>
        </w:tc>
        <w:tc>
          <w:tcPr>
            <w:tcW w:w="2466" w:type="dxa"/>
            <w:vAlign w:val="center"/>
          </w:tcPr>
          <w:p>
            <w:pPr>
              <w:pStyle w:val="14"/>
            </w:pPr>
            <w:r>
              <w:t>≤88元/次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事项处理完结率</w:t>
            </w:r>
          </w:p>
        </w:tc>
        <w:tc>
          <w:tcPr>
            <w:tcW w:w="2466" w:type="dxa"/>
            <w:vAlign w:val="center"/>
          </w:tcPr>
          <w:p>
            <w:pPr>
              <w:pStyle w:val="14"/>
            </w:pPr>
            <w:r>
              <w:t>综合事务管理工作完成情况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提升服务效率，打造良好的营商环境</w:t>
            </w:r>
          </w:p>
        </w:tc>
        <w:tc>
          <w:tcPr>
            <w:tcW w:w="2466" w:type="dxa"/>
            <w:vAlign w:val="center"/>
          </w:tcPr>
          <w:p>
            <w:pPr>
              <w:pStyle w:val="14"/>
            </w:pPr>
            <w:r>
              <w:t>提升服务效率，打造良好的营商环境</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审批、服务事项提前办结率</w:t>
            </w:r>
          </w:p>
        </w:tc>
        <w:tc>
          <w:tcPr>
            <w:tcW w:w="2466" w:type="dxa"/>
            <w:vAlign w:val="center"/>
          </w:tcPr>
          <w:p>
            <w:pPr>
              <w:pStyle w:val="14"/>
            </w:pPr>
            <w:r>
              <w:t>企业、群众一门办各项业务的提前办结率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对审批业务办理过程的满意度</w:t>
            </w:r>
          </w:p>
        </w:tc>
        <w:tc>
          <w:tcPr>
            <w:tcW w:w="2466" w:type="dxa"/>
            <w:vAlign w:val="center"/>
          </w:tcPr>
          <w:p>
            <w:pPr>
              <w:pStyle w:val="14"/>
            </w:pPr>
            <w:r>
              <w:t>对审批业务办理过程的满意度</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办事企业、群众满意率</w:t>
            </w:r>
          </w:p>
        </w:tc>
        <w:tc>
          <w:tcPr>
            <w:tcW w:w="2466" w:type="dxa"/>
            <w:vAlign w:val="center"/>
          </w:tcPr>
          <w:p>
            <w:pPr>
              <w:pStyle w:val="14"/>
            </w:pPr>
            <w:r>
              <w:t>全年企业、群众在政务服务大厅办事的满意比例</w:t>
            </w:r>
          </w:p>
        </w:tc>
        <w:tc>
          <w:tcPr>
            <w:tcW w:w="2466" w:type="dxa"/>
            <w:vAlign w:val="center"/>
          </w:tcPr>
          <w:p>
            <w:pPr>
              <w:pStyle w:val="14"/>
            </w:pPr>
            <w:r>
              <w:t>100%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2022年，平乡县行政审批局安排政府采购预算0.00万元。具体内容见下表。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428平乡县行政审批局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平乡县行政审批局（含所属单位）上年末固定资产金额为616.81万元（详见下表）。本年度拟购置固定资产总额为0.00万元，已按要求列入政府采购预算，详见政府采购预算表。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428平乡县行政审批局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616.81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r>
              <w:t>1196</w:t>
            </w:r>
          </w:p>
        </w:tc>
        <w:tc>
          <w:tcPr>
            <w:tcW w:w="4933" w:type="dxa"/>
            <w:vAlign w:val="center"/>
          </w:tcPr>
          <w:p>
            <w:pPr>
              <w:pStyle w:val="13"/>
            </w:pPr>
            <w:r>
              <w:t>602.51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预算部门单位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ZjFlOTZmNzE2Nzc0Zjk5MjcxZmUyZTU5NGM5YWYifQ=="/>
  </w:docVars>
  <w:rsids>
    <w:rsidRoot w:val="00000000"/>
    <w:rsid w:val="013D42CA"/>
    <w:rsid w:val="0A403806"/>
    <w:rsid w:val="225E57CD"/>
    <w:rsid w:val="2B5621F6"/>
    <w:rsid w:val="659B781F"/>
    <w:rsid w:val="665C43B2"/>
    <w:rsid w:val="68BB0E47"/>
    <w:rsid w:val="7DD623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11" Target="../customXml/item4.xml" Type="http://schemas.openxmlformats.org/officeDocument/2006/relationships/customXml"/><Relationship Id="rId12" Target="../customXml/item5.xml" Type="http://schemas.openxmlformats.org/officeDocument/2006/relationships/customXml"/><Relationship Id="rId13" Target="../customXml/item6.xml" Type="http://schemas.openxmlformats.org/officeDocument/2006/relationships/customXml"/><Relationship Id="rId14" Target="../customXml/item7.xml" Type="http://schemas.openxmlformats.org/officeDocument/2006/relationships/customXml"/><Relationship Id="rId15" Target="../customXml/item8.xml" Type="http://schemas.openxmlformats.org/officeDocument/2006/relationships/customXml"/><Relationship Id="rId16" Target="../customXml/item9.xml" Type="http://schemas.openxmlformats.org/officeDocument/2006/relationships/customXml"/><Relationship Id="rId17" Target="../customXml/item10.xml" Type="http://schemas.openxmlformats.org/officeDocument/2006/relationships/customXml"/><Relationship Id="rId18" Target="../customXml/item11.xml" Type="http://schemas.openxmlformats.org/officeDocument/2006/relationships/customXml"/><Relationship Id="rId19" Target="../customXml/item12.xml" Type="http://schemas.openxmlformats.org/officeDocument/2006/relationships/customXml"/><Relationship Id="rId2" Target="settings.xml" Type="http://schemas.openxmlformats.org/officeDocument/2006/relationships/settings"/><Relationship Id="rId20" Target="../customXml/item13.xml" Type="http://schemas.openxmlformats.org/officeDocument/2006/relationships/customXml"/><Relationship Id="rId21" Target="../customXml/item14.xml" Type="http://schemas.openxmlformats.org/officeDocument/2006/relationships/customXml"/><Relationship Id="rId22" Target="../customXml/item15.xml" Type="http://schemas.openxmlformats.org/officeDocument/2006/relationships/customXml"/><Relationship Id="rId23" Target="../customXml/item16.xml" Type="http://schemas.openxmlformats.org/officeDocument/2006/relationships/customXml"/><Relationship Id="rId24" Target="../customXml/item17.xml" Type="http://schemas.openxmlformats.org/officeDocument/2006/relationships/customXml"/><Relationship Id="rId25" Target="../customXml/item18.xml" Type="http://schemas.openxmlformats.org/officeDocument/2006/relationships/customXml"/><Relationship Id="rId26" Target="../customXml/item19.xml" Type="http://schemas.openxmlformats.org/officeDocument/2006/relationships/customXml"/><Relationship Id="rId27" Target="../customXml/item20.xml" Type="http://schemas.openxmlformats.org/officeDocument/2006/relationships/customXml"/><Relationship Id="rId28" Target="../customXml/item21.xml" Type="http://schemas.openxmlformats.org/officeDocument/2006/relationships/customXml"/><Relationship Id="rId29" Target="../customXml/item22.xml" Type="http://schemas.openxmlformats.org/officeDocument/2006/relationships/customXml"/><Relationship Id="rId3" Target="footer1.xml" Type="http://schemas.openxmlformats.org/officeDocument/2006/relationships/footer"/><Relationship Id="rId30" Target="../customXml/item23.xml" Type="http://schemas.openxmlformats.org/officeDocument/2006/relationships/customXml"/><Relationship Id="rId31" Target="../customXml/item24.xml" Type="http://schemas.openxmlformats.org/officeDocument/2006/relationships/customXml"/><Relationship Id="rId32" Target="../customXml/item25.xml" Type="http://schemas.openxmlformats.org/officeDocument/2006/relationships/customXml"/><Relationship Id="rId33" Target="../customXml/item26.xml" Type="http://schemas.openxmlformats.org/officeDocument/2006/relationships/customXml"/><Relationship Id="rId34" Target="../customXml/item27.xml" Type="http://schemas.openxmlformats.org/officeDocument/2006/relationships/customXml"/><Relationship Id="rId35" Target="../customXml/item28.xml" Type="http://schemas.openxmlformats.org/officeDocument/2006/relationships/customXml"/><Relationship Id="rId36" Target="../customXml/item29.xml" Type="http://schemas.openxmlformats.org/officeDocument/2006/relationships/customXml"/><Relationship Id="rId37" Target="../customXml/item30.xml" Type="http://schemas.openxmlformats.org/officeDocument/2006/relationships/customXml"/><Relationship Id="rId38" Target="fontTable.xml" Type="http://schemas.openxmlformats.org/officeDocument/2006/relationships/fontTable"/><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2022-03-07T09:54:35Z</dcterms:created>
  <dcterms:modified xsi:type="dcterms:W3CDTF">2022-03-07T01:54:35Z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2022-03-07T09:54:35Z</dcterms:created>
  <dcterms:modified xsi:type="dcterms:W3CDTF">2022-03-07T01:54:35Z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2022-03-07T09:54:35Z</dcterms:created>
  <dcterms:modified xsi:type="dcterms:W3CDTF">2022-03-07T01:54:35Z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2022-03-07T09:54:35Z</dcterms:created>
  <dcterms:modified xsi:type="dcterms:W3CDTF">2022-03-07T01:54:35Z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2022-03-07T09:54:34Z</dcterms:created>
  <dcterms:modified xsi:type="dcterms:W3CDTF">2022-03-07T01:54:34Z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2022-03-07T09:54:34Z</dcterms:created>
  <dcterms:modified xsi:type="dcterms:W3CDTF">2022-03-07T01:54:34Z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2022-03-07T09:54:33Z</dcterms:created>
  <dcterms:modified xsi:type="dcterms:W3CDTF">2022-03-07T01:54:32Z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2022-03-07T09:54:31Z</dcterms:created>
  <dcterms:modified xsi:type="dcterms:W3CDTF">2022-03-07T01:54:31Z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2022-03-07T09:54:32Z</dcterms:created>
  <dcterms:modified xsi:type="dcterms:W3CDTF">2022-03-07T01:54:32Z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2022-03-07T09:54:35Z</dcterms:created>
  <dcterms:modified xsi:type="dcterms:W3CDTF">2022-03-07T01:54:35Z</dcterms:modified>
</cp:coreProperties>
</file>

<file path=customXml/itemProps1.xml><?xml version="1.0" encoding="utf-8"?>
<ds:datastoreItem xmlns:ds="http://schemas.openxmlformats.org/officeDocument/2006/customXml" ds:itemID="{112c1b33-64ea-41cc-bc74-153f347baa03}">
  <ds:schemaRefs/>
</ds:datastoreItem>
</file>

<file path=customXml/itemProps10.xml><?xml version="1.0" encoding="utf-8"?>
<ds:datastoreItem xmlns:ds="http://schemas.openxmlformats.org/officeDocument/2006/customXml" ds:itemID="{b3581c23-78db-4912-a84b-9ac9b8283aa4}">
  <ds:schemaRefs/>
</ds:datastoreItem>
</file>

<file path=customXml/itemProps11.xml><?xml version="1.0" encoding="utf-8"?>
<ds:datastoreItem xmlns:ds="http://schemas.openxmlformats.org/officeDocument/2006/customXml" ds:itemID="{01b5749e-561d-42c6-ada2-57218813a329}">
  <ds:schemaRefs/>
</ds:datastoreItem>
</file>

<file path=customXml/itemProps12.xml><?xml version="1.0" encoding="utf-8"?>
<ds:datastoreItem xmlns:ds="http://schemas.openxmlformats.org/officeDocument/2006/customXml" ds:itemID="{38147449-60bd-4125-907c-c543ad8751ad}">
  <ds:schemaRefs/>
</ds:datastoreItem>
</file>

<file path=customXml/itemProps13.xml><?xml version="1.0" encoding="utf-8"?>
<ds:datastoreItem xmlns:ds="http://schemas.openxmlformats.org/officeDocument/2006/customXml" ds:itemID="{aa00d160-24a0-4d33-9ad9-fd2596cffb96}">
  <ds:schemaRefs/>
</ds:datastoreItem>
</file>

<file path=customXml/itemProps14.xml><?xml version="1.0" encoding="utf-8"?>
<ds:datastoreItem xmlns:ds="http://schemas.openxmlformats.org/officeDocument/2006/customXml" ds:itemID="{c5c82bd5-06bd-486e-b18c-7d66f6652233}">
  <ds:schemaRefs/>
</ds:datastoreItem>
</file>

<file path=customXml/itemProps15.xml><?xml version="1.0" encoding="utf-8"?>
<ds:datastoreItem xmlns:ds="http://schemas.openxmlformats.org/officeDocument/2006/customXml" ds:itemID="{c48bb57d-22d9-4a4b-90ad-ed318b00ad9f}">
  <ds:schemaRefs/>
</ds:datastoreItem>
</file>

<file path=customXml/itemProps16.xml><?xml version="1.0" encoding="utf-8"?>
<ds:datastoreItem xmlns:ds="http://schemas.openxmlformats.org/officeDocument/2006/customXml" ds:itemID="{377bed1a-69dd-4c00-a3c3-86305a3cefa4}">
  <ds:schemaRefs/>
</ds:datastoreItem>
</file>

<file path=customXml/itemProps17.xml><?xml version="1.0" encoding="utf-8"?>
<ds:datastoreItem xmlns:ds="http://schemas.openxmlformats.org/officeDocument/2006/customXml" ds:itemID="{8493955b-c160-447f-a6f1-6f6475e93c41}">
  <ds:schemaRefs/>
</ds:datastoreItem>
</file>

<file path=customXml/itemProps18.xml><?xml version="1.0" encoding="utf-8"?>
<ds:datastoreItem xmlns:ds="http://schemas.openxmlformats.org/officeDocument/2006/customXml" ds:itemID="{c1d2ef78-3acd-448e-8f61-032e5e3b874a}">
  <ds:schemaRefs/>
</ds:datastoreItem>
</file>

<file path=customXml/itemProps19.xml><?xml version="1.0" encoding="utf-8"?>
<ds:datastoreItem xmlns:ds="http://schemas.openxmlformats.org/officeDocument/2006/customXml" ds:itemID="{82b5f92c-514b-4fba-b086-0234f45aa76a}">
  <ds:schemaRefs/>
</ds:datastoreItem>
</file>

<file path=customXml/itemProps2.xml><?xml version="1.0" encoding="utf-8"?>
<ds:datastoreItem xmlns:ds="http://schemas.openxmlformats.org/officeDocument/2006/customXml" ds:itemID="{fb093a92-a580-4dd0-9856-398f9c1925b8}">
  <ds:schemaRefs/>
</ds:datastoreItem>
</file>

<file path=customXml/itemProps20.xml><?xml version="1.0" encoding="utf-8"?>
<ds:datastoreItem xmlns:ds="http://schemas.openxmlformats.org/officeDocument/2006/customXml" ds:itemID="{144abbb7-cf66-46a6-b0fc-59b900c05370}">
  <ds:schemaRefs/>
</ds:datastoreItem>
</file>

<file path=customXml/itemProps21.xml><?xml version="1.0" encoding="utf-8"?>
<ds:datastoreItem xmlns:ds="http://schemas.openxmlformats.org/officeDocument/2006/customXml" ds:itemID="{32d00733-7a82-4376-b5a2-bbfcef7fc7ef}">
  <ds:schemaRefs/>
</ds:datastoreItem>
</file>

<file path=customXml/itemProps22.xml><?xml version="1.0" encoding="utf-8"?>
<ds:datastoreItem xmlns:ds="http://schemas.openxmlformats.org/officeDocument/2006/customXml" ds:itemID="{1a30d403-f463-437e-846c-50c7b1668a0b}">
  <ds:schemaRefs/>
</ds:datastoreItem>
</file>

<file path=customXml/itemProps23.xml><?xml version="1.0" encoding="utf-8"?>
<ds:datastoreItem xmlns:ds="http://schemas.openxmlformats.org/officeDocument/2006/customXml" ds:itemID="{2b06eb20-a1cd-4769-9184-20d0743d048a}">
  <ds:schemaRefs/>
</ds:datastoreItem>
</file>

<file path=customXml/itemProps24.xml><?xml version="1.0" encoding="utf-8"?>
<ds:datastoreItem xmlns:ds="http://schemas.openxmlformats.org/officeDocument/2006/customXml" ds:itemID="{97513103-6b49-4100-8af2-bc68d47785f2}">
  <ds:schemaRefs/>
</ds:datastoreItem>
</file>

<file path=customXml/itemProps25.xml><?xml version="1.0" encoding="utf-8"?>
<ds:datastoreItem xmlns:ds="http://schemas.openxmlformats.org/officeDocument/2006/customXml" ds:itemID="{7923cc17-13ad-4f31-8ddf-b05cda24f1d6}">
  <ds:schemaRefs/>
</ds:datastoreItem>
</file>

<file path=customXml/itemProps26.xml><?xml version="1.0" encoding="utf-8"?>
<ds:datastoreItem xmlns:ds="http://schemas.openxmlformats.org/officeDocument/2006/customXml" ds:itemID="{35de2f31-f0a2-402b-bd6d-e0b88c9189ff}">
  <ds:schemaRefs/>
</ds:datastoreItem>
</file>

<file path=customXml/itemProps27.xml><?xml version="1.0" encoding="utf-8"?>
<ds:datastoreItem xmlns:ds="http://schemas.openxmlformats.org/officeDocument/2006/customXml" ds:itemID="{6e907798-a938-4c88-83fe-3c45998043f3}">
  <ds:schemaRefs/>
</ds:datastoreItem>
</file>

<file path=customXml/itemProps28.xml><?xml version="1.0" encoding="utf-8"?>
<ds:datastoreItem xmlns:ds="http://schemas.openxmlformats.org/officeDocument/2006/customXml" ds:itemID="{784376b6-f7b5-4946-a425-466a3983d552}">
  <ds:schemaRefs/>
</ds:datastoreItem>
</file>

<file path=customXml/itemProps29.xml><?xml version="1.0" encoding="utf-8"?>
<ds:datastoreItem xmlns:ds="http://schemas.openxmlformats.org/officeDocument/2006/customXml" ds:itemID="{34d5ba76-56e5-4450-93ca-2e74272d16a4}">
  <ds:schemaRefs/>
</ds:datastoreItem>
</file>

<file path=customXml/itemProps3.xml><?xml version="1.0" encoding="utf-8"?>
<ds:datastoreItem xmlns:ds="http://schemas.openxmlformats.org/officeDocument/2006/customXml" ds:itemID="{a158391d-1183-47b7-9da0-c46fa89d26b1}">
  <ds:schemaRefs/>
</ds:datastoreItem>
</file>

<file path=customXml/itemProps30.xml><?xml version="1.0" encoding="utf-8"?>
<ds:datastoreItem xmlns:ds="http://schemas.openxmlformats.org/officeDocument/2006/customXml" ds:itemID="{df21abf8-e8d0-4578-8671-48f736acf38f}">
  <ds:schemaRefs/>
</ds:datastoreItem>
</file>

<file path=customXml/itemProps4.xml><?xml version="1.0" encoding="utf-8"?>
<ds:datastoreItem xmlns:ds="http://schemas.openxmlformats.org/officeDocument/2006/customXml" ds:itemID="{d5e1248a-0215-40e4-8d81-71e3365034c7}">
  <ds:schemaRefs/>
</ds:datastoreItem>
</file>

<file path=customXml/itemProps5.xml><?xml version="1.0" encoding="utf-8"?>
<ds:datastoreItem xmlns:ds="http://schemas.openxmlformats.org/officeDocument/2006/customXml" ds:itemID="{e32dd15a-e650-4f94-9e00-91c4ad9ebb6c}">
  <ds:schemaRefs/>
</ds:datastoreItem>
</file>

<file path=customXml/itemProps6.xml><?xml version="1.0" encoding="utf-8"?>
<ds:datastoreItem xmlns:ds="http://schemas.openxmlformats.org/officeDocument/2006/customXml" ds:itemID="{d46b1880-472b-4143-a9f0-b511ade260f9}">
  <ds:schemaRefs/>
</ds:datastoreItem>
</file>

<file path=customXml/itemProps7.xml><?xml version="1.0" encoding="utf-8"?>
<ds:datastoreItem xmlns:ds="http://schemas.openxmlformats.org/officeDocument/2006/customXml" ds:itemID="{773931ce-1b5a-4a69-9330-1ac3f3312bfe}">
  <ds:schemaRefs/>
</ds:datastoreItem>
</file>

<file path=customXml/itemProps8.xml><?xml version="1.0" encoding="utf-8"?>
<ds:datastoreItem xmlns:ds="http://schemas.openxmlformats.org/officeDocument/2006/customXml" ds:itemID="{e2ec9f99-28ed-4fbd-94d1-5d3ae4d17e7d}">
  <ds:schemaRefs/>
</ds:datastoreItem>
</file>

<file path=customXml/itemProps9.xml><?xml version="1.0" encoding="utf-8"?>
<ds:datastoreItem xmlns:ds="http://schemas.openxmlformats.org/officeDocument/2006/customXml" ds:itemID="{13dc0ae7-bba2-489c-9e1c-fa31b1cd6caf}">
  <ds:schemaRefs/>
</ds:datastoreItem>
</file>

<file path=docProps/app.xml><?xml version="1.0" encoding="utf-8"?>
<Properties xmlns="http://schemas.openxmlformats.org/officeDocument/2006/extended-properties" xmlns:vt="http://schemas.openxmlformats.org/officeDocument/2006/docPropsVTypes">
  <Pages>47</Pages>
  <Words>11334</Words>
  <Characters>12677</Characters>
  <TotalTime>3</TotalTime>
  <ScaleCrop>false</ScaleCrop>
  <LinksUpToDate>false</LinksUpToDate>
  <CharactersWithSpaces>12864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2022-03-07T09:54:00Z</dcterms:created>
  <dc:creator>Administrator</dc:creator>
  <cp:lastModifiedBy>。。。</cp:lastModifiedBy>
  <dcterms:modified xsi:type="dcterms:W3CDTF">2023-09-06T06:07:54Z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BFD95BC20B884FC9BA3813634D250AB0_13</vt:lpwstr>
  </property>
</Properties>
</file>