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276"/>
        <w:gridCol w:w="1666"/>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434平乡县人民政府办公室</w:t>
            </w:r>
          </w:p>
        </w:tc>
        <w:tc>
          <w:tcPr>
            <w:tcW w:w="2276" w:type="dxa"/>
            <w:tcBorders>
              <w:top w:val="single" w:color="FFFFFF" w:sz="6" w:space="0"/>
              <w:left w:val="single" w:color="FFFFFF" w:sz="6" w:space="0"/>
              <w:right w:val="single" w:color="FFFFFF" w:sz="6" w:space="0"/>
            </w:tcBorders>
            <w:vAlign w:val="center"/>
          </w:tcPr>
          <w:p>
            <w:pPr>
              <w:pStyle w:val="10"/>
            </w:pPr>
            <w:r>
              <w:t>预算年度：2023</w:t>
            </w:r>
          </w:p>
        </w:tc>
        <w:tc>
          <w:tcPr>
            <w:tcW w:w="36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4247" w:type="dxa"/>
            <w:gridSpan w:val="2"/>
            <w:vAlign w:val="center"/>
          </w:tcPr>
          <w:p>
            <w:pPr>
              <w:pStyle w:val="12"/>
            </w:pPr>
            <w:r>
              <w:t>收入</w:t>
            </w:r>
          </w:p>
        </w:tc>
        <w:tc>
          <w:tcPr>
            <w:tcW w:w="363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2276" w:type="dxa"/>
            <w:vAlign w:val="center"/>
          </w:tcPr>
          <w:p>
            <w:pPr>
              <w:pStyle w:val="12"/>
            </w:pPr>
            <w:r>
              <w:t>预算数</w:t>
            </w:r>
          </w:p>
        </w:tc>
        <w:tc>
          <w:tcPr>
            <w:tcW w:w="1666"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2276" w:type="dxa"/>
            <w:vAlign w:val="center"/>
          </w:tcPr>
          <w:p>
            <w:pPr>
              <w:pStyle w:val="12"/>
            </w:pPr>
            <w:r>
              <w:t>2</w:t>
            </w:r>
          </w:p>
        </w:tc>
        <w:tc>
          <w:tcPr>
            <w:tcW w:w="1666"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2276" w:type="dxa"/>
            <w:vAlign w:val="center"/>
          </w:tcPr>
          <w:p>
            <w:pPr>
              <w:pStyle w:val="13"/>
            </w:pPr>
            <w:r>
              <w:t>1140.33</w:t>
            </w:r>
          </w:p>
        </w:tc>
        <w:tc>
          <w:tcPr>
            <w:tcW w:w="1666" w:type="dxa"/>
            <w:vAlign w:val="center"/>
          </w:tcPr>
          <w:p>
            <w:pPr>
              <w:pStyle w:val="14"/>
            </w:pPr>
            <w:r>
              <w:t>一、一般公共服务支出</w:t>
            </w:r>
          </w:p>
        </w:tc>
        <w:tc>
          <w:tcPr>
            <w:tcW w:w="1971" w:type="dxa"/>
            <w:vAlign w:val="center"/>
          </w:tcPr>
          <w:p>
            <w:pPr>
              <w:pStyle w:val="13"/>
            </w:pPr>
            <w:r>
              <w:t>1072.83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2276" w:type="dxa"/>
            <w:vAlign w:val="center"/>
          </w:tcPr>
          <w:p>
            <w:pPr>
              <w:pStyle w:val="13"/>
            </w:pPr>
          </w:p>
        </w:tc>
        <w:tc>
          <w:tcPr>
            <w:tcW w:w="1666"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2276" w:type="dxa"/>
            <w:vAlign w:val="center"/>
          </w:tcPr>
          <w:p>
            <w:pPr>
              <w:pStyle w:val="13"/>
            </w:pPr>
          </w:p>
        </w:tc>
        <w:tc>
          <w:tcPr>
            <w:tcW w:w="1666"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2276" w:type="dxa"/>
            <w:vAlign w:val="center"/>
          </w:tcPr>
          <w:p>
            <w:pPr>
              <w:pStyle w:val="13"/>
            </w:pPr>
          </w:p>
        </w:tc>
        <w:tc>
          <w:tcPr>
            <w:tcW w:w="1666"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2276" w:type="dxa"/>
            <w:vAlign w:val="center"/>
          </w:tcPr>
          <w:p>
            <w:pPr>
              <w:pStyle w:val="13"/>
            </w:pPr>
          </w:p>
        </w:tc>
        <w:tc>
          <w:tcPr>
            <w:tcW w:w="1666"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2276" w:type="dxa"/>
            <w:vAlign w:val="center"/>
          </w:tcPr>
          <w:p>
            <w:pPr>
              <w:pStyle w:val="13"/>
            </w:pPr>
          </w:p>
        </w:tc>
        <w:tc>
          <w:tcPr>
            <w:tcW w:w="1666" w:type="dxa"/>
            <w:vAlign w:val="center"/>
          </w:tcPr>
          <w:p>
            <w:pPr>
              <w:pStyle w:val="14"/>
            </w:pPr>
            <w:r>
              <w:t>六、科学技术支出</w:t>
            </w:r>
          </w:p>
        </w:tc>
        <w:tc>
          <w:tcPr>
            <w:tcW w:w="1971" w:type="dxa"/>
            <w:vAlign w:val="center"/>
          </w:tcPr>
          <w:p>
            <w:pPr>
              <w:pStyle w:val="13"/>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2276" w:type="dxa"/>
            <w:vAlign w:val="center"/>
          </w:tcPr>
          <w:p>
            <w:pPr>
              <w:pStyle w:val="13"/>
            </w:pPr>
          </w:p>
        </w:tc>
        <w:tc>
          <w:tcPr>
            <w:tcW w:w="1666"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2276" w:type="dxa"/>
            <w:vAlign w:val="center"/>
          </w:tcPr>
          <w:p>
            <w:pPr>
              <w:pStyle w:val="13"/>
            </w:pPr>
          </w:p>
        </w:tc>
        <w:tc>
          <w:tcPr>
            <w:tcW w:w="1666"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2276" w:type="dxa"/>
            <w:vAlign w:val="center"/>
          </w:tcPr>
          <w:p>
            <w:pPr>
              <w:pStyle w:val="13"/>
            </w:pPr>
          </w:p>
        </w:tc>
        <w:tc>
          <w:tcPr>
            <w:tcW w:w="1666"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2276" w:type="dxa"/>
            <w:vAlign w:val="center"/>
          </w:tcPr>
          <w:p>
            <w:pPr>
              <w:pStyle w:val="13"/>
            </w:pPr>
          </w:p>
        </w:tc>
        <w:tc>
          <w:tcPr>
            <w:tcW w:w="1666"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2276" w:type="dxa"/>
            <w:vAlign w:val="center"/>
          </w:tcPr>
          <w:p>
            <w:pPr>
              <w:pStyle w:val="17"/>
            </w:pPr>
            <w:r>
              <w:t>1140.33</w:t>
            </w:r>
          </w:p>
        </w:tc>
        <w:tc>
          <w:tcPr>
            <w:tcW w:w="1666" w:type="dxa"/>
            <w:vAlign w:val="center"/>
          </w:tcPr>
          <w:p>
            <w:pPr>
              <w:pStyle w:val="16"/>
            </w:pPr>
            <w:r>
              <w:t>本年支出合计</w:t>
            </w:r>
          </w:p>
        </w:tc>
        <w:tc>
          <w:tcPr>
            <w:tcW w:w="1971" w:type="dxa"/>
            <w:vAlign w:val="center"/>
          </w:tcPr>
          <w:p>
            <w:pPr>
              <w:pStyle w:val="17"/>
            </w:pPr>
            <w:r>
              <w:t>1140.33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71" w:type="dxa"/>
            <w:vAlign w:val="center"/>
          </w:tcPr>
          <w:p>
            <w:pPr>
              <w:pStyle w:val="15"/>
            </w:pPr>
            <w:r>
              <w:t>33</w:t>
            </w:r>
          </w:p>
        </w:tc>
        <w:tc>
          <w:tcPr>
            <w:tcW w:w="1971" w:type="dxa"/>
            <w:vAlign w:val="center"/>
          </w:tcPr>
          <w:p>
            <w:pPr>
              <w:pStyle w:val="14"/>
            </w:pPr>
            <w:r>
              <w:t>上年结转结余</w:t>
            </w:r>
          </w:p>
        </w:tc>
        <w:tc>
          <w:tcPr>
            <w:tcW w:w="2276" w:type="dxa"/>
            <w:vAlign w:val="center"/>
          </w:tcPr>
          <w:p>
            <w:pPr>
              <w:pStyle w:val="13"/>
            </w:pPr>
          </w:p>
        </w:tc>
        <w:tc>
          <w:tcPr>
            <w:tcW w:w="1666"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2276" w:type="dxa"/>
            <w:vAlign w:val="center"/>
          </w:tcPr>
          <w:p>
            <w:pPr>
              <w:pStyle w:val="17"/>
            </w:pPr>
            <w:r>
              <w:t>1140.33</w:t>
            </w:r>
          </w:p>
        </w:tc>
        <w:tc>
          <w:tcPr>
            <w:tcW w:w="1666" w:type="dxa"/>
            <w:vAlign w:val="center"/>
          </w:tcPr>
          <w:p>
            <w:pPr>
              <w:pStyle w:val="16"/>
            </w:pPr>
            <w:r>
              <w:t>支出总计</w:t>
            </w:r>
          </w:p>
        </w:tc>
        <w:tc>
          <w:tcPr>
            <w:tcW w:w="1971" w:type="dxa"/>
            <w:vAlign w:val="center"/>
          </w:tcPr>
          <w:p>
            <w:pPr>
              <w:pStyle w:val="17"/>
            </w:pPr>
            <w:r>
              <w:t>1140.33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434平乡县人民政府办公室</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1140.33</w:t>
            </w:r>
          </w:p>
        </w:tc>
        <w:tc>
          <w:tcPr>
            <w:tcW w:w="758" w:type="dxa"/>
            <w:vAlign w:val="center"/>
          </w:tcPr>
          <w:p>
            <w:pPr>
              <w:pStyle w:val="17"/>
            </w:pPr>
            <w:r>
              <w:t>1140.33</w:t>
            </w:r>
          </w:p>
        </w:tc>
        <w:tc>
          <w:tcPr>
            <w:tcW w:w="758" w:type="dxa"/>
            <w:vAlign w:val="center"/>
          </w:tcPr>
          <w:p>
            <w:pPr>
              <w:pStyle w:val="17"/>
            </w:pPr>
            <w:r>
              <w:t>1140.33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1072.83</w:t>
            </w:r>
          </w:p>
        </w:tc>
        <w:tc>
          <w:tcPr>
            <w:tcW w:w="758" w:type="dxa"/>
            <w:vAlign w:val="center"/>
          </w:tcPr>
          <w:p>
            <w:pPr>
              <w:pStyle w:val="13"/>
            </w:pPr>
            <w:r>
              <w:t>1072.83</w:t>
            </w:r>
          </w:p>
        </w:tc>
        <w:tc>
          <w:tcPr>
            <w:tcW w:w="758" w:type="dxa"/>
            <w:vAlign w:val="center"/>
          </w:tcPr>
          <w:p>
            <w:pPr>
              <w:pStyle w:val="13"/>
            </w:pPr>
            <w:r>
              <w:t>1072.83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2010101</w:t>
            </w:r>
          </w:p>
        </w:tc>
        <w:tc>
          <w:tcPr>
            <w:tcW w:w="758" w:type="dxa"/>
            <w:vAlign w:val="center"/>
          </w:tcPr>
          <w:p>
            <w:pPr>
              <w:pStyle w:val="14"/>
            </w:pPr>
            <w:r>
              <w:t>行政运行</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r>
              <w:t>42.00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1030.83</w:t>
            </w:r>
          </w:p>
        </w:tc>
        <w:tc>
          <w:tcPr>
            <w:tcW w:w="758" w:type="dxa"/>
            <w:vAlign w:val="center"/>
          </w:tcPr>
          <w:p>
            <w:pPr>
              <w:pStyle w:val="13"/>
            </w:pPr>
            <w:r>
              <w:t>1030.83</w:t>
            </w:r>
          </w:p>
        </w:tc>
        <w:tc>
          <w:tcPr>
            <w:tcW w:w="758" w:type="dxa"/>
            <w:vAlign w:val="center"/>
          </w:tcPr>
          <w:p>
            <w:pPr>
              <w:pStyle w:val="13"/>
            </w:pPr>
            <w:r>
              <w:t>1030.83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512.38</w:t>
            </w:r>
          </w:p>
        </w:tc>
        <w:tc>
          <w:tcPr>
            <w:tcW w:w="758" w:type="dxa"/>
            <w:vAlign w:val="center"/>
          </w:tcPr>
          <w:p>
            <w:pPr>
              <w:pStyle w:val="13"/>
            </w:pPr>
            <w:r>
              <w:t>512.38</w:t>
            </w:r>
          </w:p>
        </w:tc>
        <w:tc>
          <w:tcPr>
            <w:tcW w:w="758" w:type="dxa"/>
            <w:vAlign w:val="center"/>
          </w:tcPr>
          <w:p>
            <w:pPr>
              <w:pStyle w:val="13"/>
            </w:pPr>
            <w:r>
              <w:t>512.38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419.01</w:t>
            </w:r>
          </w:p>
        </w:tc>
        <w:tc>
          <w:tcPr>
            <w:tcW w:w="758" w:type="dxa"/>
            <w:vAlign w:val="center"/>
          </w:tcPr>
          <w:p>
            <w:pPr>
              <w:pStyle w:val="13"/>
            </w:pPr>
            <w:r>
              <w:t>419.01</w:t>
            </w:r>
          </w:p>
        </w:tc>
        <w:tc>
          <w:tcPr>
            <w:tcW w:w="758" w:type="dxa"/>
            <w:vAlign w:val="center"/>
          </w:tcPr>
          <w:p>
            <w:pPr>
              <w:pStyle w:val="13"/>
            </w:pPr>
            <w:r>
              <w:t>419.01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2010350</w:t>
            </w:r>
          </w:p>
        </w:tc>
        <w:tc>
          <w:tcPr>
            <w:tcW w:w="758" w:type="dxa"/>
            <w:vAlign w:val="center"/>
          </w:tcPr>
          <w:p>
            <w:pPr>
              <w:pStyle w:val="14"/>
            </w:pPr>
            <w:r>
              <w:t>事业运行</w:t>
            </w:r>
          </w:p>
        </w:tc>
        <w:tc>
          <w:tcPr>
            <w:tcW w:w="758" w:type="dxa"/>
            <w:vAlign w:val="center"/>
          </w:tcPr>
          <w:p>
            <w:pPr>
              <w:pStyle w:val="13"/>
            </w:pPr>
            <w:r>
              <w:t>99.44</w:t>
            </w:r>
          </w:p>
        </w:tc>
        <w:tc>
          <w:tcPr>
            <w:tcW w:w="758" w:type="dxa"/>
            <w:vAlign w:val="center"/>
          </w:tcPr>
          <w:p>
            <w:pPr>
              <w:pStyle w:val="13"/>
            </w:pPr>
            <w:r>
              <w:t>99.44</w:t>
            </w:r>
          </w:p>
        </w:tc>
        <w:tc>
          <w:tcPr>
            <w:tcW w:w="758" w:type="dxa"/>
            <w:vAlign w:val="center"/>
          </w:tcPr>
          <w:p>
            <w:pPr>
              <w:pStyle w:val="13"/>
            </w:pPr>
            <w:r>
              <w:t>99.44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206</w:t>
            </w:r>
          </w:p>
        </w:tc>
        <w:tc>
          <w:tcPr>
            <w:tcW w:w="758" w:type="dxa"/>
            <w:vAlign w:val="center"/>
          </w:tcPr>
          <w:p>
            <w:pPr>
              <w:pStyle w:val="14"/>
            </w:pPr>
            <w:r>
              <w:t>科学技术支出</w:t>
            </w:r>
          </w:p>
        </w:tc>
        <w:tc>
          <w:tcPr>
            <w:tcW w:w="758" w:type="dxa"/>
            <w:vAlign w:val="center"/>
          </w:tcPr>
          <w:p>
            <w:pPr>
              <w:pStyle w:val="13"/>
            </w:pPr>
            <w:r>
              <w:t>67.50</w:t>
            </w:r>
          </w:p>
        </w:tc>
        <w:tc>
          <w:tcPr>
            <w:tcW w:w="758" w:type="dxa"/>
            <w:vAlign w:val="center"/>
          </w:tcPr>
          <w:p>
            <w:pPr>
              <w:pStyle w:val="13"/>
            </w:pPr>
            <w:r>
              <w:t>67.50</w:t>
            </w:r>
          </w:p>
        </w:tc>
        <w:tc>
          <w:tcPr>
            <w:tcW w:w="758" w:type="dxa"/>
            <w:vAlign w:val="center"/>
          </w:tcPr>
          <w:p>
            <w:pPr>
              <w:pStyle w:val="13"/>
            </w:pPr>
            <w:r>
              <w:t>67.50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20699</w:t>
            </w:r>
          </w:p>
        </w:tc>
        <w:tc>
          <w:tcPr>
            <w:tcW w:w="758" w:type="dxa"/>
            <w:vAlign w:val="center"/>
          </w:tcPr>
          <w:p>
            <w:pPr>
              <w:pStyle w:val="14"/>
            </w:pPr>
            <w:r>
              <w:t>其他科学技术支出</w:t>
            </w:r>
          </w:p>
        </w:tc>
        <w:tc>
          <w:tcPr>
            <w:tcW w:w="758" w:type="dxa"/>
            <w:vAlign w:val="center"/>
          </w:tcPr>
          <w:p>
            <w:pPr>
              <w:pStyle w:val="13"/>
            </w:pPr>
            <w:r>
              <w:t>67.50</w:t>
            </w:r>
          </w:p>
        </w:tc>
        <w:tc>
          <w:tcPr>
            <w:tcW w:w="758" w:type="dxa"/>
            <w:vAlign w:val="center"/>
          </w:tcPr>
          <w:p>
            <w:pPr>
              <w:pStyle w:val="13"/>
            </w:pPr>
            <w:r>
              <w:t>67.50</w:t>
            </w:r>
          </w:p>
        </w:tc>
        <w:tc>
          <w:tcPr>
            <w:tcW w:w="758" w:type="dxa"/>
            <w:vAlign w:val="center"/>
          </w:tcPr>
          <w:p>
            <w:pPr>
              <w:pStyle w:val="13"/>
            </w:pPr>
            <w:r>
              <w:t>67.50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2069999</w:t>
            </w:r>
          </w:p>
        </w:tc>
        <w:tc>
          <w:tcPr>
            <w:tcW w:w="758" w:type="dxa"/>
            <w:vAlign w:val="center"/>
          </w:tcPr>
          <w:p>
            <w:pPr>
              <w:pStyle w:val="14"/>
            </w:pPr>
            <w:r>
              <w:t>其他科学技术支出</w:t>
            </w:r>
          </w:p>
        </w:tc>
        <w:tc>
          <w:tcPr>
            <w:tcW w:w="758" w:type="dxa"/>
            <w:vAlign w:val="center"/>
          </w:tcPr>
          <w:p>
            <w:pPr>
              <w:pStyle w:val="13"/>
            </w:pPr>
            <w:r>
              <w:t>67.50</w:t>
            </w:r>
          </w:p>
        </w:tc>
        <w:tc>
          <w:tcPr>
            <w:tcW w:w="758" w:type="dxa"/>
            <w:vAlign w:val="center"/>
          </w:tcPr>
          <w:p>
            <w:pPr>
              <w:pStyle w:val="13"/>
            </w:pPr>
            <w:r>
              <w:t>67.50</w:t>
            </w:r>
          </w:p>
        </w:tc>
        <w:tc>
          <w:tcPr>
            <w:tcW w:w="758" w:type="dxa"/>
            <w:vAlign w:val="center"/>
          </w:tcPr>
          <w:p>
            <w:pPr>
              <w:pStyle w:val="13"/>
            </w:pPr>
            <w:r>
              <w:t>67.50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434平乡县人民政府办公室</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1140.33</w:t>
            </w:r>
          </w:p>
        </w:tc>
        <w:tc>
          <w:tcPr>
            <w:tcW w:w="1095" w:type="dxa"/>
            <w:vAlign w:val="center"/>
          </w:tcPr>
          <w:p>
            <w:pPr>
              <w:pStyle w:val="17"/>
            </w:pPr>
            <w:r>
              <w:t>653.82</w:t>
            </w:r>
          </w:p>
        </w:tc>
        <w:tc>
          <w:tcPr>
            <w:tcW w:w="1095" w:type="dxa"/>
            <w:vAlign w:val="center"/>
          </w:tcPr>
          <w:p>
            <w:pPr>
              <w:pStyle w:val="17"/>
            </w:pPr>
            <w:r>
              <w:t>486.51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1072.83</w:t>
            </w:r>
          </w:p>
        </w:tc>
        <w:tc>
          <w:tcPr>
            <w:tcW w:w="1095" w:type="dxa"/>
            <w:vAlign w:val="center"/>
          </w:tcPr>
          <w:p>
            <w:pPr>
              <w:pStyle w:val="13"/>
            </w:pPr>
            <w:r>
              <w:t>653.82</w:t>
            </w:r>
          </w:p>
        </w:tc>
        <w:tc>
          <w:tcPr>
            <w:tcW w:w="1095" w:type="dxa"/>
            <w:vAlign w:val="center"/>
          </w:tcPr>
          <w:p>
            <w:pPr>
              <w:pStyle w:val="13"/>
            </w:pPr>
            <w:r>
              <w:t>419.01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42.00</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2010101</w:t>
            </w:r>
          </w:p>
        </w:tc>
        <w:tc>
          <w:tcPr>
            <w:tcW w:w="1095" w:type="dxa"/>
            <w:vAlign w:val="center"/>
          </w:tcPr>
          <w:p>
            <w:pPr>
              <w:pStyle w:val="14"/>
            </w:pPr>
            <w:r>
              <w:t>行政运行</w:t>
            </w:r>
          </w:p>
        </w:tc>
        <w:tc>
          <w:tcPr>
            <w:tcW w:w="1095" w:type="dxa"/>
            <w:vAlign w:val="center"/>
          </w:tcPr>
          <w:p>
            <w:pPr>
              <w:pStyle w:val="13"/>
            </w:pPr>
            <w:r>
              <w:t>42.00</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1030.83</w:t>
            </w:r>
          </w:p>
        </w:tc>
        <w:tc>
          <w:tcPr>
            <w:tcW w:w="1095" w:type="dxa"/>
            <w:vAlign w:val="center"/>
          </w:tcPr>
          <w:p>
            <w:pPr>
              <w:pStyle w:val="13"/>
            </w:pPr>
            <w:r>
              <w:t>611.82</w:t>
            </w:r>
          </w:p>
        </w:tc>
        <w:tc>
          <w:tcPr>
            <w:tcW w:w="1095" w:type="dxa"/>
            <w:vAlign w:val="center"/>
          </w:tcPr>
          <w:p>
            <w:pPr>
              <w:pStyle w:val="13"/>
            </w:pPr>
            <w:r>
              <w:t>419.01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512.38</w:t>
            </w:r>
          </w:p>
        </w:tc>
        <w:tc>
          <w:tcPr>
            <w:tcW w:w="1095" w:type="dxa"/>
            <w:vAlign w:val="center"/>
          </w:tcPr>
          <w:p>
            <w:pPr>
              <w:pStyle w:val="13"/>
            </w:pPr>
            <w:r>
              <w:t>512.38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419.01</w:t>
            </w:r>
          </w:p>
        </w:tc>
        <w:tc>
          <w:tcPr>
            <w:tcW w:w="1095" w:type="dxa"/>
            <w:vAlign w:val="center"/>
          </w:tcPr>
          <w:p>
            <w:pPr>
              <w:pStyle w:val="13"/>
            </w:pPr>
          </w:p>
        </w:tc>
        <w:tc>
          <w:tcPr>
            <w:tcW w:w="1095" w:type="dxa"/>
            <w:vAlign w:val="center"/>
          </w:tcPr>
          <w:p>
            <w:pPr>
              <w:pStyle w:val="13"/>
            </w:pPr>
            <w:r>
              <w:t>419.01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2010350</w:t>
            </w:r>
          </w:p>
        </w:tc>
        <w:tc>
          <w:tcPr>
            <w:tcW w:w="1095" w:type="dxa"/>
            <w:vAlign w:val="center"/>
          </w:tcPr>
          <w:p>
            <w:pPr>
              <w:pStyle w:val="14"/>
            </w:pPr>
            <w:r>
              <w:t>事业运行</w:t>
            </w:r>
          </w:p>
        </w:tc>
        <w:tc>
          <w:tcPr>
            <w:tcW w:w="1095" w:type="dxa"/>
            <w:vAlign w:val="center"/>
          </w:tcPr>
          <w:p>
            <w:pPr>
              <w:pStyle w:val="13"/>
            </w:pPr>
            <w:r>
              <w:t>99.44</w:t>
            </w:r>
          </w:p>
        </w:tc>
        <w:tc>
          <w:tcPr>
            <w:tcW w:w="1095" w:type="dxa"/>
            <w:vAlign w:val="center"/>
          </w:tcPr>
          <w:p>
            <w:pPr>
              <w:pStyle w:val="13"/>
            </w:pPr>
            <w:r>
              <w:t>99.44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206</w:t>
            </w:r>
          </w:p>
        </w:tc>
        <w:tc>
          <w:tcPr>
            <w:tcW w:w="1095" w:type="dxa"/>
            <w:vAlign w:val="center"/>
          </w:tcPr>
          <w:p>
            <w:pPr>
              <w:pStyle w:val="14"/>
            </w:pPr>
            <w:r>
              <w:t>科学技术支出</w:t>
            </w:r>
          </w:p>
        </w:tc>
        <w:tc>
          <w:tcPr>
            <w:tcW w:w="1095" w:type="dxa"/>
            <w:vAlign w:val="center"/>
          </w:tcPr>
          <w:p>
            <w:pPr>
              <w:pStyle w:val="13"/>
            </w:pPr>
            <w:r>
              <w:t>67.50</w:t>
            </w:r>
          </w:p>
        </w:tc>
        <w:tc>
          <w:tcPr>
            <w:tcW w:w="1095" w:type="dxa"/>
            <w:vAlign w:val="center"/>
          </w:tcPr>
          <w:p>
            <w:pPr>
              <w:pStyle w:val="13"/>
            </w:pPr>
          </w:p>
        </w:tc>
        <w:tc>
          <w:tcPr>
            <w:tcW w:w="1095" w:type="dxa"/>
            <w:vAlign w:val="center"/>
          </w:tcPr>
          <w:p>
            <w:pPr>
              <w:pStyle w:val="13"/>
            </w:pPr>
            <w:r>
              <w:t>67.50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20699</w:t>
            </w:r>
          </w:p>
        </w:tc>
        <w:tc>
          <w:tcPr>
            <w:tcW w:w="1095" w:type="dxa"/>
            <w:vAlign w:val="center"/>
          </w:tcPr>
          <w:p>
            <w:pPr>
              <w:pStyle w:val="14"/>
            </w:pPr>
            <w:r>
              <w:t>其他科学技术支出</w:t>
            </w:r>
          </w:p>
        </w:tc>
        <w:tc>
          <w:tcPr>
            <w:tcW w:w="1095" w:type="dxa"/>
            <w:vAlign w:val="center"/>
          </w:tcPr>
          <w:p>
            <w:pPr>
              <w:pStyle w:val="13"/>
            </w:pPr>
            <w:r>
              <w:t>67.50</w:t>
            </w:r>
          </w:p>
        </w:tc>
        <w:tc>
          <w:tcPr>
            <w:tcW w:w="1095" w:type="dxa"/>
            <w:vAlign w:val="center"/>
          </w:tcPr>
          <w:p>
            <w:pPr>
              <w:pStyle w:val="13"/>
            </w:pPr>
          </w:p>
        </w:tc>
        <w:tc>
          <w:tcPr>
            <w:tcW w:w="1095" w:type="dxa"/>
            <w:vAlign w:val="center"/>
          </w:tcPr>
          <w:p>
            <w:pPr>
              <w:pStyle w:val="13"/>
            </w:pPr>
            <w:r>
              <w:t>67.50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2069999</w:t>
            </w:r>
          </w:p>
        </w:tc>
        <w:tc>
          <w:tcPr>
            <w:tcW w:w="1095" w:type="dxa"/>
            <w:vAlign w:val="center"/>
          </w:tcPr>
          <w:p>
            <w:pPr>
              <w:pStyle w:val="14"/>
            </w:pPr>
            <w:r>
              <w:t>其他科学技术支出</w:t>
            </w:r>
          </w:p>
        </w:tc>
        <w:tc>
          <w:tcPr>
            <w:tcW w:w="1095" w:type="dxa"/>
            <w:vAlign w:val="center"/>
          </w:tcPr>
          <w:p>
            <w:pPr>
              <w:pStyle w:val="13"/>
            </w:pPr>
            <w:r>
              <w:t>67.50</w:t>
            </w:r>
          </w:p>
        </w:tc>
        <w:tc>
          <w:tcPr>
            <w:tcW w:w="1095" w:type="dxa"/>
            <w:vAlign w:val="center"/>
          </w:tcPr>
          <w:p>
            <w:pPr>
              <w:pStyle w:val="13"/>
            </w:pPr>
          </w:p>
        </w:tc>
        <w:tc>
          <w:tcPr>
            <w:tcW w:w="1095" w:type="dxa"/>
            <w:vAlign w:val="center"/>
          </w:tcPr>
          <w:p>
            <w:pPr>
              <w:pStyle w:val="13"/>
            </w:pPr>
            <w:r>
              <w:t>67.50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380"/>
        <w:gridCol w:w="1140"/>
        <w:gridCol w:w="2028"/>
        <w:gridCol w:w="1044"/>
        <w:gridCol w:w="1044"/>
        <w:gridCol w:w="1104"/>
        <w:gridCol w:w="1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2" w:type="dxa"/>
            <w:gridSpan w:val="3"/>
            <w:tcBorders>
              <w:top w:val="single" w:color="FFFFFF" w:sz="6" w:space="0"/>
              <w:left w:val="single" w:color="FFFFFF" w:sz="6" w:space="0"/>
              <w:right w:val="single" w:color="FFFFFF" w:sz="6" w:space="0"/>
            </w:tcBorders>
            <w:vAlign w:val="center"/>
          </w:tcPr>
          <w:p>
            <w:pPr>
              <w:pStyle w:val="11"/>
            </w:pPr>
            <w:r>
              <w:t>434平乡县人民政府办公室</w:t>
            </w:r>
          </w:p>
        </w:tc>
        <w:tc>
          <w:tcPr>
            <w:tcW w:w="2028" w:type="dxa"/>
            <w:tcBorders>
              <w:top w:val="single" w:color="FFFFFF" w:sz="6" w:space="0"/>
              <w:left w:val="single" w:color="FFFFFF" w:sz="6" w:space="0"/>
              <w:right w:val="single" w:color="FFFFFF" w:sz="6" w:space="0"/>
            </w:tcBorders>
            <w:vAlign w:val="center"/>
          </w:tcPr>
          <w:p>
            <w:pPr>
              <w:pStyle w:val="10"/>
            </w:pPr>
            <w:r>
              <w:t>预算年度：2023</w:t>
            </w:r>
          </w:p>
        </w:tc>
        <w:tc>
          <w:tcPr>
            <w:tcW w:w="434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restart"/>
            <w:vAlign w:val="center"/>
          </w:tcPr>
          <w:p>
            <w:pPr>
              <w:pStyle w:val="12"/>
            </w:pPr>
            <w:r>
              <w:t>序号</w:t>
            </w:r>
          </w:p>
        </w:tc>
        <w:tc>
          <w:tcPr>
            <w:tcW w:w="2520" w:type="dxa"/>
            <w:gridSpan w:val="2"/>
            <w:vAlign w:val="center"/>
          </w:tcPr>
          <w:p>
            <w:pPr>
              <w:pStyle w:val="12"/>
            </w:pPr>
            <w:r>
              <w:t>收入</w:t>
            </w:r>
          </w:p>
        </w:tc>
        <w:tc>
          <w:tcPr>
            <w:tcW w:w="637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continue"/>
          </w:tcPr>
          <w:p/>
        </w:tc>
        <w:tc>
          <w:tcPr>
            <w:tcW w:w="1380" w:type="dxa"/>
            <w:vAlign w:val="center"/>
          </w:tcPr>
          <w:p>
            <w:pPr>
              <w:pStyle w:val="12"/>
            </w:pPr>
            <w:r>
              <w:t>项  目</w:t>
            </w:r>
          </w:p>
        </w:tc>
        <w:tc>
          <w:tcPr>
            <w:tcW w:w="1140" w:type="dxa"/>
            <w:vAlign w:val="center"/>
          </w:tcPr>
          <w:p>
            <w:pPr>
              <w:pStyle w:val="12"/>
            </w:pPr>
            <w:r>
              <w:t>金额</w:t>
            </w:r>
          </w:p>
        </w:tc>
        <w:tc>
          <w:tcPr>
            <w:tcW w:w="2028" w:type="dxa"/>
            <w:vAlign w:val="center"/>
          </w:tcPr>
          <w:p>
            <w:pPr>
              <w:pStyle w:val="12"/>
            </w:pPr>
            <w:r>
              <w:t>项  目</w:t>
            </w:r>
          </w:p>
        </w:tc>
        <w:tc>
          <w:tcPr>
            <w:tcW w:w="1044" w:type="dxa"/>
            <w:vAlign w:val="center"/>
          </w:tcPr>
          <w:p>
            <w:pPr>
              <w:pStyle w:val="12"/>
            </w:pPr>
            <w:r>
              <w:t>合计</w:t>
            </w:r>
          </w:p>
        </w:tc>
        <w:tc>
          <w:tcPr>
            <w:tcW w:w="1044" w:type="dxa"/>
            <w:vAlign w:val="center"/>
          </w:tcPr>
          <w:p>
            <w:pPr>
              <w:pStyle w:val="12"/>
            </w:pPr>
            <w:r>
              <w:t>一般公共预算财政拨款</w:t>
            </w:r>
          </w:p>
        </w:tc>
        <w:tc>
          <w:tcPr>
            <w:tcW w:w="1104" w:type="dxa"/>
            <w:vAlign w:val="center"/>
          </w:tcPr>
          <w:p>
            <w:pPr>
              <w:pStyle w:val="12"/>
            </w:pPr>
            <w:r>
              <w:t>政府性基金预算财政    拨款</w:t>
            </w:r>
          </w:p>
        </w:tc>
        <w:tc>
          <w:tcPr>
            <w:tcW w:w="115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Align w:val="center"/>
          </w:tcPr>
          <w:p>
            <w:pPr>
              <w:pStyle w:val="12"/>
            </w:pPr>
            <w:r>
              <w:t>栏次</w:t>
            </w:r>
          </w:p>
        </w:tc>
        <w:tc>
          <w:tcPr>
            <w:tcW w:w="1380" w:type="dxa"/>
            <w:vAlign w:val="center"/>
          </w:tcPr>
          <w:p>
            <w:pPr>
              <w:pStyle w:val="12"/>
            </w:pPr>
            <w:r>
              <w:t>1</w:t>
            </w:r>
          </w:p>
        </w:tc>
        <w:tc>
          <w:tcPr>
            <w:tcW w:w="1140" w:type="dxa"/>
            <w:vAlign w:val="center"/>
          </w:tcPr>
          <w:p>
            <w:pPr>
              <w:pStyle w:val="12"/>
            </w:pPr>
            <w:r>
              <w:t>2</w:t>
            </w:r>
          </w:p>
        </w:tc>
        <w:tc>
          <w:tcPr>
            <w:tcW w:w="2028" w:type="dxa"/>
            <w:vAlign w:val="center"/>
          </w:tcPr>
          <w:p>
            <w:pPr>
              <w:pStyle w:val="12"/>
            </w:pPr>
            <w:r>
              <w:t>3</w:t>
            </w:r>
          </w:p>
        </w:tc>
        <w:tc>
          <w:tcPr>
            <w:tcW w:w="1044" w:type="dxa"/>
            <w:vAlign w:val="center"/>
          </w:tcPr>
          <w:p>
            <w:pPr>
              <w:pStyle w:val="12"/>
            </w:pPr>
            <w:r>
              <w:t>4</w:t>
            </w:r>
          </w:p>
        </w:tc>
        <w:tc>
          <w:tcPr>
            <w:tcW w:w="1044" w:type="dxa"/>
            <w:vAlign w:val="center"/>
          </w:tcPr>
          <w:p>
            <w:pPr>
              <w:pStyle w:val="12"/>
            </w:pPr>
            <w:r>
              <w:t>5</w:t>
            </w:r>
          </w:p>
        </w:tc>
        <w:tc>
          <w:tcPr>
            <w:tcW w:w="1104" w:type="dxa"/>
            <w:vAlign w:val="center"/>
          </w:tcPr>
          <w:p>
            <w:pPr>
              <w:pStyle w:val="12"/>
            </w:pPr>
            <w:r>
              <w:t>6</w:t>
            </w:r>
          </w:p>
        </w:tc>
        <w:tc>
          <w:tcPr>
            <w:tcW w:w="115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w:t>
            </w:r>
          </w:p>
        </w:tc>
        <w:tc>
          <w:tcPr>
            <w:tcW w:w="1380" w:type="dxa"/>
            <w:vAlign w:val="center"/>
          </w:tcPr>
          <w:p>
            <w:pPr>
              <w:pStyle w:val="14"/>
            </w:pPr>
            <w:r>
              <w:t>一、一般公共预算拨款</w:t>
            </w:r>
          </w:p>
        </w:tc>
        <w:tc>
          <w:tcPr>
            <w:tcW w:w="1140" w:type="dxa"/>
            <w:vAlign w:val="center"/>
          </w:tcPr>
          <w:p>
            <w:pPr>
              <w:pStyle w:val="13"/>
            </w:pPr>
            <w:r>
              <w:t>1140.33</w:t>
            </w:r>
          </w:p>
        </w:tc>
        <w:tc>
          <w:tcPr>
            <w:tcW w:w="2028" w:type="dxa"/>
            <w:vAlign w:val="center"/>
          </w:tcPr>
          <w:p>
            <w:pPr>
              <w:pStyle w:val="14"/>
            </w:pPr>
            <w:r>
              <w:t>一、一般公共服务支出</w:t>
            </w:r>
          </w:p>
        </w:tc>
        <w:tc>
          <w:tcPr>
            <w:tcW w:w="1044" w:type="dxa"/>
            <w:vAlign w:val="center"/>
          </w:tcPr>
          <w:p>
            <w:pPr>
              <w:pStyle w:val="13"/>
            </w:pPr>
            <w:r>
              <w:t>1072.83</w:t>
            </w:r>
          </w:p>
        </w:tc>
        <w:tc>
          <w:tcPr>
            <w:tcW w:w="1044" w:type="dxa"/>
            <w:vAlign w:val="center"/>
          </w:tcPr>
          <w:p>
            <w:pPr>
              <w:pStyle w:val="13"/>
            </w:pPr>
            <w:r>
              <w:t>1072.83</w:t>
            </w: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w:t>
            </w:r>
          </w:p>
        </w:tc>
        <w:tc>
          <w:tcPr>
            <w:tcW w:w="1380" w:type="dxa"/>
            <w:vAlign w:val="center"/>
          </w:tcPr>
          <w:p>
            <w:pPr>
              <w:pStyle w:val="14"/>
            </w:pPr>
            <w:r>
              <w:t>二、政府性基金预算拨款</w:t>
            </w:r>
          </w:p>
        </w:tc>
        <w:tc>
          <w:tcPr>
            <w:tcW w:w="1140" w:type="dxa"/>
            <w:vAlign w:val="center"/>
          </w:tcPr>
          <w:p>
            <w:pPr>
              <w:pStyle w:val="13"/>
            </w:pPr>
          </w:p>
        </w:tc>
        <w:tc>
          <w:tcPr>
            <w:tcW w:w="2028" w:type="dxa"/>
            <w:vAlign w:val="center"/>
          </w:tcPr>
          <w:p>
            <w:pPr>
              <w:pStyle w:val="14"/>
            </w:pPr>
            <w:r>
              <w:t>二、外交支出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w:t>
            </w:r>
          </w:p>
        </w:tc>
        <w:tc>
          <w:tcPr>
            <w:tcW w:w="1380" w:type="dxa"/>
            <w:vAlign w:val="center"/>
          </w:tcPr>
          <w:p>
            <w:pPr>
              <w:pStyle w:val="14"/>
            </w:pPr>
            <w:r>
              <w:t>三、国有资本经营预算拨款</w:t>
            </w:r>
          </w:p>
        </w:tc>
        <w:tc>
          <w:tcPr>
            <w:tcW w:w="1140" w:type="dxa"/>
            <w:vAlign w:val="center"/>
          </w:tcPr>
          <w:p>
            <w:pPr>
              <w:pStyle w:val="13"/>
            </w:pPr>
          </w:p>
        </w:tc>
        <w:tc>
          <w:tcPr>
            <w:tcW w:w="2028" w:type="dxa"/>
            <w:vAlign w:val="center"/>
          </w:tcPr>
          <w:p>
            <w:pPr>
              <w:pStyle w:val="14"/>
            </w:pPr>
            <w:r>
              <w:t>三、国防支出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4</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四、公共安全支出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5</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五、教育支出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6</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六、科学技术支出</w:t>
            </w:r>
          </w:p>
        </w:tc>
        <w:tc>
          <w:tcPr>
            <w:tcW w:w="1044" w:type="dxa"/>
            <w:vAlign w:val="center"/>
          </w:tcPr>
          <w:p>
            <w:pPr>
              <w:pStyle w:val="13"/>
            </w:pPr>
            <w:r>
              <w:t>67.50</w:t>
            </w:r>
          </w:p>
        </w:tc>
        <w:tc>
          <w:tcPr>
            <w:tcW w:w="1044" w:type="dxa"/>
            <w:vAlign w:val="center"/>
          </w:tcPr>
          <w:p>
            <w:pPr>
              <w:pStyle w:val="13"/>
            </w:pPr>
            <w:r>
              <w:t>67.50</w:t>
            </w: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7</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8</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八、社会保障和就业支出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9</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九、社会保险基金支出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10</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十、卫生健康支出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11</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十一、节能环保支出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12</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十二、城乡社区支出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13</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十三、农林水支出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14</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十四、交通运输支出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15</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十五、资源勘探工业信息等支出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16</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十六、商业服务业等支出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17</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十七、金融支出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18</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十八、援助其他地区支出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19</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十九、自然资源海洋气象等支出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20</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二十、住房保障支出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21</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二十一、粮油物资储备支出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22</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二十二、国有资本经营预算支出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23</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二十三、灾害防治及应急管理支出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24</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二十四、预备费</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25</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二十五、其他支出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26</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二十六、转移性支出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27</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二十七、债务还本支出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28</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二十八、债务付息支出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29</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二十九、债务发行费用支出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30</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三十、抗疫特别国债安排的支出</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31</w:t>
            </w:r>
          </w:p>
        </w:tc>
        <w:tc>
          <w:tcPr>
            <w:tcW w:w="1380" w:type="dxa"/>
            <w:vAlign w:val="center"/>
          </w:tcPr>
          <w:p>
            <w:pPr>
              <w:pStyle w:val="14"/>
            </w:pPr>
          </w:p>
        </w:tc>
        <w:tc>
          <w:tcPr>
            <w:tcW w:w="1140" w:type="dxa"/>
            <w:vAlign w:val="center"/>
          </w:tcPr>
          <w:p>
            <w:pPr>
              <w:pStyle w:val="13"/>
            </w:pPr>
          </w:p>
        </w:tc>
        <w:tc>
          <w:tcPr>
            <w:tcW w:w="2028" w:type="dxa"/>
            <w:vAlign w:val="center"/>
          </w:tcPr>
          <w:p>
            <w:pPr>
              <w:pStyle w:val="14"/>
            </w:pPr>
            <w:r>
              <w:t>三十一、人行科目</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32</w:t>
            </w:r>
          </w:p>
        </w:tc>
        <w:tc>
          <w:tcPr>
            <w:tcW w:w="1380" w:type="dxa"/>
            <w:vAlign w:val="center"/>
          </w:tcPr>
          <w:p>
            <w:pPr>
              <w:pStyle w:val="16"/>
            </w:pPr>
            <w:r>
              <w:t>本年收入合计</w:t>
            </w:r>
          </w:p>
        </w:tc>
        <w:tc>
          <w:tcPr>
            <w:tcW w:w="1140" w:type="dxa"/>
            <w:vAlign w:val="center"/>
          </w:tcPr>
          <w:p>
            <w:pPr>
              <w:pStyle w:val="17"/>
            </w:pPr>
            <w:r>
              <w:t>1140.33</w:t>
            </w:r>
          </w:p>
        </w:tc>
        <w:tc>
          <w:tcPr>
            <w:tcW w:w="2028" w:type="dxa"/>
            <w:vAlign w:val="center"/>
          </w:tcPr>
          <w:p>
            <w:pPr>
              <w:pStyle w:val="16"/>
            </w:pPr>
            <w:r>
              <w:t>本年支出合计</w:t>
            </w:r>
          </w:p>
        </w:tc>
        <w:tc>
          <w:tcPr>
            <w:tcW w:w="1044" w:type="dxa"/>
            <w:vAlign w:val="center"/>
          </w:tcPr>
          <w:p>
            <w:pPr>
              <w:pStyle w:val="17"/>
            </w:pPr>
            <w:r>
              <w:t>1140.33</w:t>
            </w:r>
          </w:p>
        </w:tc>
        <w:tc>
          <w:tcPr>
            <w:tcW w:w="1044" w:type="dxa"/>
            <w:vAlign w:val="center"/>
          </w:tcPr>
          <w:p>
            <w:pPr>
              <w:pStyle w:val="17"/>
            </w:pPr>
            <w:r>
              <w:t>1140.33</w:t>
            </w:r>
          </w:p>
        </w:tc>
        <w:tc>
          <w:tcPr>
            <w:tcW w:w="1104" w:type="dxa"/>
            <w:vAlign w:val="center"/>
          </w:tcPr>
          <w:p>
            <w:pPr>
              <w:pStyle w:val="17"/>
            </w:pPr>
          </w:p>
        </w:tc>
        <w:tc>
          <w:tcPr>
            <w:tcW w:w="11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33</w:t>
            </w:r>
          </w:p>
        </w:tc>
        <w:tc>
          <w:tcPr>
            <w:tcW w:w="1380" w:type="dxa"/>
            <w:vAlign w:val="center"/>
          </w:tcPr>
          <w:p>
            <w:pPr>
              <w:pStyle w:val="14"/>
            </w:pPr>
            <w:r>
              <w:t>年初财政拨款结转和结余</w:t>
            </w:r>
          </w:p>
        </w:tc>
        <w:tc>
          <w:tcPr>
            <w:tcW w:w="1140" w:type="dxa"/>
            <w:vAlign w:val="center"/>
          </w:tcPr>
          <w:p>
            <w:pPr>
              <w:pStyle w:val="13"/>
            </w:pPr>
          </w:p>
        </w:tc>
        <w:tc>
          <w:tcPr>
            <w:tcW w:w="2028" w:type="dxa"/>
            <w:vAlign w:val="center"/>
          </w:tcPr>
          <w:p>
            <w:pPr>
              <w:pStyle w:val="14"/>
            </w:pPr>
            <w:r>
              <w:t>年末财政拨款结转和结余</w:t>
            </w: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34</w:t>
            </w:r>
          </w:p>
        </w:tc>
        <w:tc>
          <w:tcPr>
            <w:tcW w:w="1380" w:type="dxa"/>
            <w:vAlign w:val="center"/>
          </w:tcPr>
          <w:p>
            <w:pPr>
              <w:pStyle w:val="14"/>
            </w:pPr>
            <w:r>
              <w:t>一、一般公共预算拨款</w:t>
            </w:r>
          </w:p>
        </w:tc>
        <w:tc>
          <w:tcPr>
            <w:tcW w:w="1140" w:type="dxa"/>
            <w:vAlign w:val="center"/>
          </w:tcPr>
          <w:p>
            <w:pPr>
              <w:pStyle w:val="13"/>
            </w:pPr>
          </w:p>
        </w:tc>
        <w:tc>
          <w:tcPr>
            <w:tcW w:w="2028" w:type="dxa"/>
            <w:vAlign w:val="center"/>
          </w:tcPr>
          <w:p>
            <w:pPr>
              <w:pStyle w:val="14"/>
            </w:pP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35</w:t>
            </w:r>
          </w:p>
        </w:tc>
        <w:tc>
          <w:tcPr>
            <w:tcW w:w="1380" w:type="dxa"/>
            <w:vAlign w:val="center"/>
          </w:tcPr>
          <w:p>
            <w:pPr>
              <w:pStyle w:val="14"/>
            </w:pPr>
            <w:r>
              <w:t>二、政府性基金预算拨款</w:t>
            </w:r>
          </w:p>
        </w:tc>
        <w:tc>
          <w:tcPr>
            <w:tcW w:w="1140" w:type="dxa"/>
            <w:vAlign w:val="center"/>
          </w:tcPr>
          <w:p>
            <w:pPr>
              <w:pStyle w:val="13"/>
            </w:pPr>
          </w:p>
        </w:tc>
        <w:tc>
          <w:tcPr>
            <w:tcW w:w="2028" w:type="dxa"/>
            <w:vAlign w:val="center"/>
          </w:tcPr>
          <w:p>
            <w:pPr>
              <w:pStyle w:val="14"/>
            </w:pP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36</w:t>
            </w:r>
          </w:p>
        </w:tc>
        <w:tc>
          <w:tcPr>
            <w:tcW w:w="1380" w:type="dxa"/>
            <w:vAlign w:val="center"/>
          </w:tcPr>
          <w:p>
            <w:pPr>
              <w:pStyle w:val="14"/>
            </w:pPr>
            <w:r>
              <w:t>三、国有资本经营预算拨款</w:t>
            </w:r>
          </w:p>
        </w:tc>
        <w:tc>
          <w:tcPr>
            <w:tcW w:w="1140" w:type="dxa"/>
            <w:vAlign w:val="center"/>
          </w:tcPr>
          <w:p>
            <w:pPr>
              <w:pStyle w:val="13"/>
            </w:pPr>
          </w:p>
        </w:tc>
        <w:tc>
          <w:tcPr>
            <w:tcW w:w="2028" w:type="dxa"/>
            <w:vAlign w:val="center"/>
          </w:tcPr>
          <w:p>
            <w:pPr>
              <w:pStyle w:val="14"/>
            </w:pPr>
          </w:p>
        </w:tc>
        <w:tc>
          <w:tcPr>
            <w:tcW w:w="1044" w:type="dxa"/>
            <w:vAlign w:val="center"/>
          </w:tcPr>
          <w:p>
            <w:pPr>
              <w:pStyle w:val="13"/>
            </w:pPr>
          </w:p>
        </w:tc>
        <w:tc>
          <w:tcPr>
            <w:tcW w:w="1044" w:type="dxa"/>
            <w:vAlign w:val="center"/>
          </w:tcPr>
          <w:p>
            <w:pPr>
              <w:pStyle w:val="13"/>
            </w:pPr>
          </w:p>
        </w:tc>
        <w:tc>
          <w:tcPr>
            <w:tcW w:w="1104" w:type="dxa"/>
            <w:vAlign w:val="center"/>
          </w:tcPr>
          <w:p>
            <w:pPr>
              <w:pStyle w:val="13"/>
            </w:pPr>
          </w:p>
        </w:tc>
        <w:tc>
          <w:tcPr>
            <w:tcW w:w="11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5"/>
            </w:pPr>
            <w:r>
              <w:t>37</w:t>
            </w:r>
          </w:p>
        </w:tc>
        <w:tc>
          <w:tcPr>
            <w:tcW w:w="1380" w:type="dxa"/>
            <w:vAlign w:val="center"/>
          </w:tcPr>
          <w:p>
            <w:pPr>
              <w:pStyle w:val="16"/>
            </w:pPr>
            <w:r>
              <w:t>收入总计</w:t>
            </w:r>
          </w:p>
        </w:tc>
        <w:tc>
          <w:tcPr>
            <w:tcW w:w="1140" w:type="dxa"/>
            <w:vAlign w:val="center"/>
          </w:tcPr>
          <w:p>
            <w:pPr>
              <w:pStyle w:val="17"/>
            </w:pPr>
            <w:r>
              <w:t>1140.33</w:t>
            </w:r>
          </w:p>
        </w:tc>
        <w:tc>
          <w:tcPr>
            <w:tcW w:w="2028" w:type="dxa"/>
            <w:vAlign w:val="center"/>
          </w:tcPr>
          <w:p>
            <w:pPr>
              <w:pStyle w:val="16"/>
            </w:pPr>
            <w:r>
              <w:t>支出总计</w:t>
            </w:r>
          </w:p>
        </w:tc>
        <w:tc>
          <w:tcPr>
            <w:tcW w:w="1044" w:type="dxa"/>
            <w:vAlign w:val="center"/>
          </w:tcPr>
          <w:p>
            <w:pPr>
              <w:pStyle w:val="17"/>
            </w:pPr>
            <w:r>
              <w:t>1140.33</w:t>
            </w:r>
          </w:p>
        </w:tc>
        <w:tc>
          <w:tcPr>
            <w:tcW w:w="1044" w:type="dxa"/>
            <w:vAlign w:val="center"/>
          </w:tcPr>
          <w:p>
            <w:pPr>
              <w:pStyle w:val="17"/>
            </w:pPr>
            <w:r>
              <w:t>1140.33</w:t>
            </w:r>
          </w:p>
        </w:tc>
        <w:tc>
          <w:tcPr>
            <w:tcW w:w="1104" w:type="dxa"/>
            <w:vAlign w:val="center"/>
          </w:tcPr>
          <w:p>
            <w:pPr>
              <w:pStyle w:val="17"/>
            </w:pPr>
          </w:p>
        </w:tc>
        <w:tc>
          <w:tcPr>
            <w:tcW w:w="115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6"/>
        <w:gridCol w:w="1308"/>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434平乡县人民政府办公室</w:t>
            </w:r>
          </w:p>
        </w:tc>
        <w:tc>
          <w:tcPr>
            <w:tcW w:w="2166" w:type="dxa"/>
            <w:tcBorders>
              <w:top w:val="single" w:color="FFFFFF" w:sz="6" w:space="0"/>
              <w:left w:val="single" w:color="FFFFFF" w:sz="6" w:space="0"/>
              <w:right w:val="single" w:color="FFFFFF" w:sz="6" w:space="0"/>
            </w:tcBorders>
            <w:vAlign w:val="center"/>
          </w:tcPr>
          <w:p>
            <w:pPr>
              <w:pStyle w:val="10"/>
              <w:jc w:val="both"/>
            </w:pPr>
            <w:r>
              <w:t>预算年度</w:t>
            </w:r>
            <w:r>
              <w:rPr>
                <w:rFonts w:hint="eastAsia"/>
                <w:lang w:eastAsia="zh-CN"/>
              </w:rPr>
              <w:t>：</w:t>
            </w:r>
            <w:r>
              <w:t>2023</w:t>
            </w:r>
          </w:p>
        </w:tc>
        <w:tc>
          <w:tcPr>
            <w:tcW w:w="276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66" w:type="dxa"/>
            <w:vMerge w:val="restart"/>
            <w:vAlign w:val="center"/>
          </w:tcPr>
          <w:p>
            <w:pPr>
              <w:pStyle w:val="12"/>
            </w:pPr>
            <w:r>
              <w:t>合计</w:t>
            </w:r>
          </w:p>
        </w:tc>
        <w:tc>
          <w:tcPr>
            <w:tcW w:w="1308" w:type="dxa"/>
            <w:vMerge w:val="restart"/>
            <w:vAlign w:val="center"/>
          </w:tcPr>
          <w:p>
            <w:pPr>
              <w:pStyle w:val="12"/>
            </w:pPr>
            <w:r>
              <w:t>基本支出</w:t>
            </w:r>
          </w:p>
        </w:tc>
        <w:tc>
          <w:tcPr>
            <w:tcW w:w="145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66" w:type="dxa"/>
            <w:vMerge w:val="continue"/>
          </w:tcPr>
          <w:p/>
        </w:tc>
        <w:tc>
          <w:tcPr>
            <w:tcW w:w="1308" w:type="dxa"/>
            <w:vMerge w:val="continue"/>
          </w:tcPr>
          <w:p/>
        </w:tc>
        <w:tc>
          <w:tcPr>
            <w:tcW w:w="14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66" w:type="dxa"/>
            <w:vAlign w:val="center"/>
          </w:tcPr>
          <w:p>
            <w:pPr>
              <w:pStyle w:val="12"/>
            </w:pPr>
            <w:r>
              <w:t>3</w:t>
            </w:r>
          </w:p>
        </w:tc>
        <w:tc>
          <w:tcPr>
            <w:tcW w:w="1308" w:type="dxa"/>
            <w:vAlign w:val="center"/>
          </w:tcPr>
          <w:p>
            <w:pPr>
              <w:pStyle w:val="12"/>
            </w:pPr>
            <w:r>
              <w:t>4</w:t>
            </w:r>
          </w:p>
        </w:tc>
        <w:tc>
          <w:tcPr>
            <w:tcW w:w="145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166" w:type="dxa"/>
            <w:vAlign w:val="center"/>
          </w:tcPr>
          <w:p>
            <w:pPr>
              <w:pStyle w:val="17"/>
            </w:pPr>
            <w:r>
              <w:t>1140.33</w:t>
            </w:r>
          </w:p>
        </w:tc>
        <w:tc>
          <w:tcPr>
            <w:tcW w:w="1308" w:type="dxa"/>
            <w:vAlign w:val="center"/>
          </w:tcPr>
          <w:p>
            <w:pPr>
              <w:pStyle w:val="17"/>
            </w:pPr>
            <w:r>
              <w:t>653.82</w:t>
            </w:r>
          </w:p>
        </w:tc>
        <w:tc>
          <w:tcPr>
            <w:tcW w:w="1455" w:type="dxa"/>
            <w:vAlign w:val="center"/>
          </w:tcPr>
          <w:p>
            <w:pPr>
              <w:pStyle w:val="17"/>
            </w:pPr>
            <w:r>
              <w:t>486.51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2166" w:type="dxa"/>
            <w:vAlign w:val="center"/>
          </w:tcPr>
          <w:p>
            <w:pPr>
              <w:pStyle w:val="13"/>
            </w:pPr>
            <w:r>
              <w:t>1072.83</w:t>
            </w:r>
          </w:p>
        </w:tc>
        <w:tc>
          <w:tcPr>
            <w:tcW w:w="1308" w:type="dxa"/>
            <w:vAlign w:val="center"/>
          </w:tcPr>
          <w:p>
            <w:pPr>
              <w:pStyle w:val="13"/>
            </w:pPr>
            <w:r>
              <w:t>653.82</w:t>
            </w:r>
          </w:p>
        </w:tc>
        <w:tc>
          <w:tcPr>
            <w:tcW w:w="1455" w:type="dxa"/>
            <w:vAlign w:val="center"/>
          </w:tcPr>
          <w:p>
            <w:pPr>
              <w:pStyle w:val="13"/>
            </w:pPr>
            <w: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2166" w:type="dxa"/>
            <w:vAlign w:val="center"/>
          </w:tcPr>
          <w:p>
            <w:pPr>
              <w:pStyle w:val="13"/>
            </w:pPr>
            <w:r>
              <w:t>42.00</w:t>
            </w:r>
          </w:p>
        </w:tc>
        <w:tc>
          <w:tcPr>
            <w:tcW w:w="1308" w:type="dxa"/>
            <w:vAlign w:val="center"/>
          </w:tcPr>
          <w:p>
            <w:pPr>
              <w:pStyle w:val="13"/>
            </w:pPr>
            <w:r>
              <w:t>42.00</w:t>
            </w:r>
          </w:p>
        </w:tc>
        <w:tc>
          <w:tcPr>
            <w:tcW w:w="14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2010101</w:t>
            </w:r>
          </w:p>
        </w:tc>
        <w:tc>
          <w:tcPr>
            <w:tcW w:w="1643" w:type="dxa"/>
            <w:vAlign w:val="center"/>
          </w:tcPr>
          <w:p>
            <w:pPr>
              <w:pStyle w:val="14"/>
            </w:pPr>
            <w:r>
              <w:t>行政运行</w:t>
            </w:r>
          </w:p>
        </w:tc>
        <w:tc>
          <w:tcPr>
            <w:tcW w:w="2166" w:type="dxa"/>
            <w:vAlign w:val="center"/>
          </w:tcPr>
          <w:p>
            <w:pPr>
              <w:pStyle w:val="13"/>
            </w:pPr>
            <w:r>
              <w:t>42.00</w:t>
            </w:r>
          </w:p>
        </w:tc>
        <w:tc>
          <w:tcPr>
            <w:tcW w:w="1308" w:type="dxa"/>
            <w:vAlign w:val="center"/>
          </w:tcPr>
          <w:p>
            <w:pPr>
              <w:pStyle w:val="13"/>
            </w:pPr>
            <w:r>
              <w:t>42.00</w:t>
            </w:r>
          </w:p>
        </w:tc>
        <w:tc>
          <w:tcPr>
            <w:tcW w:w="14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2166" w:type="dxa"/>
            <w:vAlign w:val="center"/>
          </w:tcPr>
          <w:p>
            <w:pPr>
              <w:pStyle w:val="13"/>
            </w:pPr>
            <w:r>
              <w:t>1030.83</w:t>
            </w:r>
          </w:p>
        </w:tc>
        <w:tc>
          <w:tcPr>
            <w:tcW w:w="1308" w:type="dxa"/>
            <w:vAlign w:val="center"/>
          </w:tcPr>
          <w:p>
            <w:pPr>
              <w:pStyle w:val="13"/>
            </w:pPr>
            <w:r>
              <w:t>611.82</w:t>
            </w:r>
          </w:p>
        </w:tc>
        <w:tc>
          <w:tcPr>
            <w:tcW w:w="1455" w:type="dxa"/>
            <w:vAlign w:val="center"/>
          </w:tcPr>
          <w:p>
            <w:pPr>
              <w:pStyle w:val="13"/>
            </w:pPr>
            <w: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2166" w:type="dxa"/>
            <w:vAlign w:val="center"/>
          </w:tcPr>
          <w:p>
            <w:pPr>
              <w:pStyle w:val="13"/>
            </w:pPr>
            <w:r>
              <w:t>512.38</w:t>
            </w:r>
          </w:p>
        </w:tc>
        <w:tc>
          <w:tcPr>
            <w:tcW w:w="1308" w:type="dxa"/>
            <w:vAlign w:val="center"/>
          </w:tcPr>
          <w:p>
            <w:pPr>
              <w:pStyle w:val="13"/>
            </w:pPr>
            <w:r>
              <w:t>512.38</w:t>
            </w:r>
          </w:p>
        </w:tc>
        <w:tc>
          <w:tcPr>
            <w:tcW w:w="14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2166" w:type="dxa"/>
            <w:vAlign w:val="center"/>
          </w:tcPr>
          <w:p>
            <w:pPr>
              <w:pStyle w:val="13"/>
            </w:pPr>
            <w:r>
              <w:t>419.01</w:t>
            </w:r>
          </w:p>
        </w:tc>
        <w:tc>
          <w:tcPr>
            <w:tcW w:w="1308" w:type="dxa"/>
            <w:vAlign w:val="center"/>
          </w:tcPr>
          <w:p>
            <w:pPr>
              <w:pStyle w:val="13"/>
            </w:pPr>
          </w:p>
        </w:tc>
        <w:tc>
          <w:tcPr>
            <w:tcW w:w="1455" w:type="dxa"/>
            <w:vAlign w:val="center"/>
          </w:tcPr>
          <w:p>
            <w:pPr>
              <w:pStyle w:val="13"/>
            </w:pPr>
            <w: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2010350</w:t>
            </w:r>
          </w:p>
        </w:tc>
        <w:tc>
          <w:tcPr>
            <w:tcW w:w="1643" w:type="dxa"/>
            <w:vAlign w:val="center"/>
          </w:tcPr>
          <w:p>
            <w:pPr>
              <w:pStyle w:val="14"/>
            </w:pPr>
            <w:r>
              <w:t>事业运行</w:t>
            </w:r>
          </w:p>
        </w:tc>
        <w:tc>
          <w:tcPr>
            <w:tcW w:w="2166" w:type="dxa"/>
            <w:vAlign w:val="center"/>
          </w:tcPr>
          <w:p>
            <w:pPr>
              <w:pStyle w:val="13"/>
            </w:pPr>
            <w:r>
              <w:t>99.44</w:t>
            </w:r>
          </w:p>
        </w:tc>
        <w:tc>
          <w:tcPr>
            <w:tcW w:w="1308" w:type="dxa"/>
            <w:vAlign w:val="center"/>
          </w:tcPr>
          <w:p>
            <w:pPr>
              <w:pStyle w:val="13"/>
            </w:pPr>
            <w:r>
              <w:t>99.44</w:t>
            </w:r>
          </w:p>
        </w:tc>
        <w:tc>
          <w:tcPr>
            <w:tcW w:w="14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206</w:t>
            </w:r>
          </w:p>
        </w:tc>
        <w:tc>
          <w:tcPr>
            <w:tcW w:w="1643" w:type="dxa"/>
            <w:vAlign w:val="center"/>
          </w:tcPr>
          <w:p>
            <w:pPr>
              <w:pStyle w:val="14"/>
            </w:pPr>
            <w:r>
              <w:t>科学技术支出</w:t>
            </w:r>
          </w:p>
        </w:tc>
        <w:tc>
          <w:tcPr>
            <w:tcW w:w="2166" w:type="dxa"/>
            <w:vAlign w:val="center"/>
          </w:tcPr>
          <w:p>
            <w:pPr>
              <w:pStyle w:val="13"/>
            </w:pPr>
            <w:r>
              <w:t>67.50</w:t>
            </w:r>
          </w:p>
        </w:tc>
        <w:tc>
          <w:tcPr>
            <w:tcW w:w="1308" w:type="dxa"/>
            <w:vAlign w:val="center"/>
          </w:tcPr>
          <w:p>
            <w:pPr>
              <w:pStyle w:val="13"/>
            </w:pPr>
          </w:p>
        </w:tc>
        <w:tc>
          <w:tcPr>
            <w:tcW w:w="1455" w:type="dxa"/>
            <w:vAlign w:val="center"/>
          </w:tcPr>
          <w:p>
            <w:pPr>
              <w:pStyle w:val="13"/>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20699</w:t>
            </w:r>
          </w:p>
        </w:tc>
        <w:tc>
          <w:tcPr>
            <w:tcW w:w="1643" w:type="dxa"/>
            <w:vAlign w:val="center"/>
          </w:tcPr>
          <w:p>
            <w:pPr>
              <w:pStyle w:val="14"/>
            </w:pPr>
            <w:r>
              <w:t>其他科学技术支出</w:t>
            </w:r>
          </w:p>
        </w:tc>
        <w:tc>
          <w:tcPr>
            <w:tcW w:w="2166" w:type="dxa"/>
            <w:vAlign w:val="center"/>
          </w:tcPr>
          <w:p>
            <w:pPr>
              <w:pStyle w:val="13"/>
            </w:pPr>
            <w:r>
              <w:t>67.50</w:t>
            </w:r>
          </w:p>
        </w:tc>
        <w:tc>
          <w:tcPr>
            <w:tcW w:w="1308" w:type="dxa"/>
            <w:vAlign w:val="center"/>
          </w:tcPr>
          <w:p>
            <w:pPr>
              <w:pStyle w:val="13"/>
            </w:pPr>
          </w:p>
        </w:tc>
        <w:tc>
          <w:tcPr>
            <w:tcW w:w="1455" w:type="dxa"/>
            <w:vAlign w:val="center"/>
          </w:tcPr>
          <w:p>
            <w:pPr>
              <w:pStyle w:val="13"/>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2069999</w:t>
            </w:r>
          </w:p>
        </w:tc>
        <w:tc>
          <w:tcPr>
            <w:tcW w:w="1643" w:type="dxa"/>
            <w:vAlign w:val="center"/>
          </w:tcPr>
          <w:p>
            <w:pPr>
              <w:pStyle w:val="14"/>
            </w:pPr>
            <w:r>
              <w:t>其他科学技术支出</w:t>
            </w:r>
          </w:p>
        </w:tc>
        <w:tc>
          <w:tcPr>
            <w:tcW w:w="2166" w:type="dxa"/>
            <w:vAlign w:val="center"/>
          </w:tcPr>
          <w:p>
            <w:pPr>
              <w:pStyle w:val="13"/>
            </w:pPr>
            <w:r>
              <w:t>67.50</w:t>
            </w:r>
          </w:p>
        </w:tc>
        <w:tc>
          <w:tcPr>
            <w:tcW w:w="1308" w:type="dxa"/>
            <w:vAlign w:val="center"/>
          </w:tcPr>
          <w:p>
            <w:pPr>
              <w:pStyle w:val="13"/>
            </w:pPr>
          </w:p>
        </w:tc>
        <w:tc>
          <w:tcPr>
            <w:tcW w:w="1455" w:type="dxa"/>
            <w:vAlign w:val="center"/>
          </w:tcPr>
          <w:p>
            <w:pPr>
              <w:pStyle w:val="13"/>
            </w:pPr>
            <w:r>
              <w:t>67.50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6"/>
        <w:gridCol w:w="130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434平乡县人民政府办公室</w:t>
            </w:r>
          </w:p>
        </w:tc>
        <w:tc>
          <w:tcPr>
            <w:tcW w:w="1986" w:type="dxa"/>
            <w:tcBorders>
              <w:top w:val="single" w:color="FFFFFF" w:sz="6" w:space="0"/>
              <w:left w:val="single" w:color="FFFFFF" w:sz="6" w:space="0"/>
              <w:right w:val="single" w:color="FFFFFF" w:sz="6" w:space="0"/>
            </w:tcBorders>
            <w:vAlign w:val="center"/>
          </w:tcPr>
          <w:p>
            <w:pPr>
              <w:pStyle w:val="10"/>
              <w:jc w:val="both"/>
            </w:pPr>
            <w:r>
              <w:t>预算年度</w:t>
            </w:r>
            <w:r>
              <w:rPr>
                <w:rFonts w:hint="eastAsia"/>
                <w:lang w:eastAsia="zh-CN"/>
              </w:rPr>
              <w:t>：</w:t>
            </w:r>
            <w:r>
              <w:t>2023</w:t>
            </w:r>
          </w:p>
        </w:tc>
        <w:tc>
          <w:tcPr>
            <w:tcW w:w="294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86" w:type="dxa"/>
            <w:vAlign w:val="center"/>
          </w:tcPr>
          <w:p>
            <w:pPr>
              <w:pStyle w:val="12"/>
            </w:pPr>
            <w:r>
              <w:t>合计</w:t>
            </w:r>
          </w:p>
        </w:tc>
        <w:tc>
          <w:tcPr>
            <w:tcW w:w="1300"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86" w:type="dxa"/>
            <w:vAlign w:val="center"/>
          </w:tcPr>
          <w:p>
            <w:pPr>
              <w:pStyle w:val="12"/>
            </w:pPr>
            <w:r>
              <w:t>3</w:t>
            </w:r>
          </w:p>
        </w:tc>
        <w:tc>
          <w:tcPr>
            <w:tcW w:w="130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986" w:type="dxa"/>
            <w:vAlign w:val="center"/>
          </w:tcPr>
          <w:p>
            <w:pPr>
              <w:pStyle w:val="17"/>
            </w:pPr>
            <w:r>
              <w:t>653.82</w:t>
            </w:r>
          </w:p>
        </w:tc>
        <w:tc>
          <w:tcPr>
            <w:tcW w:w="1300" w:type="dxa"/>
            <w:vAlign w:val="center"/>
          </w:tcPr>
          <w:p>
            <w:pPr>
              <w:pStyle w:val="17"/>
            </w:pPr>
            <w:r>
              <w:t>615.70</w:t>
            </w:r>
          </w:p>
        </w:tc>
        <w:tc>
          <w:tcPr>
            <w:tcW w:w="1643" w:type="dxa"/>
            <w:vAlign w:val="center"/>
          </w:tcPr>
          <w:p>
            <w:pPr>
              <w:pStyle w:val="17"/>
            </w:pPr>
            <w:r>
              <w:t>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986" w:type="dxa"/>
            <w:vAlign w:val="center"/>
          </w:tcPr>
          <w:p>
            <w:pPr>
              <w:pStyle w:val="13"/>
            </w:pPr>
            <w:r>
              <w:t>597.80</w:t>
            </w:r>
          </w:p>
        </w:tc>
        <w:tc>
          <w:tcPr>
            <w:tcW w:w="1300" w:type="dxa"/>
            <w:vAlign w:val="center"/>
          </w:tcPr>
          <w:p>
            <w:pPr>
              <w:pStyle w:val="13"/>
            </w:pPr>
            <w:r>
              <w:t>597.80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986" w:type="dxa"/>
            <w:vAlign w:val="center"/>
          </w:tcPr>
          <w:p>
            <w:pPr>
              <w:pStyle w:val="13"/>
            </w:pPr>
            <w:r>
              <w:t>382.00</w:t>
            </w:r>
          </w:p>
        </w:tc>
        <w:tc>
          <w:tcPr>
            <w:tcW w:w="1300" w:type="dxa"/>
            <w:vAlign w:val="center"/>
          </w:tcPr>
          <w:p>
            <w:pPr>
              <w:pStyle w:val="13"/>
            </w:pPr>
            <w:r>
              <w:t>382.00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986" w:type="dxa"/>
            <w:vAlign w:val="center"/>
          </w:tcPr>
          <w:p>
            <w:pPr>
              <w:pStyle w:val="13"/>
            </w:pPr>
            <w:r>
              <w:t>15.10</w:t>
            </w:r>
          </w:p>
        </w:tc>
        <w:tc>
          <w:tcPr>
            <w:tcW w:w="1300" w:type="dxa"/>
            <w:vAlign w:val="center"/>
          </w:tcPr>
          <w:p>
            <w:pPr>
              <w:pStyle w:val="13"/>
            </w:pPr>
            <w:r>
              <w:t>15.10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986" w:type="dxa"/>
            <w:vAlign w:val="center"/>
          </w:tcPr>
          <w:p>
            <w:pPr>
              <w:pStyle w:val="13"/>
            </w:pPr>
            <w:r>
              <w:t>34.20</w:t>
            </w:r>
          </w:p>
        </w:tc>
        <w:tc>
          <w:tcPr>
            <w:tcW w:w="1300" w:type="dxa"/>
            <w:vAlign w:val="center"/>
          </w:tcPr>
          <w:p>
            <w:pPr>
              <w:pStyle w:val="13"/>
            </w:pPr>
            <w:r>
              <w:t>34.20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986" w:type="dxa"/>
            <w:vAlign w:val="center"/>
          </w:tcPr>
          <w:p>
            <w:pPr>
              <w:pStyle w:val="13"/>
            </w:pPr>
            <w:r>
              <w:t>16.00</w:t>
            </w:r>
          </w:p>
        </w:tc>
        <w:tc>
          <w:tcPr>
            <w:tcW w:w="1300" w:type="dxa"/>
            <w:vAlign w:val="center"/>
          </w:tcPr>
          <w:p>
            <w:pPr>
              <w:pStyle w:val="13"/>
            </w:pPr>
            <w:r>
              <w:t>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986" w:type="dxa"/>
            <w:vAlign w:val="center"/>
          </w:tcPr>
          <w:p>
            <w:pPr>
              <w:pStyle w:val="13"/>
            </w:pPr>
            <w:r>
              <w:t>53.00</w:t>
            </w:r>
          </w:p>
        </w:tc>
        <w:tc>
          <w:tcPr>
            <w:tcW w:w="1300" w:type="dxa"/>
            <w:vAlign w:val="center"/>
          </w:tcPr>
          <w:p>
            <w:pPr>
              <w:pStyle w:val="13"/>
            </w:pPr>
            <w:r>
              <w:t>53.00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986" w:type="dxa"/>
            <w:vAlign w:val="center"/>
          </w:tcPr>
          <w:p>
            <w:pPr>
              <w:pStyle w:val="13"/>
            </w:pPr>
            <w:r>
              <w:t>6.00</w:t>
            </w:r>
          </w:p>
        </w:tc>
        <w:tc>
          <w:tcPr>
            <w:tcW w:w="1300" w:type="dxa"/>
            <w:vAlign w:val="center"/>
          </w:tcPr>
          <w:p>
            <w:pPr>
              <w:pStyle w:val="13"/>
            </w:pPr>
            <w:r>
              <w:t>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986" w:type="dxa"/>
            <w:vAlign w:val="center"/>
          </w:tcPr>
          <w:p>
            <w:pPr>
              <w:pStyle w:val="13"/>
            </w:pPr>
            <w:r>
              <w:t>30.00</w:t>
            </w:r>
          </w:p>
        </w:tc>
        <w:tc>
          <w:tcPr>
            <w:tcW w:w="1300" w:type="dxa"/>
            <w:vAlign w:val="center"/>
          </w:tcPr>
          <w:p>
            <w:pPr>
              <w:pStyle w:val="13"/>
            </w:pPr>
            <w:r>
              <w:t>30.00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986" w:type="dxa"/>
            <w:vAlign w:val="center"/>
          </w:tcPr>
          <w:p>
            <w:pPr>
              <w:pStyle w:val="13"/>
            </w:pPr>
            <w:r>
              <w:t>9.00</w:t>
            </w:r>
          </w:p>
        </w:tc>
        <w:tc>
          <w:tcPr>
            <w:tcW w:w="1300" w:type="dxa"/>
            <w:vAlign w:val="center"/>
          </w:tcPr>
          <w:p>
            <w:pPr>
              <w:pStyle w:val="13"/>
            </w:pPr>
            <w:r>
              <w:t>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986" w:type="dxa"/>
            <w:vAlign w:val="center"/>
          </w:tcPr>
          <w:p>
            <w:pPr>
              <w:pStyle w:val="13"/>
            </w:pPr>
            <w:r>
              <w:t>2.50</w:t>
            </w:r>
          </w:p>
        </w:tc>
        <w:tc>
          <w:tcPr>
            <w:tcW w:w="1300" w:type="dxa"/>
            <w:vAlign w:val="center"/>
          </w:tcPr>
          <w:p>
            <w:pPr>
              <w:pStyle w:val="13"/>
            </w:pPr>
            <w:r>
              <w:t>2.50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986" w:type="dxa"/>
            <w:vAlign w:val="center"/>
          </w:tcPr>
          <w:p>
            <w:pPr>
              <w:pStyle w:val="13"/>
            </w:pPr>
            <w:r>
              <w:t>50.00</w:t>
            </w:r>
          </w:p>
        </w:tc>
        <w:tc>
          <w:tcPr>
            <w:tcW w:w="1300" w:type="dxa"/>
            <w:vAlign w:val="center"/>
          </w:tcPr>
          <w:p>
            <w:pPr>
              <w:pStyle w:val="13"/>
            </w:pPr>
            <w:r>
              <w:t>50.00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986" w:type="dxa"/>
            <w:vAlign w:val="center"/>
          </w:tcPr>
          <w:p>
            <w:pPr>
              <w:pStyle w:val="13"/>
            </w:pPr>
            <w:r>
              <w:t>38.12</w:t>
            </w:r>
          </w:p>
        </w:tc>
        <w:tc>
          <w:tcPr>
            <w:tcW w:w="1300" w:type="dxa"/>
            <w:vAlign w:val="center"/>
          </w:tcPr>
          <w:p>
            <w:pPr>
              <w:pStyle w:val="13"/>
            </w:pPr>
          </w:p>
        </w:tc>
        <w:tc>
          <w:tcPr>
            <w:tcW w:w="1643" w:type="dxa"/>
            <w:vAlign w:val="center"/>
          </w:tcPr>
          <w:p>
            <w:pPr>
              <w:pStyle w:val="13"/>
            </w:pPr>
            <w:r>
              <w:t>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986" w:type="dxa"/>
            <w:vAlign w:val="center"/>
          </w:tcPr>
          <w:p>
            <w:pPr>
              <w:pStyle w:val="13"/>
            </w:pPr>
            <w:r>
              <w:t>4.50</w:t>
            </w:r>
          </w:p>
        </w:tc>
        <w:tc>
          <w:tcPr>
            <w:tcW w:w="1300" w:type="dxa"/>
            <w:vAlign w:val="center"/>
          </w:tcPr>
          <w:p>
            <w:pPr>
              <w:pStyle w:val="13"/>
            </w:pPr>
          </w:p>
        </w:tc>
        <w:tc>
          <w:tcPr>
            <w:tcW w:w="1643"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986" w:type="dxa"/>
            <w:vAlign w:val="center"/>
          </w:tcPr>
          <w:p>
            <w:pPr>
              <w:pStyle w:val="13"/>
            </w:pPr>
            <w:r>
              <w:t>7.10</w:t>
            </w:r>
          </w:p>
        </w:tc>
        <w:tc>
          <w:tcPr>
            <w:tcW w:w="1300" w:type="dxa"/>
            <w:vAlign w:val="center"/>
          </w:tcPr>
          <w:p>
            <w:pPr>
              <w:pStyle w:val="13"/>
            </w:pPr>
          </w:p>
        </w:tc>
        <w:tc>
          <w:tcPr>
            <w:tcW w:w="1643" w:type="dxa"/>
            <w:vAlign w:val="center"/>
          </w:tcPr>
          <w:p>
            <w:pPr>
              <w:pStyle w:val="13"/>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30228</w:t>
            </w:r>
          </w:p>
        </w:tc>
        <w:tc>
          <w:tcPr>
            <w:tcW w:w="1643" w:type="dxa"/>
            <w:vAlign w:val="center"/>
          </w:tcPr>
          <w:p>
            <w:pPr>
              <w:pStyle w:val="14"/>
            </w:pPr>
            <w:r>
              <w:t>工会经费</w:t>
            </w:r>
          </w:p>
        </w:tc>
        <w:tc>
          <w:tcPr>
            <w:tcW w:w="1986" w:type="dxa"/>
            <w:vAlign w:val="center"/>
          </w:tcPr>
          <w:p>
            <w:pPr>
              <w:pStyle w:val="13"/>
            </w:pPr>
            <w:r>
              <w:t>1.16</w:t>
            </w:r>
          </w:p>
        </w:tc>
        <w:tc>
          <w:tcPr>
            <w:tcW w:w="1300" w:type="dxa"/>
            <w:vAlign w:val="center"/>
          </w:tcPr>
          <w:p>
            <w:pPr>
              <w:pStyle w:val="13"/>
            </w:pPr>
          </w:p>
        </w:tc>
        <w:tc>
          <w:tcPr>
            <w:tcW w:w="1643"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30229</w:t>
            </w:r>
          </w:p>
        </w:tc>
        <w:tc>
          <w:tcPr>
            <w:tcW w:w="1643" w:type="dxa"/>
            <w:vAlign w:val="center"/>
          </w:tcPr>
          <w:p>
            <w:pPr>
              <w:pStyle w:val="14"/>
            </w:pPr>
            <w:r>
              <w:t>福利费</w:t>
            </w:r>
          </w:p>
        </w:tc>
        <w:tc>
          <w:tcPr>
            <w:tcW w:w="1986" w:type="dxa"/>
            <w:vAlign w:val="center"/>
          </w:tcPr>
          <w:p>
            <w:pPr>
              <w:pStyle w:val="13"/>
            </w:pPr>
            <w:r>
              <w:t>1.16</w:t>
            </w:r>
          </w:p>
        </w:tc>
        <w:tc>
          <w:tcPr>
            <w:tcW w:w="1300" w:type="dxa"/>
            <w:vAlign w:val="center"/>
          </w:tcPr>
          <w:p>
            <w:pPr>
              <w:pStyle w:val="13"/>
            </w:pPr>
          </w:p>
        </w:tc>
        <w:tc>
          <w:tcPr>
            <w:tcW w:w="1643"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986" w:type="dxa"/>
            <w:vAlign w:val="center"/>
          </w:tcPr>
          <w:p>
            <w:pPr>
              <w:pStyle w:val="13"/>
            </w:pPr>
            <w:r>
              <w:t>24.00</w:t>
            </w:r>
          </w:p>
        </w:tc>
        <w:tc>
          <w:tcPr>
            <w:tcW w:w="1300" w:type="dxa"/>
            <w:vAlign w:val="center"/>
          </w:tcPr>
          <w:p>
            <w:pPr>
              <w:pStyle w:val="13"/>
            </w:pPr>
          </w:p>
        </w:tc>
        <w:tc>
          <w:tcPr>
            <w:tcW w:w="1643"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30299</w:t>
            </w:r>
          </w:p>
        </w:tc>
        <w:tc>
          <w:tcPr>
            <w:tcW w:w="1643" w:type="dxa"/>
            <w:vAlign w:val="center"/>
          </w:tcPr>
          <w:p>
            <w:pPr>
              <w:pStyle w:val="14"/>
            </w:pPr>
            <w:r>
              <w:t>其他商品和服务支出</w:t>
            </w:r>
          </w:p>
        </w:tc>
        <w:tc>
          <w:tcPr>
            <w:tcW w:w="1986" w:type="dxa"/>
            <w:vAlign w:val="center"/>
          </w:tcPr>
          <w:p>
            <w:pPr>
              <w:pStyle w:val="13"/>
            </w:pPr>
            <w:r>
              <w:t>0.20</w:t>
            </w:r>
          </w:p>
        </w:tc>
        <w:tc>
          <w:tcPr>
            <w:tcW w:w="1300"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1986" w:type="dxa"/>
            <w:vAlign w:val="center"/>
          </w:tcPr>
          <w:p>
            <w:pPr>
              <w:pStyle w:val="13"/>
            </w:pPr>
            <w:r>
              <w:t>17.90</w:t>
            </w:r>
          </w:p>
        </w:tc>
        <w:tc>
          <w:tcPr>
            <w:tcW w:w="1300" w:type="dxa"/>
            <w:vAlign w:val="center"/>
          </w:tcPr>
          <w:p>
            <w:pPr>
              <w:pStyle w:val="13"/>
            </w:pPr>
            <w:r>
              <w:t>17.90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1986" w:type="dxa"/>
            <w:vAlign w:val="center"/>
          </w:tcPr>
          <w:p>
            <w:pPr>
              <w:pStyle w:val="13"/>
            </w:pPr>
            <w:r>
              <w:t>11.90</w:t>
            </w:r>
          </w:p>
        </w:tc>
        <w:tc>
          <w:tcPr>
            <w:tcW w:w="1300" w:type="dxa"/>
            <w:vAlign w:val="center"/>
          </w:tcPr>
          <w:p>
            <w:pPr>
              <w:pStyle w:val="13"/>
            </w:pPr>
            <w:r>
              <w:t>11.90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1986" w:type="dxa"/>
            <w:vAlign w:val="center"/>
          </w:tcPr>
          <w:p>
            <w:pPr>
              <w:pStyle w:val="13"/>
            </w:pPr>
            <w:r>
              <w:t>6.00</w:t>
            </w:r>
          </w:p>
        </w:tc>
        <w:tc>
          <w:tcPr>
            <w:tcW w:w="1300" w:type="dxa"/>
            <w:vAlign w:val="center"/>
          </w:tcPr>
          <w:p>
            <w:pPr>
              <w:pStyle w:val="13"/>
            </w:pPr>
            <w:r>
              <w:t>6.00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6"/>
        <w:gridCol w:w="118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434平乡县人民政府办公室</w:t>
            </w:r>
          </w:p>
        </w:tc>
        <w:tc>
          <w:tcPr>
            <w:tcW w:w="2106" w:type="dxa"/>
            <w:tcBorders>
              <w:top w:val="single" w:color="FFFFFF" w:sz="6" w:space="0"/>
              <w:left w:val="single" w:color="FFFFFF" w:sz="6" w:space="0"/>
              <w:right w:val="single" w:color="FFFFFF" w:sz="6" w:space="0"/>
            </w:tcBorders>
            <w:vAlign w:val="center"/>
          </w:tcPr>
          <w:p>
            <w:pPr>
              <w:pStyle w:val="10"/>
            </w:pPr>
            <w:r>
              <w:t>预算年度</w:t>
            </w:r>
            <w:r>
              <w:rPr>
                <w:rFonts w:hint="eastAsia"/>
                <w:lang w:eastAsia="zh-CN"/>
              </w:rPr>
              <w:t>：</w:t>
            </w:r>
            <w:r>
              <w:t>2023</w:t>
            </w:r>
          </w:p>
        </w:tc>
        <w:tc>
          <w:tcPr>
            <w:tcW w:w="282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06" w:type="dxa"/>
            <w:vMerge w:val="restart"/>
            <w:vAlign w:val="center"/>
          </w:tcPr>
          <w:p>
            <w:pPr>
              <w:pStyle w:val="12"/>
            </w:pPr>
            <w:r>
              <w:t>合计</w:t>
            </w:r>
          </w:p>
        </w:tc>
        <w:tc>
          <w:tcPr>
            <w:tcW w:w="1180"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06" w:type="dxa"/>
            <w:vMerge w:val="continue"/>
          </w:tcPr>
          <w:p/>
        </w:tc>
        <w:tc>
          <w:tcPr>
            <w:tcW w:w="118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6" w:type="dxa"/>
            <w:vAlign w:val="center"/>
          </w:tcPr>
          <w:p>
            <w:pPr>
              <w:pStyle w:val="12"/>
            </w:pPr>
            <w:r>
              <w:t>3</w:t>
            </w:r>
          </w:p>
        </w:tc>
        <w:tc>
          <w:tcPr>
            <w:tcW w:w="118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06" w:type="dxa"/>
            <w:vAlign w:val="center"/>
          </w:tcPr>
          <w:p>
            <w:pPr>
              <w:pStyle w:val="13"/>
            </w:pPr>
          </w:p>
        </w:tc>
        <w:tc>
          <w:tcPr>
            <w:tcW w:w="1180"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18"/>
        <w:gridCol w:w="11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434平乡县人民政府办公室</w:t>
            </w:r>
          </w:p>
        </w:tc>
        <w:tc>
          <w:tcPr>
            <w:tcW w:w="2118" w:type="dxa"/>
            <w:tcBorders>
              <w:top w:val="single" w:color="FFFFFF" w:sz="6" w:space="0"/>
              <w:left w:val="single" w:color="FFFFFF" w:sz="6" w:space="0"/>
              <w:right w:val="single" w:color="FFFFFF" w:sz="6" w:space="0"/>
            </w:tcBorders>
            <w:vAlign w:val="center"/>
          </w:tcPr>
          <w:p>
            <w:pPr>
              <w:pStyle w:val="10"/>
            </w:pPr>
            <w:r>
              <w:t>预算年</w:t>
            </w:r>
            <w:r>
              <w:rPr>
                <w:rFonts w:hint="eastAsia"/>
                <w:lang w:eastAsia="zh-CN"/>
              </w:rPr>
              <w:t>度：</w:t>
            </w:r>
            <w:r>
              <w:t>2023</w:t>
            </w:r>
          </w:p>
        </w:tc>
        <w:tc>
          <w:tcPr>
            <w:tcW w:w="281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18" w:type="dxa"/>
            <w:vMerge w:val="restart"/>
            <w:vAlign w:val="center"/>
          </w:tcPr>
          <w:p>
            <w:pPr>
              <w:pStyle w:val="12"/>
            </w:pPr>
            <w:r>
              <w:t>合计</w:t>
            </w:r>
          </w:p>
        </w:tc>
        <w:tc>
          <w:tcPr>
            <w:tcW w:w="116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18" w:type="dxa"/>
            <w:vMerge w:val="continue"/>
          </w:tcPr>
          <w:p/>
        </w:tc>
        <w:tc>
          <w:tcPr>
            <w:tcW w:w="116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18" w:type="dxa"/>
            <w:vAlign w:val="center"/>
          </w:tcPr>
          <w:p>
            <w:pPr>
              <w:pStyle w:val="12"/>
            </w:pPr>
            <w:r>
              <w:t>3</w:t>
            </w:r>
          </w:p>
        </w:tc>
        <w:tc>
          <w:tcPr>
            <w:tcW w:w="116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18" w:type="dxa"/>
            <w:vAlign w:val="center"/>
          </w:tcPr>
          <w:p>
            <w:pPr>
              <w:pStyle w:val="13"/>
            </w:pPr>
          </w:p>
        </w:tc>
        <w:tc>
          <w:tcPr>
            <w:tcW w:w="116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434平乡县人民政府办公室</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26.00</w:t>
            </w:r>
          </w:p>
        </w:tc>
        <w:tc>
          <w:tcPr>
            <w:tcW w:w="1643" w:type="dxa"/>
            <w:vAlign w:val="center"/>
          </w:tcPr>
          <w:p>
            <w:pPr>
              <w:pStyle w:val="17"/>
              <w:rPr>
                <w:rFonts w:hint="default" w:eastAsia="方正书宋_GBK"/>
                <w:lang w:val="en-US" w:eastAsia="zh-CN"/>
              </w:rPr>
            </w:pPr>
            <w:r>
              <w:rPr>
                <w:rFonts w:hint="eastAsia"/>
                <w:lang w:val="en-US" w:eastAsia="zh-CN"/>
              </w:rPr>
              <w:t>26.00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jc w:val="center"/>
              <w:rPr>
                <w:rFonts w:hint="default" w:eastAsia="方正书宋_GBK"/>
                <w:lang w:val="en-US" w:eastAsia="zh-CN"/>
              </w:rPr>
            </w:pPr>
            <w:r>
              <w:rPr>
                <w:rFonts w:hint="eastAsia"/>
                <w:lang w:val="en-US" w:eastAsia="zh-CN"/>
              </w:rPr>
              <w:t>26.00</w:t>
            </w:r>
          </w:p>
        </w:tc>
        <w:tc>
          <w:tcPr>
            <w:tcW w:w="1643" w:type="dxa"/>
            <w:vAlign w:val="center"/>
          </w:tcPr>
          <w:p>
            <w:pPr>
              <w:pStyle w:val="13"/>
              <w:rPr>
                <w:rFonts w:hint="default" w:eastAsia="方正书宋_GBK"/>
                <w:lang w:val="en-US" w:eastAsia="zh-CN"/>
              </w:rPr>
            </w:pPr>
            <w:r>
              <w:rPr>
                <w:rFonts w:hint="eastAsia"/>
                <w:lang w:val="en-US" w:eastAsia="zh-CN"/>
              </w:rPr>
              <w:t>26.00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bookmarkStart w:id="18" w:name="_GoBack"/>
            <w:bookmarkEnd w:id="18"/>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20.00</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平乡县人民政府办公室2023年部门预算信息公开情况说明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平乡县人民政府办公室2023年部门预算信息公开情况说明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按照《预算法》、《地方预决算公开操作规程》和《关于进一步推进预算公开工作的实施意见》规定，现将平乡县人民政府办公室2023年部门预算公开如下：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rPr>
          <w:rFonts w:hint="eastAsia"/>
          <w:lang w:eastAsia="zh-CN"/>
        </w:rPr>
        <w:t>（一）</w:t>
      </w:r>
      <w:r>
        <w:t>协助县政府领导组织起草或审核上报市政府、市政府办公室和致函市政府各部门的公文，以及以县政府、县政府办公室名义发布的公文；负责县政府、县政府办公室日常公文办理，包括省政府、省政府办公厅和市政府、市政府办公室及市政府各部门来文办理，县政府各部门、各乡镇（街道）政府来文办理。</w:t>
      </w:r>
    </w:p>
    <w:p>
      <w:pPr>
        <w:pStyle w:val="19"/>
      </w:pPr>
      <w:r>
        <w:rPr>
          <w:rFonts w:hint="eastAsia"/>
          <w:lang w:eastAsia="zh-CN"/>
        </w:rPr>
        <w:t>（二）</w:t>
      </w:r>
      <w:r>
        <w:t>负责县政府领导活动的组织和协调工作；负责县政府会议的准备和服务工作，协助县政府领导组织落实会议决定事项。</w:t>
      </w:r>
    </w:p>
    <w:p>
      <w:pPr>
        <w:pStyle w:val="19"/>
      </w:pPr>
      <w:r>
        <w:rPr>
          <w:rFonts w:hint="eastAsia"/>
          <w:lang w:eastAsia="zh-CN"/>
        </w:rPr>
        <w:t>（三）</w:t>
      </w:r>
      <w:r>
        <w:t>研究县政府各部门和各乡镇（街道）政府请示县政府的事项，提出审核意见，报县政府领导审批。</w:t>
      </w:r>
    </w:p>
    <w:p>
      <w:pPr>
        <w:pStyle w:val="19"/>
      </w:pPr>
      <w:r>
        <w:rPr>
          <w:rFonts w:hint="eastAsia"/>
          <w:lang w:eastAsia="zh-CN"/>
        </w:rPr>
        <w:t>（四）</w:t>
      </w:r>
      <w:r>
        <w:t>根据县政府领导的批示，对县政府各部门间出现的争议问题提出处理意见，报县政府领导决定。</w:t>
      </w:r>
    </w:p>
    <w:p>
      <w:pPr>
        <w:pStyle w:val="19"/>
      </w:pPr>
      <w:r>
        <w:rPr>
          <w:rFonts w:hint="eastAsia"/>
          <w:lang w:eastAsia="zh-CN"/>
        </w:rPr>
        <w:t>（五）</w:t>
      </w:r>
      <w:r>
        <w:t>组织起草县政府领导重要讲话及其他重要文稿。</w:t>
      </w:r>
    </w:p>
    <w:p>
      <w:pPr>
        <w:pStyle w:val="19"/>
      </w:pPr>
      <w:r>
        <w:rPr>
          <w:rFonts w:hint="eastAsia"/>
          <w:lang w:eastAsia="zh-CN"/>
        </w:rPr>
        <w:t>（六）</w:t>
      </w:r>
      <w:r>
        <w:t>督促检查县政府各部门、各乡镇（街道）政府对市政府和县政府决定事项及市政府和县政府领导重要批示的执行落实情况并跟踪调研，及时向县政府领导报告。</w:t>
      </w:r>
    </w:p>
    <w:p>
      <w:pPr>
        <w:pStyle w:val="19"/>
      </w:pPr>
      <w:r>
        <w:rPr>
          <w:rFonts w:hint="eastAsia"/>
          <w:lang w:eastAsia="zh-CN"/>
        </w:rPr>
        <w:t>（七）</w:t>
      </w:r>
      <w:r>
        <w:t>组织承办人大代表建议和政协提案工作。</w:t>
      </w:r>
    </w:p>
    <w:p>
      <w:pPr>
        <w:pStyle w:val="19"/>
      </w:pPr>
      <w:r>
        <w:rPr>
          <w:rFonts w:hint="eastAsia"/>
          <w:lang w:eastAsia="zh-CN"/>
        </w:rPr>
        <w:t>（八）</w:t>
      </w:r>
      <w:r>
        <w:t>负责承办县政府提请县人大常委会任免议案和提请县政府任免人员的行政任免有关手续；负责承办县政府任命工作人员的宪法宣誓工作。</w:t>
      </w:r>
    </w:p>
    <w:p>
      <w:pPr>
        <w:pStyle w:val="19"/>
      </w:pPr>
      <w:r>
        <w:rPr>
          <w:rFonts w:hint="eastAsia"/>
          <w:lang w:eastAsia="zh-CN"/>
        </w:rPr>
        <w:t>（九）</w:t>
      </w:r>
      <w:r>
        <w:t>负责县政府值班工作，及时报告重要情况，传达和督促落实县政府领导工作要求。</w:t>
      </w:r>
    </w:p>
    <w:p>
      <w:pPr>
        <w:pStyle w:val="19"/>
      </w:pPr>
      <w:r>
        <w:rPr>
          <w:rFonts w:hint="eastAsia"/>
          <w:lang w:eastAsia="zh-CN"/>
        </w:rPr>
        <w:t>（十）</w:t>
      </w:r>
      <w:r>
        <w:t>根据县政府工作部署和县政府领导要求，组织专题调研，及时反映情况，提出建议。</w:t>
      </w:r>
    </w:p>
    <w:p>
      <w:pPr>
        <w:pStyle w:val="19"/>
      </w:pPr>
      <w:r>
        <w:rPr>
          <w:rFonts w:hint="eastAsia"/>
          <w:lang w:eastAsia="zh-CN"/>
        </w:rPr>
        <w:t>（十一）</w:t>
      </w:r>
      <w:r>
        <w:t>负责推进、指导、协调、监督、考核评估全县政务公开和政府信息公开工作。</w:t>
      </w:r>
    </w:p>
    <w:p>
      <w:pPr>
        <w:pStyle w:val="19"/>
      </w:pPr>
      <w:r>
        <w:rPr>
          <w:rFonts w:hint="eastAsia"/>
          <w:lang w:eastAsia="zh-CN"/>
        </w:rPr>
        <w:t>（十二）</w:t>
      </w:r>
      <w:r>
        <w:t>负责政务信息（包括舆情信息）服务工作。</w:t>
      </w:r>
    </w:p>
    <w:p>
      <w:pPr>
        <w:pStyle w:val="19"/>
      </w:pPr>
      <w:r>
        <w:rPr>
          <w:rFonts w:hint="eastAsia"/>
          <w:lang w:eastAsia="zh-CN"/>
        </w:rPr>
        <w:t>（十三）</w:t>
      </w:r>
      <w:r>
        <w:t>协同有关部门统筹协调县政府新闻宣传、舆情回应等工作。</w:t>
      </w:r>
    </w:p>
    <w:p>
      <w:pPr>
        <w:pStyle w:val="19"/>
      </w:pPr>
      <w:r>
        <w:rPr>
          <w:rFonts w:hint="eastAsia"/>
          <w:lang w:eastAsia="zh-CN"/>
        </w:rPr>
        <w:t>（十四）</w:t>
      </w:r>
      <w:r>
        <w:t>负责全县政府系统电子政务工作。</w:t>
      </w:r>
    </w:p>
    <w:p>
      <w:pPr>
        <w:pStyle w:val="19"/>
      </w:pPr>
      <w:r>
        <w:rPr>
          <w:rFonts w:hint="eastAsia"/>
          <w:lang w:eastAsia="zh-CN"/>
        </w:rPr>
        <w:t>（十五）</w:t>
      </w:r>
      <w:r>
        <w:t>负责县政府公务接待工作；做好县政府办公室有关行政事务工作；</w:t>
      </w:r>
    </w:p>
    <w:p>
      <w:pPr>
        <w:pStyle w:val="19"/>
      </w:pPr>
      <w:r>
        <w:rPr>
          <w:rFonts w:hint="eastAsia"/>
          <w:lang w:eastAsia="zh-CN"/>
        </w:rPr>
        <w:t>（十六）</w:t>
      </w:r>
      <w:r>
        <w:t>根据县委、县政府工作部署，承担或参与政策的调查研究工作。根据县政府工作部署，单独或组织、协同有关方面起草、修改县政府有关重要文件、报告、讲话。负责县《政府工作报告》的起草与组织协调工作。对我县改革开放和经济社会发展中重大问题进行调查研究，提出政策性建议。组织各乡镇（街道）政府和县政府各部门围绕县委、县政府确定的重要课题协作攻关。对县内外经济形势跟踪研究，收集、分析、整理、研判和报送经济社会发展中重要信息、动态，为县政府决策提供建议和咨询。</w:t>
      </w:r>
    </w:p>
    <w:p>
      <w:pPr>
        <w:pStyle w:val="19"/>
      </w:pPr>
      <w:r>
        <w:rPr>
          <w:rFonts w:hint="eastAsia"/>
          <w:lang w:eastAsia="zh-CN"/>
        </w:rPr>
        <w:t>（十七）</w:t>
      </w:r>
      <w:r>
        <w:t>贯彻执行党和国家、省、市有关人民防空的法律法规和规章，制定全县人民防空规范性文件；拟定全县人民防空发展规划、编制人民防空年度计划，参与管理城市地下空间开发利用规划编制工作，审核城市总体规划中人民防空内容；贯彻国家人民防空城市等级划分标准，落实防护建设要求，负责人民防空工程建设技术、质量的监管，监督人民防空工程维护与使用管理；负责人民防空组织指挥、信息化建设和资产管理工作；组织开展防空防灾宣传教育；战时组织指挥城市人民开展防空袭斗争；承担县政府赋予的防灾救灾等应急保障任务。</w:t>
      </w:r>
    </w:p>
    <w:p>
      <w:pPr>
        <w:pStyle w:val="19"/>
      </w:pPr>
      <w:r>
        <w:rPr>
          <w:rFonts w:hint="eastAsia"/>
          <w:lang w:eastAsia="zh-CN"/>
        </w:rPr>
        <w:t>（十八）</w:t>
      </w:r>
      <w:r>
        <w:t>贯彻落实国家、省市金融方针政策和法律法规，提出促进和加强金融业发展的建议；协调引进金融机构，引导各类金融机构支持服务实体经济发展；协调配合国家金融监管部门依法加强金融监管，整顿和规范金融市场秩序；协调做好金融运行中涉及地方政府配合的相关工作；贯彻落实省市金融改革工作部署，指导农村信用社改革；负责拟定多层次资本市场培育政策措施，协调推动、培育推荐企业挂牌上市，牵头全县直接融资工作；负责全县地方金融管理工作；指导协调有关部门和各乡镇（街道）人民政府做好投资公司和开展信用互助的农民专业合作社等机构的规范发展和风险处置工作；统筹协调互联网金融、基金等金融业态的监督管理工作；协调有关部门依法做好防范和处置非法集资工作；负责做好地方金融消费者权益保护工作；协调组织全县金融风险防范和处置化解工作，配合有关部门依法做好非法金融案件调查处理、善后处置和维护金融稳定工作。</w:t>
      </w:r>
    </w:p>
    <w:p>
      <w:pPr>
        <w:pStyle w:val="19"/>
      </w:pPr>
      <w:r>
        <w:rPr>
          <w:rFonts w:hint="eastAsia"/>
          <w:lang w:eastAsia="zh-CN"/>
        </w:rPr>
        <w:t>（十九）</w:t>
      </w:r>
      <w:r>
        <w:t>贯彻落实党中央和省委、市委、县委关于外事和</w:t>
      </w:r>
    </w:p>
    <w:p>
      <w:pPr>
        <w:pStyle w:val="19"/>
      </w:pPr>
      <w:r>
        <w:t>港澳工作的集中统一领导。贯彻执行和协调推进全县对外交流合作规划和部署，对全县外事工作履行综合归口管理职能。接受中共平乡县委外事工作委员会的直接领导，承担中共平乡县委外事工作委员会的具体工作，负责承办县领导对外交往事宜，负责指导和管理全县因公出国、赴港澳工作，负责重要外宾邀请、报批工作，会同或配合有关部门处理我县的涉外事务。</w:t>
      </w:r>
    </w:p>
    <w:p>
      <w:pPr>
        <w:pStyle w:val="19"/>
      </w:pPr>
      <w:r>
        <w:rPr>
          <w:rFonts w:hint="eastAsia"/>
          <w:lang w:val="en-US" w:eastAsia="zh-CN"/>
        </w:rPr>
        <w:t>（二十）</w:t>
      </w:r>
      <w:r>
        <w:t xml:space="preserve"> 承办县委、县政府交办的其他事项。</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平乡县人民政府办公室本级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平乡县大数据发展中心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部门预算的编制实行综合预算管理，即全部收入和支出都反映在预算中。平乡县人民政府办公室机关及所属事业单位的收支包含在部门预算中。</w:t>
      </w:r>
    </w:p>
    <w:p>
      <w:pPr>
        <w:pStyle w:val="20"/>
      </w:pPr>
      <w:r>
        <w:t>1、收入说明</w:t>
      </w:r>
    </w:p>
    <w:p>
      <w:pPr>
        <w:pStyle w:val="20"/>
      </w:pPr>
      <w:r>
        <w:t>反映本部门当年全部收入。2023年预算收入1140</w:t>
      </w:r>
      <w:r>
        <w:rPr>
          <w:rFonts w:hint="eastAsia"/>
          <w:lang w:val="en-US" w:eastAsia="zh-CN"/>
        </w:rPr>
        <w:t>.33</w:t>
      </w:r>
      <w:r>
        <w:t>万元，其中：一般公共预算收入1140</w:t>
      </w:r>
      <w:r>
        <w:rPr>
          <w:rFonts w:hint="eastAsia"/>
          <w:lang w:val="en-US" w:eastAsia="zh-CN"/>
        </w:rPr>
        <w:t>.33</w:t>
      </w:r>
      <w:r>
        <w:t>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收支预算总表支出栏、基本支出表、项目支出表按经济分类和支出功能分类科目编制，反映平乡县人民政府办公室年度部门预算中支出预算的总体情况。2023年部门支出预算为1140</w:t>
      </w:r>
      <w:r>
        <w:rPr>
          <w:rFonts w:hint="eastAsia"/>
          <w:lang w:val="en-US" w:eastAsia="zh-CN"/>
        </w:rPr>
        <w:t>.33</w:t>
      </w:r>
      <w:r>
        <w:t>万元，其中基本支出</w:t>
      </w:r>
      <w:r>
        <w:rPr>
          <w:rFonts w:hint="eastAsia"/>
          <w:lang w:val="en-US" w:eastAsia="zh-CN"/>
        </w:rPr>
        <w:t>653.82</w:t>
      </w:r>
      <w:r>
        <w:t>万元，包括人员经费61</w:t>
      </w:r>
      <w:r>
        <w:rPr>
          <w:rFonts w:hint="eastAsia"/>
          <w:lang w:val="en-US" w:eastAsia="zh-CN"/>
        </w:rPr>
        <w:t>5.7</w:t>
      </w:r>
      <w:r>
        <w:t>万元和日常公用经费</w:t>
      </w:r>
      <w:r>
        <w:rPr>
          <w:rFonts w:hint="eastAsia"/>
          <w:lang w:val="en-US" w:eastAsia="zh-CN"/>
        </w:rPr>
        <w:t>38.12</w:t>
      </w:r>
      <w:r>
        <w:t>万元；项目支出</w:t>
      </w:r>
      <w:r>
        <w:rPr>
          <w:rFonts w:hint="eastAsia"/>
          <w:lang w:val="en-US" w:eastAsia="zh-CN"/>
        </w:rPr>
        <w:t>486.51</w:t>
      </w:r>
      <w:r>
        <w:t>万元，主要政务服务与政务管理、综合业务事务管理、政府电子政务管理与服务、金融综合业务管理等。</w:t>
      </w:r>
    </w:p>
    <w:p>
      <w:pPr>
        <w:pStyle w:val="20"/>
      </w:pPr>
      <w:r>
        <w:t>3、比上年增减情况</w:t>
      </w:r>
    </w:p>
    <w:p>
      <w:pPr>
        <w:pStyle w:val="20"/>
      </w:pPr>
      <w:r>
        <w:t>2023年部门预算收支安排1140</w:t>
      </w:r>
      <w:r>
        <w:rPr>
          <w:rFonts w:hint="eastAsia"/>
          <w:lang w:val="en-US" w:eastAsia="zh-CN"/>
        </w:rPr>
        <w:t>.33</w:t>
      </w:r>
      <w:r>
        <w:t>万元，较2022年减少</w:t>
      </w:r>
      <w:r>
        <w:rPr>
          <w:rFonts w:hint="eastAsia"/>
          <w:lang w:val="en-US" w:eastAsia="zh-CN"/>
        </w:rPr>
        <w:t>261.88</w:t>
      </w:r>
      <w:r>
        <w:t>万元，其中：基本支出增加</w:t>
      </w:r>
      <w:r>
        <w:rPr>
          <w:rFonts w:hint="eastAsia"/>
          <w:lang w:val="en-US" w:eastAsia="zh-CN"/>
        </w:rPr>
        <w:t>52.2</w:t>
      </w:r>
      <w:r>
        <w:t>万元，主要是人员工资调整。项目支出减少</w:t>
      </w:r>
      <w:r>
        <w:rPr>
          <w:rFonts w:hint="eastAsia"/>
          <w:lang w:val="en-US" w:eastAsia="zh-CN"/>
        </w:rPr>
        <w:t>314.08</w:t>
      </w:r>
      <w:r>
        <w:t>万元，主要是人防职能从我单位划出。</w:t>
      </w:r>
    </w:p>
    <w:p>
      <w:pPr>
        <w:pStyle w:val="20"/>
      </w:pP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2023年，我部门机关运行经费共计安排38</w:t>
      </w:r>
      <w:r>
        <w:rPr>
          <w:rFonts w:hint="eastAsia"/>
          <w:lang w:val="en-US" w:eastAsia="zh-CN"/>
        </w:rPr>
        <w:t>.12</w:t>
      </w:r>
      <w:r>
        <w:t>万元，主要用于保证机关正常运转的办公费、邮电费、交通补贴、福利费、工会经费等支出。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3</w:t>
      </w:r>
      <w:r>
        <w:t>年，我部门财政拨款“三公”经费预算安排26万元，其中：因公出国（境）费0万元；公务用车购置及运维费20万元（其中：公务用车购置费0万元，公务用车运行维护费20万元)；公务接待费6万元。“三公”经费比上年减少2万元（其中公务接待费减少2万元），主要是我部门积极响应国家政策，严格公车使用、公务接待管理，“三公”经费有所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深入贯彻党的二十大和省市县党代会及有关会议精神，完整、准确、全面贯彻新发展理念，更好推动经济社会发展，按照“一二四九五”总体发展思路，立足“自行车名城，新文旅之乡”发展定位，在县委、县政府的坚强领导下，秉承“服务大局、以文辅政、协调各方、高效运转、当好参谋、抓好落实”的工作理念，认真履行协调、服务、督查等职能，切实提升办文办会、办事的质量和效率，努力推动各项工作上新台阶，为全县经济社会高质量发展作出了积极贡献。在金融管理方便，督导乡镇、部门的防范和处置非法集资工作4次以上，防范非法集资宣传次数12次以上，防范和打击非法集资宣传覆盖率达到100%。在政府电子政务管理与服务方面，保障系统故障修复响应时间小于24小时，保障每周网络正常运转时间占每周的比例高于95%。全年重大联络活动服务工作完成次数6次以上，保障顺利完成会议保障占会议召开总数的比率95%以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1、优化政务服务 </w:t>
      </w:r>
    </w:p>
    <w:p>
      <w:pPr>
        <w:pStyle w:val="24"/>
      </w:pPr>
      <w:r>
        <w:t>绩效目标：突出政务、加强事务管理，力求重点工作出精品。难点工作求突破、基础工作有创新、常规工作见特色。创新工作机制，增强工作综合服务实力。</w:t>
      </w:r>
    </w:p>
    <w:p>
      <w:pPr>
        <w:pStyle w:val="24"/>
      </w:pPr>
      <w:r>
        <w:t xml:space="preserve">绩效指标：参与来平乡考察调研、招商引资、大型活动服务保障6次以上，会议保障完成率达到95%以上，督查督办任务完成率达到100%，公务接待审批率达到100%，各项工作及时完成率达到95%以上，会议要求督导落实率达到95%以上，持续提高接待服务水平。       </w:t>
      </w:r>
    </w:p>
    <w:p>
      <w:pPr>
        <w:pStyle w:val="24"/>
      </w:pPr>
      <w:r>
        <w:t>2、保障网络安全</w:t>
      </w:r>
    </w:p>
    <w:p>
      <w:pPr>
        <w:pStyle w:val="24"/>
      </w:pPr>
      <w:r>
        <w:t>绩效目标：保障县政府网络安全稳定运行，严格保障服务流程，切实提高技术保障能力和服务水平。</w:t>
      </w:r>
    </w:p>
    <w:p>
      <w:pPr>
        <w:pStyle w:val="24"/>
      </w:pPr>
      <w:r>
        <w:t>绩效指标：系统故障修复响应时间小于24小时，网络正常运转时间所占比率达到95%以上，业务处理及时率达到95%以上，政务网络、网站管理能力较往年有较大提升，使用终端满意率达到90%以上，通用设备运行满意率达到90%以上。</w:t>
      </w:r>
    </w:p>
    <w:p>
      <w:pPr>
        <w:pStyle w:val="24"/>
      </w:pPr>
      <w:r>
        <w:t>3、提升服务水平</w:t>
      </w:r>
    </w:p>
    <w:p>
      <w:pPr>
        <w:pStyle w:val="24"/>
      </w:pPr>
      <w:r>
        <w:t>绩效目标：以服务领导和机关保障有力为目标，增强优质后勤管理水平，通过加强公车管理，降低运行成本，为创建节约型机关打下良好的基础。采取保障县政府领导和机关工作办公环境的措施，提升服务管理水平，保障县领导和机关工作的正常运转。</w:t>
      </w:r>
    </w:p>
    <w:p>
      <w:pPr>
        <w:pStyle w:val="24"/>
      </w:pPr>
      <w:r>
        <w:t>绩效指标：综合业务、事务管理工作完成率达到95%以上，综合业务管理工作完成及时率达到95%以上，购置办公设备10套，中心工作调研的意见和建议数量5条以上，圆满完成上级调研课题，采购办公用品、设备合格率达到100%，热线问题群众满意度达到90%以上，被保障科室对服务保障工作的满意度达到90%以上。</w:t>
      </w:r>
    </w:p>
    <w:p>
      <w:pPr>
        <w:pStyle w:val="24"/>
      </w:pPr>
      <w:r>
        <w:t>4、加强金融管理</w:t>
      </w:r>
    </w:p>
    <w:p>
      <w:pPr>
        <w:pStyle w:val="24"/>
      </w:pPr>
      <w:r>
        <w:t>绩效目标：加强金融管理能力建设，突出宣传教育、风险排查，推动非法集资风险处置工作，维护社会稳定和金融秩序，协调金融业与全县经济发展的衔接，为县域经济发展提供有力支撑。</w:t>
      </w:r>
    </w:p>
    <w:p>
      <w:pPr>
        <w:pStyle w:val="24"/>
      </w:pPr>
      <w:r>
        <w:t>绩效指标：督导乡镇、部门的防范和处置非法集资工作4次，防范打击非法集资宣传12次，召开银企对接活动4次以上，防范和打击非法集资宣传覆盖率、金融监管企业覆盖率达到95%以上。新增贷款规模、社会直接融资，非法集资综合治理工作全面开展，圆满完成金融风险处置化解，金融运行情况统计分析工作。鼓励广大群众积极参与防范和打击非法集资工作。</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组织领导、完善制度建设。要把绩效管理工作摆上重要位置,纳入全局谋划推进。将事前评估、目标管理、运行监控、绩效评价、结果应用等各项改革措施，有效融入预算管理的全过程环节。制定完善预算绩效管理制度、资金管理办法、工作保障制度等，为全年预算绩效目标的实现奠定制度基础。</w:t>
      </w:r>
    </w:p>
    <w:p>
      <w:pPr>
        <w:pStyle w:val="25"/>
      </w:pPr>
      <w:r>
        <w:t>2、加强支出管理、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pPr>
        <w:pStyle w:val="25"/>
      </w:pPr>
      <w:r>
        <w:t>3、加强内控建设，规范财务资产管理。加强内部监督制度建设，对绩效运行情况、重大支出决策、资产处置及其他重要经济业务事项的决策和执行进行督导。完善财务管理制度，严格审批程序，加强固定资产登记、使用和报废处置管理，做到支出合理，物尽其用。</w:t>
      </w:r>
    </w:p>
    <w:p>
      <w:pPr>
        <w:pStyle w:val="25"/>
      </w:pPr>
      <w:r>
        <w:t>4、加强绩效运行监控、做好绩效自评。按要求开展绩效运行监控，发现问题及时采取措施，确保绩效目标如期保质实现。按要求开展上年度部门预算绩效自评和重点评价工作，对评价中发现的问题及时整改，调整优化支出结构，提高财政资金使用效益。</w:t>
      </w:r>
    </w:p>
    <w:p>
      <w:pPr>
        <w:pStyle w:val="25"/>
      </w:pPr>
      <w:r>
        <w:t xml:space="preserve">5、规范财务资产管理。建立健全单位资产管理制度，加强和规范资产配置、使用和处理管理，维护资产安全完整，完善财务管理制度，严格审批程序，加强固定资产登记、使用和报废处置管理，做到支出合理，物尽其用。按照科学规范、从严控制、保障工作需要的原则合理配置资产。         </w:t>
      </w:r>
    </w:p>
    <w:p>
      <w:pPr>
        <w:pStyle w:val="25"/>
      </w:pPr>
      <w:r>
        <w:t>6、加强内部监督。财务是单位的理财部门，是在单位领导下开展工作，每名财务人员都应该找准自己的位置，干好自己的本职工作。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财务队伍建设是财务工作的保障，因而打造一支政治坚定、业务精通、廉洁高效、为民理财的干部队伍十分重要。因而我们不断强化业务知识学习，来提升干部的整体素质。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1、12345热线平台绩效目标表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1.建立12345政务服务热线平台，确保企业和群众反映的问题及时得到处置和办理。</w:t>
            </w:r>
            <w:r>
              <w:tab/>
            </w:r>
            <w:r>
              <w:tab/>
            </w:r>
            <w:r>
              <w:tab/>
            </w:r>
            <w:r>
              <w:tab/>
            </w:r>
          </w:p>
          <w:p>
            <w:pPr>
              <w:pStyle w:val="14"/>
            </w:pPr>
          </w:p>
          <w:p>
            <w:pPr>
              <w:pStyle w:val="14"/>
            </w:pPr>
            <w:r>
              <w:t>2.优化工作流程、资源配置和运行机制，提升服务效能。</w:t>
            </w:r>
            <w:r>
              <w:tab/>
            </w:r>
            <w:r>
              <w:tab/>
            </w:r>
            <w:r>
              <w:tab/>
            </w:r>
            <w:r>
              <w:tab/>
            </w:r>
          </w:p>
          <w:p>
            <w:pPr>
              <w:pStyle w:val="14"/>
            </w:pPr>
          </w:p>
          <w:p>
            <w:pPr>
              <w:pStyle w:val="14"/>
            </w:pPr>
            <w:r>
              <w:t>3.切实提高12345热线服务水平。</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热线平台坐席</w:t>
            </w:r>
          </w:p>
        </w:tc>
        <w:tc>
          <w:tcPr>
            <w:tcW w:w="2466" w:type="dxa"/>
            <w:vAlign w:val="center"/>
          </w:tcPr>
          <w:p>
            <w:pPr>
              <w:pStyle w:val="14"/>
            </w:pPr>
            <w:r>
              <w:t>热线平台坐席数量</w:t>
            </w:r>
          </w:p>
        </w:tc>
        <w:tc>
          <w:tcPr>
            <w:tcW w:w="2466" w:type="dxa"/>
            <w:vAlign w:val="center"/>
          </w:tcPr>
          <w:p>
            <w:pPr>
              <w:pStyle w:val="14"/>
            </w:pPr>
            <w:r>
              <w:t>4个</w:t>
            </w:r>
          </w:p>
        </w:tc>
        <w:tc>
          <w:tcPr>
            <w:tcW w:w="2466"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热线办理率</w:t>
            </w:r>
          </w:p>
        </w:tc>
        <w:tc>
          <w:tcPr>
            <w:tcW w:w="2466" w:type="dxa"/>
            <w:vAlign w:val="center"/>
          </w:tcPr>
          <w:p>
            <w:pPr>
              <w:pStyle w:val="14"/>
            </w:pPr>
            <w:r>
              <w:t>热线电话接听率及办结率</w:t>
            </w:r>
          </w:p>
        </w:tc>
        <w:tc>
          <w:tcPr>
            <w:tcW w:w="2466" w:type="dxa"/>
            <w:vAlign w:val="center"/>
          </w:tcPr>
          <w:p>
            <w:pPr>
              <w:pStyle w:val="14"/>
            </w:pPr>
            <w:r>
              <w:t>100%</w:t>
            </w:r>
          </w:p>
        </w:tc>
        <w:tc>
          <w:tcPr>
            <w:tcW w:w="2466"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平台建设按期完成</w:t>
            </w:r>
          </w:p>
        </w:tc>
        <w:tc>
          <w:tcPr>
            <w:tcW w:w="2466" w:type="dxa"/>
            <w:vAlign w:val="center"/>
          </w:tcPr>
          <w:p>
            <w:pPr>
              <w:pStyle w:val="14"/>
            </w:pPr>
            <w:r>
              <w:t>平台建设按期完成率</w:t>
            </w:r>
            <w:r>
              <w:tab/>
            </w:r>
          </w:p>
          <w:p>
            <w:pPr>
              <w:pStyle w:val="14"/>
            </w:pPr>
          </w:p>
        </w:tc>
        <w:tc>
          <w:tcPr>
            <w:tcW w:w="2466" w:type="dxa"/>
            <w:vAlign w:val="center"/>
          </w:tcPr>
          <w:p>
            <w:pPr>
              <w:pStyle w:val="14"/>
            </w:pPr>
            <w:r>
              <w:t>100%</w:t>
            </w:r>
          </w:p>
        </w:tc>
        <w:tc>
          <w:tcPr>
            <w:tcW w:w="2466"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坐席服务费</w:t>
            </w:r>
          </w:p>
        </w:tc>
        <w:tc>
          <w:tcPr>
            <w:tcW w:w="2466" w:type="dxa"/>
            <w:vAlign w:val="center"/>
          </w:tcPr>
          <w:p>
            <w:pPr>
              <w:pStyle w:val="14"/>
            </w:pPr>
            <w:r>
              <w:t>每个坐席服务费</w:t>
            </w:r>
            <w:r>
              <w:tab/>
            </w:r>
          </w:p>
          <w:p>
            <w:pPr>
              <w:pStyle w:val="14"/>
            </w:pPr>
          </w:p>
        </w:tc>
        <w:tc>
          <w:tcPr>
            <w:tcW w:w="2466" w:type="dxa"/>
            <w:vAlign w:val="center"/>
          </w:tcPr>
          <w:p>
            <w:pPr>
              <w:pStyle w:val="14"/>
            </w:pPr>
            <w:r>
              <w:t>2.79万元</w:t>
            </w:r>
          </w:p>
        </w:tc>
        <w:tc>
          <w:tcPr>
            <w:tcW w:w="2466"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提升服务效能</w:t>
            </w:r>
          </w:p>
        </w:tc>
        <w:tc>
          <w:tcPr>
            <w:tcW w:w="2466" w:type="dxa"/>
            <w:vAlign w:val="center"/>
          </w:tcPr>
          <w:p>
            <w:pPr>
              <w:pStyle w:val="14"/>
            </w:pPr>
            <w:r>
              <w:t>公共服务提升情况</w:t>
            </w:r>
            <w:r>
              <w:tab/>
            </w:r>
          </w:p>
          <w:p>
            <w:pPr>
              <w:pStyle w:val="14"/>
            </w:pPr>
          </w:p>
        </w:tc>
        <w:tc>
          <w:tcPr>
            <w:tcW w:w="2466" w:type="dxa"/>
            <w:vAlign w:val="center"/>
          </w:tcPr>
          <w:p>
            <w:pPr>
              <w:pStyle w:val="14"/>
            </w:pPr>
            <w:r>
              <w:t>明显提升</w:t>
            </w:r>
          </w:p>
        </w:tc>
        <w:tc>
          <w:tcPr>
            <w:tcW w:w="2466"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提升热线平台整体服务</w:t>
            </w:r>
          </w:p>
        </w:tc>
        <w:tc>
          <w:tcPr>
            <w:tcW w:w="2466" w:type="dxa"/>
            <w:vAlign w:val="center"/>
          </w:tcPr>
          <w:p>
            <w:pPr>
              <w:pStyle w:val="14"/>
            </w:pPr>
            <w:r>
              <w:t>热线平台整体运行服务情况</w:t>
            </w:r>
            <w:r>
              <w:tab/>
            </w:r>
          </w:p>
          <w:p>
            <w:pPr>
              <w:pStyle w:val="14"/>
            </w:pPr>
          </w:p>
        </w:tc>
        <w:tc>
          <w:tcPr>
            <w:tcW w:w="2466" w:type="dxa"/>
            <w:vAlign w:val="center"/>
          </w:tcPr>
          <w:p>
            <w:pPr>
              <w:pStyle w:val="14"/>
            </w:pPr>
            <w:r>
              <w:t>运行稳定</w:t>
            </w:r>
          </w:p>
        </w:tc>
        <w:tc>
          <w:tcPr>
            <w:tcW w:w="2466"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平台稳定运行</w:t>
            </w:r>
          </w:p>
        </w:tc>
        <w:tc>
          <w:tcPr>
            <w:tcW w:w="2466" w:type="dxa"/>
            <w:vAlign w:val="center"/>
          </w:tcPr>
          <w:p>
            <w:pPr>
              <w:pStyle w:val="14"/>
            </w:pPr>
            <w:r>
              <w:t>平台稳定运行期限</w:t>
            </w:r>
          </w:p>
        </w:tc>
        <w:tc>
          <w:tcPr>
            <w:tcW w:w="2466" w:type="dxa"/>
            <w:vAlign w:val="center"/>
          </w:tcPr>
          <w:p>
            <w:pPr>
              <w:pStyle w:val="14"/>
            </w:pPr>
            <w:r>
              <w:t>长期运行</w:t>
            </w:r>
          </w:p>
        </w:tc>
        <w:tc>
          <w:tcPr>
            <w:tcW w:w="2466" w:type="dxa"/>
            <w:vAlign w:val="center"/>
          </w:tcPr>
          <w:p>
            <w:pPr>
              <w:pStyle w:val="14"/>
            </w:pPr>
            <w:r>
              <w:t>市级统一采购12345热线平台通知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群众投诉满意率</w:t>
            </w:r>
          </w:p>
        </w:tc>
        <w:tc>
          <w:tcPr>
            <w:tcW w:w="2466" w:type="dxa"/>
            <w:vAlign w:val="center"/>
          </w:tcPr>
          <w:p>
            <w:pPr>
              <w:pStyle w:val="14"/>
            </w:pPr>
            <w:r>
              <w:t>解决问题满意数占投诉问题总数的比率</w:t>
            </w:r>
          </w:p>
        </w:tc>
        <w:tc>
          <w:tcPr>
            <w:tcW w:w="2466" w:type="dxa"/>
            <w:vAlign w:val="center"/>
          </w:tcPr>
          <w:p>
            <w:pPr>
              <w:pStyle w:val="14"/>
            </w:pPr>
            <w:r>
              <w:t>≥95%</w:t>
            </w:r>
          </w:p>
        </w:tc>
        <w:tc>
          <w:tcPr>
            <w:tcW w:w="2466" w:type="dxa"/>
            <w:vAlign w:val="center"/>
          </w:tcPr>
          <w:p>
            <w:pPr>
              <w:pStyle w:val="14"/>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群众对受诉单位满意率</w:t>
            </w:r>
          </w:p>
        </w:tc>
        <w:tc>
          <w:tcPr>
            <w:tcW w:w="2466" w:type="dxa"/>
            <w:vAlign w:val="center"/>
          </w:tcPr>
          <w:p>
            <w:pPr>
              <w:pStyle w:val="14"/>
            </w:pPr>
            <w:r>
              <w:t>解决问题满意数占受诉单位承办问题总数的比率</w:t>
            </w:r>
          </w:p>
        </w:tc>
        <w:tc>
          <w:tcPr>
            <w:tcW w:w="2466" w:type="dxa"/>
            <w:vAlign w:val="center"/>
          </w:tcPr>
          <w:p>
            <w:pPr>
              <w:pStyle w:val="14"/>
            </w:pPr>
            <w:r>
              <w:t>≥95%</w:t>
            </w:r>
          </w:p>
        </w:tc>
        <w:tc>
          <w:tcPr>
            <w:tcW w:w="2466" w:type="dxa"/>
            <w:vAlign w:val="center"/>
          </w:tcPr>
          <w:p>
            <w:pPr>
              <w:pStyle w:val="14"/>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2、电子政务外网结构优化服务绩效目标表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1.建立联通省、市、县、乡、村五级政务外网平台，保障政府网络安全运行政府信息公开平台正常运转。</w:t>
            </w:r>
            <w:r>
              <w:tab/>
            </w:r>
            <w:r>
              <w:tab/>
            </w:r>
            <w:r>
              <w:tab/>
            </w:r>
            <w:r>
              <w:tab/>
            </w:r>
          </w:p>
          <w:p>
            <w:pPr>
              <w:pStyle w:val="14"/>
            </w:pPr>
            <w:r>
              <w:t>2建立安全、便民、高效的政府网站</w:t>
            </w:r>
            <w:r>
              <w:tab/>
            </w:r>
            <w:r>
              <w:tab/>
            </w:r>
            <w:r>
              <w:tab/>
            </w:r>
            <w:r>
              <w:tab/>
            </w:r>
          </w:p>
          <w:p>
            <w:pPr>
              <w:pStyle w:val="14"/>
            </w:pPr>
          </w:p>
          <w:p>
            <w:pPr>
              <w:pStyle w:val="14"/>
            </w:pP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市级政务外网专线</w:t>
            </w:r>
          </w:p>
        </w:tc>
        <w:tc>
          <w:tcPr>
            <w:tcW w:w="2466" w:type="dxa"/>
            <w:vAlign w:val="center"/>
          </w:tcPr>
          <w:p>
            <w:pPr>
              <w:pStyle w:val="14"/>
            </w:pPr>
            <w:r>
              <w:t>市级政务外网专线</w:t>
            </w:r>
          </w:p>
        </w:tc>
        <w:tc>
          <w:tcPr>
            <w:tcW w:w="2466" w:type="dxa"/>
            <w:vAlign w:val="center"/>
          </w:tcPr>
          <w:p>
            <w:pPr>
              <w:pStyle w:val="14"/>
            </w:pPr>
            <w:r>
              <w:t>1条</w:t>
            </w:r>
          </w:p>
        </w:tc>
        <w:tc>
          <w:tcPr>
            <w:tcW w:w="2466"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等保测评完成率</w:t>
            </w:r>
          </w:p>
        </w:tc>
        <w:tc>
          <w:tcPr>
            <w:tcW w:w="2466" w:type="dxa"/>
            <w:vAlign w:val="center"/>
          </w:tcPr>
          <w:p>
            <w:pPr>
              <w:pStyle w:val="14"/>
            </w:pPr>
            <w:r>
              <w:t>等保测评完成率</w:t>
            </w:r>
          </w:p>
        </w:tc>
        <w:tc>
          <w:tcPr>
            <w:tcW w:w="2466" w:type="dxa"/>
            <w:vAlign w:val="center"/>
          </w:tcPr>
          <w:p>
            <w:pPr>
              <w:pStyle w:val="14"/>
            </w:pPr>
            <w:r>
              <w:t>100%</w:t>
            </w:r>
          </w:p>
        </w:tc>
        <w:tc>
          <w:tcPr>
            <w:tcW w:w="2466"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等保测评完成及时率</w:t>
            </w:r>
          </w:p>
        </w:tc>
        <w:tc>
          <w:tcPr>
            <w:tcW w:w="2466" w:type="dxa"/>
            <w:vAlign w:val="center"/>
          </w:tcPr>
          <w:p>
            <w:pPr>
              <w:pStyle w:val="14"/>
            </w:pPr>
            <w:r>
              <w:t>等保测评完成及时率</w:t>
            </w:r>
          </w:p>
        </w:tc>
        <w:tc>
          <w:tcPr>
            <w:tcW w:w="2466" w:type="dxa"/>
            <w:vAlign w:val="center"/>
          </w:tcPr>
          <w:p>
            <w:pPr>
              <w:pStyle w:val="14"/>
            </w:pPr>
            <w:r>
              <w:t>100%</w:t>
            </w:r>
          </w:p>
        </w:tc>
        <w:tc>
          <w:tcPr>
            <w:tcW w:w="2466"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等保测评、专线服务费</w:t>
            </w:r>
          </w:p>
        </w:tc>
        <w:tc>
          <w:tcPr>
            <w:tcW w:w="2466" w:type="dxa"/>
            <w:vAlign w:val="center"/>
          </w:tcPr>
          <w:p>
            <w:pPr>
              <w:pStyle w:val="14"/>
            </w:pPr>
            <w:r>
              <w:t>等保测评、专线服务费</w:t>
            </w:r>
          </w:p>
        </w:tc>
        <w:tc>
          <w:tcPr>
            <w:tcW w:w="2466" w:type="dxa"/>
            <w:vAlign w:val="center"/>
          </w:tcPr>
          <w:p>
            <w:pPr>
              <w:pStyle w:val="14"/>
            </w:pPr>
            <w:r>
              <w:t>≤11.85万元</w:t>
            </w:r>
          </w:p>
        </w:tc>
        <w:tc>
          <w:tcPr>
            <w:tcW w:w="2466"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提供网络整体运行服务</w:t>
            </w:r>
          </w:p>
        </w:tc>
        <w:tc>
          <w:tcPr>
            <w:tcW w:w="2466" w:type="dxa"/>
            <w:vAlign w:val="center"/>
          </w:tcPr>
          <w:p>
            <w:pPr>
              <w:pStyle w:val="14"/>
            </w:pPr>
            <w:r>
              <w:t>提供网络整体运行服务</w:t>
            </w:r>
          </w:p>
        </w:tc>
        <w:tc>
          <w:tcPr>
            <w:tcW w:w="2466" w:type="dxa"/>
            <w:vAlign w:val="center"/>
          </w:tcPr>
          <w:p>
            <w:pPr>
              <w:pStyle w:val="14"/>
            </w:pPr>
            <w:r>
              <w:t>支撑政务外网应用系统运行</w:t>
            </w:r>
          </w:p>
        </w:tc>
        <w:tc>
          <w:tcPr>
            <w:tcW w:w="2466"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w:t>
            </w:r>
          </w:p>
        </w:tc>
        <w:tc>
          <w:tcPr>
            <w:tcW w:w="2466" w:type="dxa"/>
            <w:vAlign w:val="center"/>
          </w:tcPr>
          <w:p>
            <w:pPr>
              <w:pStyle w:val="14"/>
            </w:pPr>
            <w:r>
              <w:t>公共服务水平提升情况</w:t>
            </w:r>
          </w:p>
        </w:tc>
        <w:tc>
          <w:tcPr>
            <w:tcW w:w="2466" w:type="dxa"/>
            <w:vAlign w:val="center"/>
          </w:tcPr>
          <w:p>
            <w:pPr>
              <w:pStyle w:val="14"/>
            </w:pPr>
            <w:r>
              <w:t>明显提升</w:t>
            </w:r>
          </w:p>
        </w:tc>
        <w:tc>
          <w:tcPr>
            <w:tcW w:w="2466"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网络安全稳定运行</w:t>
            </w:r>
          </w:p>
        </w:tc>
        <w:tc>
          <w:tcPr>
            <w:tcW w:w="2466" w:type="dxa"/>
            <w:vAlign w:val="center"/>
          </w:tcPr>
          <w:p>
            <w:pPr>
              <w:pStyle w:val="14"/>
            </w:pPr>
            <w:r>
              <w:t>网络安全稳定运行</w:t>
            </w:r>
          </w:p>
        </w:tc>
        <w:tc>
          <w:tcPr>
            <w:tcW w:w="2466" w:type="dxa"/>
            <w:vAlign w:val="center"/>
          </w:tcPr>
          <w:p>
            <w:pPr>
              <w:pStyle w:val="14"/>
            </w:pPr>
            <w:r>
              <w:t>稳定运行</w:t>
            </w:r>
          </w:p>
        </w:tc>
        <w:tc>
          <w:tcPr>
            <w:tcW w:w="2466" w:type="dxa"/>
            <w:vAlign w:val="center"/>
          </w:tcPr>
          <w:p>
            <w:pPr>
              <w:pStyle w:val="14"/>
            </w:pPr>
            <w:r>
              <w:t>政务外网结构优化服务合同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通用设备运行的满意率</w:t>
            </w:r>
          </w:p>
        </w:tc>
        <w:tc>
          <w:tcPr>
            <w:tcW w:w="2466" w:type="dxa"/>
            <w:vAlign w:val="center"/>
          </w:tcPr>
          <w:p>
            <w:pPr>
              <w:pStyle w:val="14"/>
            </w:pPr>
            <w:r>
              <w:t>使用终端满意数占总数的比率</w:t>
            </w:r>
          </w:p>
        </w:tc>
        <w:tc>
          <w:tcPr>
            <w:tcW w:w="2466" w:type="dxa"/>
            <w:vAlign w:val="center"/>
          </w:tcPr>
          <w:p>
            <w:pPr>
              <w:pStyle w:val="14"/>
            </w:pPr>
            <w:r>
              <w:t>≥90%</w:t>
            </w:r>
          </w:p>
        </w:tc>
        <w:tc>
          <w:tcPr>
            <w:tcW w:w="2466" w:type="dxa"/>
            <w:vAlign w:val="center"/>
          </w:tcPr>
          <w:p>
            <w:pPr>
              <w:pStyle w:val="14"/>
            </w:pPr>
            <w: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使用终端满意率</w:t>
            </w:r>
          </w:p>
        </w:tc>
        <w:tc>
          <w:tcPr>
            <w:tcW w:w="2466" w:type="dxa"/>
            <w:vAlign w:val="center"/>
          </w:tcPr>
          <w:p>
            <w:pPr>
              <w:pStyle w:val="14"/>
            </w:pPr>
            <w:r>
              <w:t>使用终端满意数占总数的比率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3、金融综合业务管理绩效目标表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1突出宣传教育、风险排查、风险处置，建立健全监测预警体系，推动非法集资等风险处置工作，维护社会稳定和金融秩序</w:t>
            </w:r>
            <w:r>
              <w:tab/>
            </w:r>
            <w:r>
              <w:tab/>
            </w:r>
            <w:r>
              <w:tab/>
            </w:r>
            <w:r>
              <w:tab/>
            </w:r>
          </w:p>
          <w:p>
            <w:pPr>
              <w:pStyle w:val="14"/>
            </w:pPr>
            <w:r>
              <w:t>2加强对县域企业挂牌上市知识培训，引导企业开展挂牌上市</w:t>
            </w:r>
            <w:r>
              <w:tab/>
            </w:r>
            <w:r>
              <w:tab/>
            </w:r>
            <w:r>
              <w:tab/>
            </w:r>
            <w:r>
              <w:tab/>
            </w:r>
          </w:p>
          <w:p>
            <w:pPr>
              <w:pStyle w:val="14"/>
            </w:pPr>
            <w:r>
              <w:t>3协调金融业与全县经济社会发展的衔接，为县域经济发展提供有力金融支撑。</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督导乡镇、部门的防范和处置非法集资工作</w:t>
            </w:r>
          </w:p>
        </w:tc>
        <w:tc>
          <w:tcPr>
            <w:tcW w:w="2466" w:type="dxa"/>
            <w:vAlign w:val="center"/>
          </w:tcPr>
          <w:p>
            <w:pPr>
              <w:pStyle w:val="14"/>
            </w:pPr>
            <w:r>
              <w:t>督导次数</w:t>
            </w:r>
          </w:p>
        </w:tc>
        <w:tc>
          <w:tcPr>
            <w:tcW w:w="2466" w:type="dxa"/>
            <w:vAlign w:val="center"/>
          </w:tcPr>
          <w:p>
            <w:pPr>
              <w:pStyle w:val="14"/>
            </w:pPr>
            <w:r>
              <w:t>≥4个</w:t>
            </w:r>
          </w:p>
        </w:tc>
        <w:tc>
          <w:tcPr>
            <w:tcW w:w="2466"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防范非法集资宣传次数</w:t>
            </w:r>
          </w:p>
        </w:tc>
        <w:tc>
          <w:tcPr>
            <w:tcW w:w="2466" w:type="dxa"/>
            <w:vAlign w:val="center"/>
          </w:tcPr>
          <w:p>
            <w:pPr>
              <w:pStyle w:val="14"/>
            </w:pPr>
            <w:r>
              <w:t>宣传次数</w:t>
            </w:r>
          </w:p>
        </w:tc>
        <w:tc>
          <w:tcPr>
            <w:tcW w:w="2466" w:type="dxa"/>
            <w:vAlign w:val="center"/>
          </w:tcPr>
          <w:p>
            <w:pPr>
              <w:pStyle w:val="14"/>
            </w:pPr>
            <w:r>
              <w:t>≥12次</w:t>
            </w:r>
          </w:p>
        </w:tc>
        <w:tc>
          <w:tcPr>
            <w:tcW w:w="2466"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组织银企对接活动</w:t>
            </w:r>
          </w:p>
        </w:tc>
        <w:tc>
          <w:tcPr>
            <w:tcW w:w="2466" w:type="dxa"/>
            <w:vAlign w:val="center"/>
          </w:tcPr>
          <w:p>
            <w:pPr>
              <w:pStyle w:val="14"/>
            </w:pPr>
            <w:r>
              <w:t>组织县辖银行业金融机构与企业进行对接</w:t>
            </w:r>
          </w:p>
        </w:tc>
        <w:tc>
          <w:tcPr>
            <w:tcW w:w="2466" w:type="dxa"/>
            <w:vAlign w:val="center"/>
          </w:tcPr>
          <w:p>
            <w:pPr>
              <w:pStyle w:val="14"/>
            </w:pPr>
            <w:r>
              <w:t>≥4次</w:t>
            </w:r>
          </w:p>
        </w:tc>
        <w:tc>
          <w:tcPr>
            <w:tcW w:w="2466" w:type="dxa"/>
            <w:vAlign w:val="center"/>
          </w:tcPr>
          <w:p>
            <w:pPr>
              <w:pStyle w:val="14"/>
            </w:pPr>
            <w:r>
              <w:t>《平乡县金融工作办公室关于印发&lt;平乡县金融润企助民服务年实施方案&gt;的通知》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防范和打击非法集资宣传覆盖率</w:t>
            </w:r>
          </w:p>
        </w:tc>
        <w:tc>
          <w:tcPr>
            <w:tcW w:w="2466" w:type="dxa"/>
            <w:vAlign w:val="center"/>
          </w:tcPr>
          <w:p>
            <w:pPr>
              <w:pStyle w:val="14"/>
            </w:pPr>
            <w:r>
              <w:t>开展防范和打击非法集资宣传覆盖主要领域、主要区域、校园、相关单位</w:t>
            </w:r>
          </w:p>
        </w:tc>
        <w:tc>
          <w:tcPr>
            <w:tcW w:w="2466" w:type="dxa"/>
            <w:vAlign w:val="center"/>
          </w:tcPr>
          <w:p>
            <w:pPr>
              <w:pStyle w:val="14"/>
            </w:pPr>
            <w:r>
              <w:t>100%</w:t>
            </w:r>
          </w:p>
        </w:tc>
        <w:tc>
          <w:tcPr>
            <w:tcW w:w="2466" w:type="dxa"/>
            <w:vAlign w:val="center"/>
          </w:tcPr>
          <w:p>
            <w:pPr>
              <w:pStyle w:val="14"/>
            </w:pPr>
            <w:r>
              <w:t>《邢台市打击和处置非法集资工作领导小组办公室关于印发2022年防范和处置非法集资工作要点的通知》〕-17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开展防范非法集资宣传活动及时率</w:t>
            </w:r>
          </w:p>
        </w:tc>
        <w:tc>
          <w:tcPr>
            <w:tcW w:w="2466" w:type="dxa"/>
            <w:vAlign w:val="center"/>
          </w:tcPr>
          <w:p>
            <w:pPr>
              <w:pStyle w:val="14"/>
            </w:pPr>
            <w:r>
              <w:t>按照相关通知时间要求，及时开展集中宣传活动</w:t>
            </w:r>
          </w:p>
        </w:tc>
        <w:tc>
          <w:tcPr>
            <w:tcW w:w="2466" w:type="dxa"/>
            <w:vAlign w:val="center"/>
          </w:tcPr>
          <w:p>
            <w:pPr>
              <w:pStyle w:val="14"/>
            </w:pPr>
            <w:r>
              <w:t>100%</w:t>
            </w:r>
          </w:p>
        </w:tc>
        <w:tc>
          <w:tcPr>
            <w:tcW w:w="2466"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组织银企对接活动按期完成及时率</w:t>
            </w:r>
          </w:p>
        </w:tc>
        <w:tc>
          <w:tcPr>
            <w:tcW w:w="2466" w:type="dxa"/>
            <w:vAlign w:val="center"/>
          </w:tcPr>
          <w:p>
            <w:pPr>
              <w:pStyle w:val="14"/>
            </w:pPr>
            <w:r>
              <w:t>每季度开展一次银企对接活动</w:t>
            </w:r>
          </w:p>
        </w:tc>
        <w:tc>
          <w:tcPr>
            <w:tcW w:w="2466" w:type="dxa"/>
            <w:vAlign w:val="center"/>
          </w:tcPr>
          <w:p>
            <w:pPr>
              <w:pStyle w:val="14"/>
            </w:pPr>
            <w:r>
              <w:t>100%</w:t>
            </w:r>
          </w:p>
        </w:tc>
        <w:tc>
          <w:tcPr>
            <w:tcW w:w="2466" w:type="dxa"/>
            <w:vAlign w:val="center"/>
          </w:tcPr>
          <w:p>
            <w:pPr>
              <w:pStyle w:val="14"/>
            </w:pPr>
            <w:r>
              <w:t>《平乡县金融工作办公室关于印发&lt;平乡县金融润企助民服务年实施方案&gt;的通知》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举报非法集资奖励</w:t>
            </w:r>
          </w:p>
        </w:tc>
        <w:tc>
          <w:tcPr>
            <w:tcW w:w="2466" w:type="dxa"/>
            <w:vAlign w:val="center"/>
          </w:tcPr>
          <w:p>
            <w:pPr>
              <w:pStyle w:val="14"/>
            </w:pPr>
            <w:r>
              <w:t>将成本控制在预算范围内，合理利用预算。</w:t>
            </w:r>
          </w:p>
        </w:tc>
        <w:tc>
          <w:tcPr>
            <w:tcW w:w="2466" w:type="dxa"/>
            <w:vAlign w:val="center"/>
          </w:tcPr>
          <w:p>
            <w:pPr>
              <w:pStyle w:val="14"/>
            </w:pPr>
            <w:r>
              <w:t>≤2万元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宣传品制作、办公费等</w:t>
            </w:r>
          </w:p>
        </w:tc>
        <w:tc>
          <w:tcPr>
            <w:tcW w:w="2466" w:type="dxa"/>
            <w:vAlign w:val="center"/>
          </w:tcPr>
          <w:p>
            <w:pPr>
              <w:pStyle w:val="14"/>
            </w:pPr>
            <w:r>
              <w:t>将成本控制在预算范围内，合理利用预算。</w:t>
            </w:r>
          </w:p>
        </w:tc>
        <w:tc>
          <w:tcPr>
            <w:tcW w:w="2466" w:type="dxa"/>
            <w:vAlign w:val="center"/>
          </w:tcPr>
          <w:p>
            <w:pPr>
              <w:pStyle w:val="14"/>
            </w:pPr>
            <w:r>
              <w:t>≤18万元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贷款发放余额增长</w:t>
            </w:r>
          </w:p>
        </w:tc>
        <w:tc>
          <w:tcPr>
            <w:tcW w:w="2466" w:type="dxa"/>
            <w:vAlign w:val="center"/>
          </w:tcPr>
          <w:p>
            <w:pPr>
              <w:pStyle w:val="14"/>
            </w:pPr>
            <w:r>
              <w:t>企业获得银行贷款余额同期比</w:t>
            </w:r>
          </w:p>
        </w:tc>
        <w:tc>
          <w:tcPr>
            <w:tcW w:w="2466" w:type="dxa"/>
            <w:vAlign w:val="center"/>
          </w:tcPr>
          <w:p>
            <w:pPr>
              <w:pStyle w:val="14"/>
            </w:pPr>
            <w:r>
              <w:t>≥5%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群众金融风险防范意识提高</w:t>
            </w:r>
          </w:p>
        </w:tc>
        <w:tc>
          <w:tcPr>
            <w:tcW w:w="2466" w:type="dxa"/>
            <w:vAlign w:val="center"/>
          </w:tcPr>
          <w:p>
            <w:pPr>
              <w:pStyle w:val="14"/>
            </w:pPr>
            <w:r>
              <w:t>群众识别金融风险，防范能力提高</w:t>
            </w:r>
          </w:p>
        </w:tc>
        <w:tc>
          <w:tcPr>
            <w:tcW w:w="2466" w:type="dxa"/>
            <w:vAlign w:val="center"/>
          </w:tcPr>
          <w:p>
            <w:pPr>
              <w:pStyle w:val="14"/>
            </w:pPr>
            <w:r>
              <w:t>能力提高</w:t>
            </w:r>
          </w:p>
        </w:tc>
        <w:tc>
          <w:tcPr>
            <w:tcW w:w="2466"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监测预警体系覆盖率</w:t>
            </w:r>
          </w:p>
        </w:tc>
        <w:tc>
          <w:tcPr>
            <w:tcW w:w="2466" w:type="dxa"/>
            <w:vAlign w:val="center"/>
          </w:tcPr>
          <w:p>
            <w:pPr>
              <w:pStyle w:val="14"/>
            </w:pPr>
            <w:r>
              <w:t>防范非法集资监测预警体系全县监测范围覆盖率</w:t>
            </w:r>
          </w:p>
        </w:tc>
        <w:tc>
          <w:tcPr>
            <w:tcW w:w="2466" w:type="dxa"/>
            <w:vAlign w:val="center"/>
          </w:tcPr>
          <w:p>
            <w:pPr>
              <w:pStyle w:val="14"/>
            </w:pPr>
            <w:r>
              <w:t>≥90%</w:t>
            </w:r>
          </w:p>
        </w:tc>
        <w:tc>
          <w:tcPr>
            <w:tcW w:w="2466" w:type="dxa"/>
            <w:vAlign w:val="center"/>
          </w:tcPr>
          <w:p>
            <w:pPr>
              <w:pStyle w:val="14"/>
            </w:pPr>
            <w:r>
              <w:t>《邢台市打击和处置非法集资工作领导小组办公室关于印发2022年防范和处置非法集资工作要点的通知》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群众对金融防范风险的理解度</w:t>
            </w:r>
          </w:p>
        </w:tc>
        <w:tc>
          <w:tcPr>
            <w:tcW w:w="2466" w:type="dxa"/>
            <w:vAlign w:val="center"/>
          </w:tcPr>
          <w:p>
            <w:pPr>
              <w:pStyle w:val="14"/>
            </w:pPr>
            <w:r>
              <w:t>群众对金融防范风险的理解度</w:t>
            </w:r>
          </w:p>
        </w:tc>
        <w:tc>
          <w:tcPr>
            <w:tcW w:w="2466" w:type="dxa"/>
            <w:vAlign w:val="center"/>
          </w:tcPr>
          <w:p>
            <w:pPr>
              <w:pStyle w:val="14"/>
            </w:pPr>
            <w:r>
              <w:t>≥90%</w:t>
            </w:r>
          </w:p>
        </w:tc>
        <w:tc>
          <w:tcPr>
            <w:tcW w:w="2466" w:type="dxa"/>
            <w:vAlign w:val="center"/>
          </w:tcPr>
          <w:p>
            <w:pPr>
              <w:pStyle w:val="14"/>
            </w:pPr>
            <w: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银企满意度</w:t>
            </w:r>
          </w:p>
        </w:tc>
        <w:tc>
          <w:tcPr>
            <w:tcW w:w="2466" w:type="dxa"/>
            <w:vAlign w:val="center"/>
          </w:tcPr>
          <w:p>
            <w:pPr>
              <w:pStyle w:val="14"/>
            </w:pPr>
            <w:r>
              <w:t>银行以及企业对相关会议效果的满意度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4、政府电子政务管理与服务绩效目标表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1建保障政府网络安全运行、政府信息公开平台正常运转。</w:t>
            </w:r>
            <w:r>
              <w:tab/>
            </w:r>
            <w:r>
              <w:tab/>
            </w:r>
            <w:r>
              <w:tab/>
            </w:r>
            <w:r>
              <w:tab/>
            </w:r>
          </w:p>
          <w:p>
            <w:pPr>
              <w:pStyle w:val="14"/>
            </w:pPr>
            <w:r>
              <w:t>2建立安全、便民、高效的政府网站</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系统故障修复响应时间 （小时）</w:t>
            </w:r>
          </w:p>
        </w:tc>
        <w:tc>
          <w:tcPr>
            <w:tcW w:w="2466" w:type="dxa"/>
            <w:vAlign w:val="center"/>
          </w:tcPr>
          <w:p>
            <w:pPr>
              <w:pStyle w:val="14"/>
            </w:pPr>
            <w:r>
              <w:t xml:space="preserve">系统故障修复响应时间 </w:t>
            </w:r>
          </w:p>
        </w:tc>
        <w:tc>
          <w:tcPr>
            <w:tcW w:w="2466" w:type="dxa"/>
            <w:vAlign w:val="center"/>
          </w:tcPr>
          <w:p>
            <w:pPr>
              <w:pStyle w:val="14"/>
            </w:pPr>
            <w:r>
              <w:t>≤24小时</w:t>
            </w:r>
          </w:p>
        </w:tc>
        <w:tc>
          <w:tcPr>
            <w:tcW w:w="2466" w:type="dxa"/>
            <w:vAlign w:val="center"/>
          </w:tcPr>
          <w:p>
            <w:pPr>
              <w:pStyle w:val="14"/>
            </w:pPr>
            <w: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网络正常运转保障时间</w:t>
            </w:r>
          </w:p>
        </w:tc>
        <w:tc>
          <w:tcPr>
            <w:tcW w:w="2466" w:type="dxa"/>
            <w:vAlign w:val="center"/>
          </w:tcPr>
          <w:p>
            <w:pPr>
              <w:pStyle w:val="14"/>
            </w:pPr>
            <w:r>
              <w:t>每周网络正常运转时间占每周的比例</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业务处理及时性</w:t>
            </w:r>
          </w:p>
        </w:tc>
        <w:tc>
          <w:tcPr>
            <w:tcW w:w="2466" w:type="dxa"/>
            <w:vAlign w:val="center"/>
          </w:tcPr>
          <w:p>
            <w:pPr>
              <w:pStyle w:val="14"/>
            </w:pPr>
            <w:r>
              <w:t>及时处理业务占总处理数的比率</w:t>
            </w:r>
          </w:p>
        </w:tc>
        <w:tc>
          <w:tcPr>
            <w:tcW w:w="2466" w:type="dxa"/>
            <w:vAlign w:val="center"/>
          </w:tcPr>
          <w:p>
            <w:pPr>
              <w:pStyle w:val="14"/>
            </w:pPr>
            <w:r>
              <w:t>≥95%</w:t>
            </w:r>
          </w:p>
        </w:tc>
        <w:tc>
          <w:tcPr>
            <w:tcW w:w="2466" w:type="dxa"/>
            <w:vAlign w:val="center"/>
          </w:tcPr>
          <w:p>
            <w:pPr>
              <w:pStyle w:val="14"/>
            </w:pPr>
            <w: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维护、服务费</w:t>
            </w:r>
          </w:p>
        </w:tc>
        <w:tc>
          <w:tcPr>
            <w:tcW w:w="2466" w:type="dxa"/>
            <w:vAlign w:val="center"/>
          </w:tcPr>
          <w:p>
            <w:pPr>
              <w:pStyle w:val="14"/>
            </w:pPr>
            <w:r>
              <w:t>维护、服务费</w:t>
            </w:r>
          </w:p>
        </w:tc>
        <w:tc>
          <w:tcPr>
            <w:tcW w:w="2466" w:type="dxa"/>
            <w:vAlign w:val="center"/>
          </w:tcPr>
          <w:p>
            <w:pPr>
              <w:pStyle w:val="14"/>
            </w:pPr>
            <w:r>
              <w:t>≤20万元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设备预设功能达标率</w:t>
            </w:r>
          </w:p>
        </w:tc>
        <w:tc>
          <w:tcPr>
            <w:tcW w:w="2466" w:type="dxa"/>
            <w:vAlign w:val="center"/>
          </w:tcPr>
          <w:p>
            <w:pPr>
              <w:pStyle w:val="14"/>
            </w:pPr>
            <w:r>
              <w:t>设备实际使用功能占设备预期使用功能的比率</w:t>
            </w:r>
          </w:p>
        </w:tc>
        <w:tc>
          <w:tcPr>
            <w:tcW w:w="2466" w:type="dxa"/>
            <w:vAlign w:val="center"/>
          </w:tcPr>
          <w:p>
            <w:pPr>
              <w:pStyle w:val="14"/>
            </w:pPr>
            <w:r>
              <w:t>≥95%</w:t>
            </w:r>
          </w:p>
        </w:tc>
        <w:tc>
          <w:tcPr>
            <w:tcW w:w="2466" w:type="dxa"/>
            <w:vAlign w:val="center"/>
          </w:tcPr>
          <w:p>
            <w:pPr>
              <w:pStyle w:val="14"/>
            </w:pPr>
            <w:r>
              <w:t>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政府网站保障能力较往年提升率</w:t>
            </w:r>
          </w:p>
        </w:tc>
        <w:tc>
          <w:tcPr>
            <w:tcW w:w="2466" w:type="dxa"/>
            <w:vAlign w:val="center"/>
          </w:tcPr>
          <w:p>
            <w:pPr>
              <w:pStyle w:val="14"/>
            </w:pPr>
            <w:r>
              <w:t>政府网站保障能力较往年提升率</w:t>
            </w:r>
          </w:p>
        </w:tc>
        <w:tc>
          <w:tcPr>
            <w:tcW w:w="2466" w:type="dxa"/>
            <w:vAlign w:val="center"/>
          </w:tcPr>
          <w:p>
            <w:pPr>
              <w:pStyle w:val="14"/>
            </w:pPr>
            <w:r>
              <w:t>≥10%</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政务网络、网站管理能力较往年提升率</w:t>
            </w:r>
          </w:p>
        </w:tc>
        <w:tc>
          <w:tcPr>
            <w:tcW w:w="2466" w:type="dxa"/>
            <w:vAlign w:val="center"/>
          </w:tcPr>
          <w:p>
            <w:pPr>
              <w:pStyle w:val="14"/>
            </w:pPr>
            <w:r>
              <w:t>政务网络、网站管理能力较往年提升率</w:t>
            </w:r>
          </w:p>
        </w:tc>
        <w:tc>
          <w:tcPr>
            <w:tcW w:w="2466" w:type="dxa"/>
            <w:vAlign w:val="center"/>
          </w:tcPr>
          <w:p>
            <w:pPr>
              <w:pStyle w:val="14"/>
            </w:pPr>
            <w:r>
              <w:t>≥10%</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通用设备运行的满意率</w:t>
            </w:r>
          </w:p>
        </w:tc>
        <w:tc>
          <w:tcPr>
            <w:tcW w:w="2466" w:type="dxa"/>
            <w:vAlign w:val="center"/>
          </w:tcPr>
          <w:p>
            <w:pPr>
              <w:pStyle w:val="14"/>
            </w:pPr>
            <w:r>
              <w:t>使用终端满意数占总数的比率</w:t>
            </w:r>
          </w:p>
        </w:tc>
        <w:tc>
          <w:tcPr>
            <w:tcW w:w="2466" w:type="dxa"/>
            <w:vAlign w:val="center"/>
          </w:tcPr>
          <w:p>
            <w:pPr>
              <w:pStyle w:val="14"/>
            </w:pPr>
            <w:r>
              <w:t>≥90%</w:t>
            </w:r>
          </w:p>
        </w:tc>
        <w:tc>
          <w:tcPr>
            <w:tcW w:w="2466" w:type="dxa"/>
            <w:vAlign w:val="center"/>
          </w:tcPr>
          <w:p>
            <w:pPr>
              <w:pStyle w:val="14"/>
            </w:pPr>
            <w:r>
              <w:t>登记表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5、政府法律顾问工作经费绩效目标表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1.为依法行政提供咨询性法律服务，就行政管理中的法律问题提出建议，起草或审查合同、协议，参与规范性文件的审查、论证，参与决策论证</w:t>
            </w:r>
            <w:r>
              <w:tab/>
            </w:r>
            <w:r>
              <w:tab/>
            </w:r>
            <w:r>
              <w:tab/>
            </w:r>
            <w:r>
              <w:tab/>
            </w:r>
          </w:p>
          <w:p>
            <w:pPr>
              <w:pStyle w:val="14"/>
            </w:pPr>
          </w:p>
          <w:p>
            <w:pPr>
              <w:pStyle w:val="14"/>
            </w:pPr>
            <w:r>
              <w:t>2.与业务人员及时沟通并传授法律提知识及法律技巧，提高行政机关执法人员业务水平</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政府重要涉法事项参与次数</w:t>
            </w:r>
          </w:p>
        </w:tc>
        <w:tc>
          <w:tcPr>
            <w:tcW w:w="2466" w:type="dxa"/>
            <w:vAlign w:val="center"/>
          </w:tcPr>
          <w:p>
            <w:pPr>
              <w:pStyle w:val="14"/>
            </w:pPr>
            <w:r>
              <w:t>政府重要涉法事项参与次数</w:t>
            </w:r>
          </w:p>
        </w:tc>
        <w:tc>
          <w:tcPr>
            <w:tcW w:w="2466" w:type="dxa"/>
            <w:vAlign w:val="center"/>
          </w:tcPr>
          <w:p>
            <w:pPr>
              <w:pStyle w:val="14"/>
            </w:pPr>
            <w:r>
              <w:t>≥10次</w:t>
            </w:r>
          </w:p>
        </w:tc>
        <w:tc>
          <w:tcPr>
            <w:tcW w:w="2466"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协议、合同审查率</w:t>
            </w:r>
          </w:p>
        </w:tc>
        <w:tc>
          <w:tcPr>
            <w:tcW w:w="2466" w:type="dxa"/>
            <w:vAlign w:val="center"/>
          </w:tcPr>
          <w:p>
            <w:pPr>
              <w:pStyle w:val="14"/>
            </w:pPr>
            <w:r>
              <w:t>审查协议、合同数量占总协议合同数量百分比</w:t>
            </w:r>
          </w:p>
        </w:tc>
        <w:tc>
          <w:tcPr>
            <w:tcW w:w="2466" w:type="dxa"/>
            <w:vAlign w:val="center"/>
          </w:tcPr>
          <w:p>
            <w:pPr>
              <w:pStyle w:val="14"/>
            </w:pPr>
            <w:r>
              <w:t>95%</w:t>
            </w:r>
          </w:p>
        </w:tc>
        <w:tc>
          <w:tcPr>
            <w:tcW w:w="2466"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重大决策、政府合同、招商引资等合法</w:t>
            </w:r>
          </w:p>
        </w:tc>
        <w:tc>
          <w:tcPr>
            <w:tcW w:w="2466" w:type="dxa"/>
            <w:vAlign w:val="center"/>
          </w:tcPr>
          <w:p>
            <w:pPr>
              <w:pStyle w:val="14"/>
            </w:pPr>
            <w:r>
              <w:t>重大决策、政府合同、招商引资合法性</w:t>
            </w:r>
          </w:p>
        </w:tc>
        <w:tc>
          <w:tcPr>
            <w:tcW w:w="2466" w:type="dxa"/>
            <w:vAlign w:val="center"/>
          </w:tcPr>
          <w:p>
            <w:pPr>
              <w:pStyle w:val="14"/>
            </w:pPr>
            <w:r>
              <w:t>明显提升</w:t>
            </w:r>
          </w:p>
        </w:tc>
        <w:tc>
          <w:tcPr>
            <w:tcW w:w="2466"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协议、合同、规范性文件审查及时率</w:t>
            </w:r>
          </w:p>
        </w:tc>
        <w:tc>
          <w:tcPr>
            <w:tcW w:w="2466" w:type="dxa"/>
            <w:vAlign w:val="center"/>
          </w:tcPr>
          <w:p>
            <w:pPr>
              <w:pStyle w:val="14"/>
            </w:pPr>
            <w:r>
              <w:t>及时审查文件的比率</w:t>
            </w:r>
          </w:p>
        </w:tc>
        <w:tc>
          <w:tcPr>
            <w:tcW w:w="2466" w:type="dxa"/>
            <w:vAlign w:val="center"/>
          </w:tcPr>
          <w:p>
            <w:pPr>
              <w:pStyle w:val="14"/>
            </w:pPr>
            <w:r>
              <w:t>100%</w:t>
            </w:r>
          </w:p>
        </w:tc>
        <w:tc>
          <w:tcPr>
            <w:tcW w:w="2466"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法律顾问费</w:t>
            </w:r>
          </w:p>
        </w:tc>
        <w:tc>
          <w:tcPr>
            <w:tcW w:w="2466" w:type="dxa"/>
            <w:vAlign w:val="center"/>
          </w:tcPr>
          <w:p>
            <w:pPr>
              <w:pStyle w:val="14"/>
            </w:pPr>
            <w:r>
              <w:t>每年法律顾问费</w:t>
            </w:r>
          </w:p>
        </w:tc>
        <w:tc>
          <w:tcPr>
            <w:tcW w:w="2466" w:type="dxa"/>
            <w:vAlign w:val="center"/>
          </w:tcPr>
          <w:p>
            <w:pPr>
              <w:pStyle w:val="14"/>
            </w:pPr>
            <w:r>
              <w:t>12万元</w:t>
            </w:r>
          </w:p>
        </w:tc>
        <w:tc>
          <w:tcPr>
            <w:tcW w:w="2466"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诉讼参与率</w:t>
            </w:r>
          </w:p>
        </w:tc>
        <w:tc>
          <w:tcPr>
            <w:tcW w:w="2466" w:type="dxa"/>
            <w:vAlign w:val="center"/>
          </w:tcPr>
          <w:p>
            <w:pPr>
              <w:pStyle w:val="14"/>
            </w:pPr>
            <w:r>
              <w:t>诉讼参与比率</w:t>
            </w:r>
          </w:p>
        </w:tc>
        <w:tc>
          <w:tcPr>
            <w:tcW w:w="2466" w:type="dxa"/>
            <w:vAlign w:val="center"/>
          </w:tcPr>
          <w:p>
            <w:pPr>
              <w:pStyle w:val="14"/>
            </w:pPr>
            <w:r>
              <w:t>95%</w:t>
            </w:r>
          </w:p>
        </w:tc>
        <w:tc>
          <w:tcPr>
            <w:tcW w:w="2466"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政府重要涉法事项参与率</w:t>
            </w:r>
          </w:p>
        </w:tc>
        <w:tc>
          <w:tcPr>
            <w:tcW w:w="2466" w:type="dxa"/>
            <w:vAlign w:val="center"/>
          </w:tcPr>
          <w:p>
            <w:pPr>
              <w:pStyle w:val="14"/>
            </w:pPr>
            <w:r>
              <w:t>参于政府重要涉法事项次数占应参加涉法事项数量的比率</w:t>
            </w:r>
          </w:p>
        </w:tc>
        <w:tc>
          <w:tcPr>
            <w:tcW w:w="2466" w:type="dxa"/>
            <w:vAlign w:val="center"/>
          </w:tcPr>
          <w:p>
            <w:pPr>
              <w:pStyle w:val="14"/>
            </w:pPr>
            <w:r>
              <w:t>95%</w:t>
            </w:r>
          </w:p>
        </w:tc>
        <w:tc>
          <w:tcPr>
            <w:tcW w:w="2466"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推进法治政府建设</w:t>
            </w:r>
          </w:p>
        </w:tc>
        <w:tc>
          <w:tcPr>
            <w:tcW w:w="2466" w:type="dxa"/>
            <w:vAlign w:val="center"/>
          </w:tcPr>
          <w:p>
            <w:pPr>
              <w:pStyle w:val="14"/>
            </w:pPr>
            <w:r>
              <w:t>推进法治政府建设</w:t>
            </w:r>
          </w:p>
        </w:tc>
        <w:tc>
          <w:tcPr>
            <w:tcW w:w="2466" w:type="dxa"/>
            <w:vAlign w:val="center"/>
          </w:tcPr>
          <w:p>
            <w:pPr>
              <w:pStyle w:val="14"/>
            </w:pPr>
            <w:r>
              <w:t>效果明显</w:t>
            </w:r>
          </w:p>
        </w:tc>
        <w:tc>
          <w:tcPr>
            <w:tcW w:w="2466" w:type="dxa"/>
            <w:vAlign w:val="center"/>
          </w:tcPr>
          <w:p>
            <w:pPr>
              <w:pStyle w:val="14"/>
            </w:pPr>
            <w:r>
              <w:t>聘请常年法律顾问协议书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依法行政水平得到进一步提高</w:t>
            </w:r>
          </w:p>
        </w:tc>
        <w:tc>
          <w:tcPr>
            <w:tcW w:w="2466" w:type="dxa"/>
            <w:vAlign w:val="center"/>
          </w:tcPr>
          <w:p>
            <w:pPr>
              <w:pStyle w:val="14"/>
            </w:pPr>
            <w:r>
              <w:t>依法行政水平进一步得到提高</w:t>
            </w:r>
          </w:p>
        </w:tc>
        <w:tc>
          <w:tcPr>
            <w:tcW w:w="2466" w:type="dxa"/>
            <w:vAlign w:val="center"/>
          </w:tcPr>
          <w:p>
            <w:pPr>
              <w:pStyle w:val="14"/>
            </w:pPr>
            <w:r>
              <w:t>效果明显</w:t>
            </w:r>
          </w:p>
        </w:tc>
        <w:tc>
          <w:tcPr>
            <w:tcW w:w="2466" w:type="dxa"/>
            <w:vAlign w:val="center"/>
          </w:tcPr>
          <w:p>
            <w:pPr>
              <w:pStyle w:val="14"/>
            </w:pPr>
            <w:r>
              <w:t>聘请常年法律顾问协议书</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对法律顾问提供服务满意度</w:t>
            </w:r>
          </w:p>
        </w:tc>
        <w:tc>
          <w:tcPr>
            <w:tcW w:w="2466" w:type="dxa"/>
            <w:vAlign w:val="center"/>
          </w:tcPr>
          <w:p>
            <w:pPr>
              <w:pStyle w:val="14"/>
            </w:pPr>
            <w:r>
              <w:t>主管部门对法律顾问提供服务满意度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6、政务服务与政务管理绩效目标表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rPr>
                <w:rFonts w:hint="eastAsia" w:eastAsia="方正书宋_GBK"/>
                <w:lang w:eastAsia="zh-CN"/>
              </w:rPr>
            </w:pPr>
            <w:r>
              <w:t>1.提升政务公开服务水平，做好大型活动、会议，接待工作，做好我县招商引资、特色产业宣传工作</w:t>
            </w:r>
            <w:r>
              <w:rPr>
                <w:rFonts w:hint="eastAsia"/>
                <w:lang w:eastAsia="zh-CN"/>
              </w:rPr>
              <w:t>。</w:t>
            </w:r>
          </w:p>
          <w:p>
            <w:pPr>
              <w:pStyle w:val="14"/>
            </w:pPr>
            <w:r>
              <w:t>2.围绕我县中心工作，有效促进对外经贸协作和外地高科技项目合作。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重大联络活动服务工作完成次数</w:t>
            </w:r>
          </w:p>
        </w:tc>
        <w:tc>
          <w:tcPr>
            <w:tcW w:w="2466" w:type="dxa"/>
            <w:vAlign w:val="center"/>
          </w:tcPr>
          <w:p>
            <w:pPr>
              <w:pStyle w:val="14"/>
            </w:pPr>
            <w:r>
              <w:t>重大联络活动服务工作完成次数</w:t>
            </w:r>
          </w:p>
        </w:tc>
        <w:tc>
          <w:tcPr>
            <w:tcW w:w="2466" w:type="dxa"/>
            <w:vAlign w:val="center"/>
          </w:tcPr>
          <w:p>
            <w:pPr>
              <w:pStyle w:val="14"/>
            </w:pPr>
            <w:r>
              <w:t>≥6次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会议保障完成率</w:t>
            </w:r>
          </w:p>
        </w:tc>
        <w:tc>
          <w:tcPr>
            <w:tcW w:w="2466" w:type="dxa"/>
            <w:vAlign w:val="center"/>
          </w:tcPr>
          <w:p>
            <w:pPr>
              <w:pStyle w:val="14"/>
            </w:pPr>
            <w:r>
              <w:t>顺利完成会议保障占会议召开总数的比率</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督查督办任务完成率</w:t>
            </w:r>
          </w:p>
        </w:tc>
        <w:tc>
          <w:tcPr>
            <w:tcW w:w="2466" w:type="dxa"/>
            <w:vAlign w:val="center"/>
          </w:tcPr>
          <w:p>
            <w:pPr>
              <w:pStyle w:val="14"/>
            </w:pPr>
            <w:r>
              <w:t>已完成督查督办占督察督办任务的比率</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公务接待审批率</w:t>
            </w:r>
          </w:p>
        </w:tc>
        <w:tc>
          <w:tcPr>
            <w:tcW w:w="2466" w:type="dxa"/>
            <w:vAlign w:val="center"/>
          </w:tcPr>
          <w:p>
            <w:pPr>
              <w:pStyle w:val="14"/>
            </w:pPr>
            <w:r>
              <w:t>审批率</w:t>
            </w:r>
          </w:p>
        </w:tc>
        <w:tc>
          <w:tcPr>
            <w:tcW w:w="2466" w:type="dxa"/>
            <w:vAlign w:val="center"/>
          </w:tcPr>
          <w:p>
            <w:pPr>
              <w:pStyle w:val="14"/>
            </w:pPr>
            <w:r>
              <w:t>100%</w:t>
            </w:r>
          </w:p>
        </w:tc>
        <w:tc>
          <w:tcPr>
            <w:tcW w:w="2466" w:type="dxa"/>
            <w:vAlign w:val="center"/>
          </w:tcPr>
          <w:p>
            <w:pPr>
              <w:pStyle w:val="14"/>
            </w:pPr>
            <w:r>
              <w:t>公务接待管理办法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各项工作及时完成率</w:t>
            </w:r>
          </w:p>
        </w:tc>
        <w:tc>
          <w:tcPr>
            <w:tcW w:w="2466" w:type="dxa"/>
            <w:vAlign w:val="center"/>
          </w:tcPr>
          <w:p>
            <w:pPr>
              <w:pStyle w:val="14"/>
            </w:pPr>
            <w:r>
              <w:t>各项工作任务能够在规定时间或计划时间之前及时完成的比例</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文件资料,宣传品印刷,公务接待,会议保障,政务公开,督查督办等工作成本</w:t>
            </w:r>
          </w:p>
        </w:tc>
        <w:tc>
          <w:tcPr>
            <w:tcW w:w="2466" w:type="dxa"/>
            <w:vAlign w:val="center"/>
          </w:tcPr>
          <w:p>
            <w:pPr>
              <w:pStyle w:val="14"/>
            </w:pPr>
            <w:r>
              <w:t>文件资料,宣传品印刷,公务接待,会议保障,政务公开,督查督办等工作成本</w:t>
            </w:r>
          </w:p>
        </w:tc>
        <w:tc>
          <w:tcPr>
            <w:tcW w:w="2466" w:type="dxa"/>
            <w:vAlign w:val="center"/>
          </w:tcPr>
          <w:p>
            <w:pPr>
              <w:pStyle w:val="14"/>
            </w:pPr>
            <w:r>
              <w:t>≤72万元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会议要求督导落实率</w:t>
            </w:r>
          </w:p>
        </w:tc>
        <w:tc>
          <w:tcPr>
            <w:tcW w:w="2466" w:type="dxa"/>
            <w:vAlign w:val="center"/>
          </w:tcPr>
          <w:p>
            <w:pPr>
              <w:pStyle w:val="14"/>
            </w:pPr>
            <w:r>
              <w:t>会议要求的重点工作督导落实情况</w:t>
            </w:r>
          </w:p>
        </w:tc>
        <w:tc>
          <w:tcPr>
            <w:tcW w:w="2466" w:type="dxa"/>
            <w:vAlign w:val="center"/>
          </w:tcPr>
          <w:p>
            <w:pPr>
              <w:pStyle w:val="14"/>
            </w:pPr>
            <w:r>
              <w:t>≥95%</w:t>
            </w:r>
          </w:p>
        </w:tc>
        <w:tc>
          <w:tcPr>
            <w:tcW w:w="2466" w:type="dxa"/>
            <w:vAlign w:val="center"/>
          </w:tcPr>
          <w:p>
            <w:pPr>
              <w:pStyle w:val="14"/>
            </w:pPr>
            <w:r>
              <w:t>督查报告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督查事项反馈率</w:t>
            </w:r>
          </w:p>
        </w:tc>
        <w:tc>
          <w:tcPr>
            <w:tcW w:w="2466" w:type="dxa"/>
            <w:vAlign w:val="center"/>
          </w:tcPr>
          <w:p>
            <w:pPr>
              <w:pStyle w:val="14"/>
            </w:pPr>
            <w:r>
              <w:t>反馈率</w:t>
            </w:r>
          </w:p>
        </w:tc>
        <w:tc>
          <w:tcPr>
            <w:tcW w:w="2466" w:type="dxa"/>
            <w:vAlign w:val="center"/>
          </w:tcPr>
          <w:p>
            <w:pPr>
              <w:pStyle w:val="14"/>
            </w:pPr>
            <w:r>
              <w:t>100%</w:t>
            </w:r>
          </w:p>
        </w:tc>
        <w:tc>
          <w:tcPr>
            <w:tcW w:w="2466" w:type="dxa"/>
            <w:vAlign w:val="center"/>
          </w:tcPr>
          <w:p>
            <w:pPr>
              <w:pStyle w:val="14"/>
            </w:pPr>
            <w:r>
              <w:t>督查台账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持续提升政务服务与管理工作水平</w:t>
            </w:r>
          </w:p>
        </w:tc>
        <w:tc>
          <w:tcPr>
            <w:tcW w:w="2466" w:type="dxa"/>
            <w:vAlign w:val="center"/>
          </w:tcPr>
          <w:p>
            <w:pPr>
              <w:pStyle w:val="14"/>
            </w:pPr>
            <w:r>
              <w:t>持续提升政务服务与管理工作水平</w:t>
            </w:r>
          </w:p>
        </w:tc>
        <w:tc>
          <w:tcPr>
            <w:tcW w:w="2466" w:type="dxa"/>
            <w:vAlign w:val="center"/>
          </w:tcPr>
          <w:p>
            <w:pPr>
              <w:pStyle w:val="14"/>
            </w:pPr>
            <w:r>
              <w:t>明显提高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参会人员满意度</w:t>
            </w:r>
          </w:p>
        </w:tc>
        <w:tc>
          <w:tcPr>
            <w:tcW w:w="2466" w:type="dxa"/>
            <w:vAlign w:val="center"/>
          </w:tcPr>
          <w:p>
            <w:pPr>
              <w:pStyle w:val="14"/>
            </w:pPr>
            <w:r>
              <w:t>参会人员对会议安排满意度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公务接待服务满意度</w:t>
            </w:r>
          </w:p>
        </w:tc>
        <w:tc>
          <w:tcPr>
            <w:tcW w:w="2466" w:type="dxa"/>
            <w:vAlign w:val="center"/>
          </w:tcPr>
          <w:p>
            <w:pPr>
              <w:pStyle w:val="14"/>
            </w:pPr>
            <w:r>
              <w:t>被接待人员满意度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7、综合业务事务管理绩效目标表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1采取保障县政府领导和机关工作办公环境的措施，提升服务管理水平，保障县领导和机关工作的正常运转</w:t>
            </w:r>
            <w:r>
              <w:tab/>
            </w:r>
            <w:r>
              <w:tab/>
            </w:r>
            <w:r>
              <w:tab/>
            </w:r>
            <w:r>
              <w:tab/>
            </w:r>
          </w:p>
          <w:p>
            <w:pPr>
              <w:pStyle w:val="14"/>
            </w:pPr>
            <w:r>
              <w:t>2紧紧围绕县政府中心工作，积极协调县领导谋大事，解难事，不断提高参政水平，努力为领导提供优质服务</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中心工作调研数量</w:t>
            </w:r>
          </w:p>
        </w:tc>
        <w:tc>
          <w:tcPr>
            <w:tcW w:w="2466" w:type="dxa"/>
            <w:vAlign w:val="center"/>
          </w:tcPr>
          <w:p>
            <w:pPr>
              <w:pStyle w:val="14"/>
            </w:pPr>
            <w:r>
              <w:t>中心工作调研数量</w:t>
            </w:r>
          </w:p>
        </w:tc>
        <w:tc>
          <w:tcPr>
            <w:tcW w:w="2466" w:type="dxa"/>
            <w:vAlign w:val="center"/>
          </w:tcPr>
          <w:p>
            <w:pPr>
              <w:pStyle w:val="14"/>
            </w:pPr>
            <w:r>
              <w:t>≥5个</w:t>
            </w:r>
          </w:p>
        </w:tc>
        <w:tc>
          <w:tcPr>
            <w:tcW w:w="2466" w:type="dxa"/>
            <w:vAlign w:val="center"/>
          </w:tcPr>
          <w:p>
            <w:pPr>
              <w:pStyle w:val="14"/>
            </w:pPr>
            <w:r>
              <w:t>调研数量统计</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保障公务用车运转数量</w:t>
            </w:r>
          </w:p>
        </w:tc>
        <w:tc>
          <w:tcPr>
            <w:tcW w:w="2466" w:type="dxa"/>
            <w:vAlign w:val="center"/>
          </w:tcPr>
          <w:p>
            <w:pPr>
              <w:pStyle w:val="14"/>
            </w:pPr>
            <w:r>
              <w:t>保障公务用车运转数量</w:t>
            </w:r>
          </w:p>
        </w:tc>
        <w:tc>
          <w:tcPr>
            <w:tcW w:w="2466" w:type="dxa"/>
            <w:vAlign w:val="center"/>
          </w:tcPr>
          <w:p>
            <w:pPr>
              <w:pStyle w:val="14"/>
            </w:pPr>
            <w:r>
              <w:t>7辆</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购置办公设备数量</w:t>
            </w:r>
          </w:p>
        </w:tc>
        <w:tc>
          <w:tcPr>
            <w:tcW w:w="2466" w:type="dxa"/>
            <w:vAlign w:val="center"/>
          </w:tcPr>
          <w:p>
            <w:pPr>
              <w:pStyle w:val="14"/>
            </w:pPr>
            <w:r>
              <w:t>购置办公设备数量</w:t>
            </w:r>
          </w:p>
        </w:tc>
        <w:tc>
          <w:tcPr>
            <w:tcW w:w="2466" w:type="dxa"/>
            <w:vAlign w:val="center"/>
          </w:tcPr>
          <w:p>
            <w:pPr>
              <w:pStyle w:val="14"/>
            </w:pPr>
            <w:r>
              <w:t>10套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综合业务、事务管理工作完成率</w:t>
            </w:r>
          </w:p>
        </w:tc>
        <w:tc>
          <w:tcPr>
            <w:tcW w:w="2466" w:type="dxa"/>
            <w:vAlign w:val="center"/>
          </w:tcPr>
          <w:p>
            <w:pPr>
              <w:pStyle w:val="14"/>
            </w:pPr>
            <w:r>
              <w:t>综合业务、事务工作任务完成情况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公车运转保障情况</w:t>
            </w:r>
          </w:p>
        </w:tc>
        <w:tc>
          <w:tcPr>
            <w:tcW w:w="2466" w:type="dxa"/>
            <w:vAlign w:val="center"/>
          </w:tcPr>
          <w:p>
            <w:pPr>
              <w:pStyle w:val="14"/>
            </w:pPr>
            <w:r>
              <w:t>保障公车正常运转次数占总派车次数的比率</w:t>
            </w:r>
          </w:p>
        </w:tc>
        <w:tc>
          <w:tcPr>
            <w:tcW w:w="2466" w:type="dxa"/>
            <w:vAlign w:val="center"/>
          </w:tcPr>
          <w:p>
            <w:pPr>
              <w:pStyle w:val="14"/>
            </w:pPr>
            <w:r>
              <w:t>≥95%</w:t>
            </w:r>
          </w:p>
        </w:tc>
        <w:tc>
          <w:tcPr>
            <w:tcW w:w="2466" w:type="dxa"/>
            <w:vAlign w:val="center"/>
          </w:tcPr>
          <w:p>
            <w:pPr>
              <w:pStyle w:val="14"/>
            </w:pPr>
            <w:r>
              <w:t>派车记录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采购办公设备合格率</w:t>
            </w:r>
          </w:p>
        </w:tc>
        <w:tc>
          <w:tcPr>
            <w:tcW w:w="2466" w:type="dxa"/>
            <w:vAlign w:val="center"/>
          </w:tcPr>
          <w:p>
            <w:pPr>
              <w:pStyle w:val="14"/>
            </w:pPr>
            <w:r>
              <w:t>所采购办公设备合格数占总采购数百分比</w:t>
            </w:r>
          </w:p>
        </w:tc>
        <w:tc>
          <w:tcPr>
            <w:tcW w:w="2466" w:type="dxa"/>
            <w:vAlign w:val="center"/>
          </w:tcPr>
          <w:p>
            <w:pPr>
              <w:pStyle w:val="14"/>
            </w:pPr>
            <w:r>
              <w:t>100%</w:t>
            </w:r>
          </w:p>
        </w:tc>
        <w:tc>
          <w:tcPr>
            <w:tcW w:w="2466" w:type="dxa"/>
            <w:vAlign w:val="center"/>
          </w:tcPr>
          <w:p>
            <w:pPr>
              <w:pStyle w:val="14"/>
            </w:pPr>
            <w:r>
              <w:t>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印刷品合格率 </w:t>
            </w:r>
          </w:p>
        </w:tc>
        <w:tc>
          <w:tcPr>
            <w:tcW w:w="2466" w:type="dxa"/>
            <w:vAlign w:val="center"/>
          </w:tcPr>
          <w:p>
            <w:pPr>
              <w:pStyle w:val="14"/>
            </w:pPr>
            <w:r>
              <w:t xml:space="preserve"> 印刷品合格数占总数的百分比</w:t>
            </w:r>
          </w:p>
        </w:tc>
        <w:tc>
          <w:tcPr>
            <w:tcW w:w="2466" w:type="dxa"/>
            <w:vAlign w:val="center"/>
          </w:tcPr>
          <w:p>
            <w:pPr>
              <w:pStyle w:val="14"/>
            </w:pPr>
            <w:r>
              <w:t>100%</w:t>
            </w:r>
          </w:p>
        </w:tc>
        <w:tc>
          <w:tcPr>
            <w:tcW w:w="2466" w:type="dxa"/>
            <w:vAlign w:val="center"/>
          </w:tcPr>
          <w:p>
            <w:pPr>
              <w:pStyle w:val="1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各项工作保障及时率</w:t>
            </w:r>
          </w:p>
        </w:tc>
        <w:tc>
          <w:tcPr>
            <w:tcW w:w="2466" w:type="dxa"/>
            <w:vAlign w:val="center"/>
          </w:tcPr>
          <w:p>
            <w:pPr>
              <w:pStyle w:val="14"/>
            </w:pPr>
            <w:r>
              <w:t>能够及时保障各项工作所需办公用品、印刷品印制及办公设备日常维修（护）、按培训方案组织培训情况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综合业务事务保障成本</w:t>
            </w:r>
          </w:p>
        </w:tc>
        <w:tc>
          <w:tcPr>
            <w:tcW w:w="2466" w:type="dxa"/>
            <w:vAlign w:val="center"/>
          </w:tcPr>
          <w:p>
            <w:pPr>
              <w:pStyle w:val="14"/>
            </w:pPr>
            <w:r>
              <w:t>保障办公室办公设备、用品采购、维护，公车运行维护、印刷品印制，业务培训、差旅等费用</w:t>
            </w:r>
          </w:p>
        </w:tc>
        <w:tc>
          <w:tcPr>
            <w:tcW w:w="2466" w:type="dxa"/>
            <w:vAlign w:val="center"/>
          </w:tcPr>
          <w:p>
            <w:pPr>
              <w:pStyle w:val="14"/>
            </w:pPr>
            <w:r>
              <w:t>≤274万元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各项工作任务保障到位率</w:t>
            </w:r>
          </w:p>
        </w:tc>
        <w:tc>
          <w:tcPr>
            <w:tcW w:w="2466" w:type="dxa"/>
            <w:vAlign w:val="center"/>
          </w:tcPr>
          <w:p>
            <w:pPr>
              <w:pStyle w:val="14"/>
            </w:pPr>
            <w:r>
              <w:t>通过及时保障政府办公室各项工作的正常运转，圆满完成各项任务，维护政府良好形象。</w:t>
            </w:r>
          </w:p>
        </w:tc>
        <w:tc>
          <w:tcPr>
            <w:tcW w:w="2466" w:type="dxa"/>
            <w:vAlign w:val="center"/>
          </w:tcPr>
          <w:p>
            <w:pPr>
              <w:pStyle w:val="14"/>
            </w:pPr>
            <w:r>
              <w:t>≥95%</w:t>
            </w:r>
          </w:p>
        </w:tc>
        <w:tc>
          <w:tcPr>
            <w:tcW w:w="2466" w:type="dxa"/>
            <w:vAlign w:val="center"/>
          </w:tcPr>
          <w:p>
            <w:pPr>
              <w:pStyle w:val="14"/>
            </w:pPr>
            <w:r>
              <w:t>通过及时保障政府办公室各项工作的正常运转，圆满完成各项任务，维护政府良好形象。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持续提升综合业务保障能力</w:t>
            </w:r>
          </w:p>
        </w:tc>
        <w:tc>
          <w:tcPr>
            <w:tcW w:w="2466" w:type="dxa"/>
            <w:vAlign w:val="center"/>
          </w:tcPr>
          <w:p>
            <w:pPr>
              <w:pStyle w:val="14"/>
            </w:pPr>
            <w:r>
              <w:t>持续提升综合业务保障能力</w:t>
            </w:r>
          </w:p>
        </w:tc>
        <w:tc>
          <w:tcPr>
            <w:tcW w:w="2466" w:type="dxa"/>
            <w:vAlign w:val="center"/>
          </w:tcPr>
          <w:p>
            <w:pPr>
              <w:pStyle w:val="14"/>
            </w:pPr>
            <w:r>
              <w:t>明显提升</w:t>
            </w:r>
          </w:p>
        </w:tc>
        <w:tc>
          <w:tcPr>
            <w:tcW w:w="2466" w:type="dxa"/>
            <w:vAlign w:val="center"/>
          </w:tcPr>
          <w:p>
            <w:pPr>
              <w:pStyle w:val="14"/>
            </w:pPr>
            <w:r>
              <w:t>持续提升综合业务保障能力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提高政府的办事效率</w:t>
            </w:r>
          </w:p>
        </w:tc>
        <w:tc>
          <w:tcPr>
            <w:tcW w:w="2466" w:type="dxa"/>
            <w:vAlign w:val="center"/>
          </w:tcPr>
          <w:p>
            <w:pPr>
              <w:pStyle w:val="14"/>
            </w:pPr>
            <w:r>
              <w:t>提高政府的办事效率</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服务保障满意度</w:t>
            </w:r>
          </w:p>
        </w:tc>
        <w:tc>
          <w:tcPr>
            <w:tcW w:w="2466" w:type="dxa"/>
            <w:vAlign w:val="center"/>
          </w:tcPr>
          <w:p>
            <w:pPr>
              <w:pStyle w:val="14"/>
            </w:pPr>
            <w:r>
              <w:t>被保障科室对保障工作的满意度</w:t>
            </w:r>
          </w:p>
        </w:tc>
        <w:tc>
          <w:tcPr>
            <w:tcW w:w="2466" w:type="dxa"/>
            <w:vAlign w:val="center"/>
          </w:tcPr>
          <w:p>
            <w:pPr>
              <w:pStyle w:val="14"/>
            </w:pPr>
            <w:r>
              <w:t>≥90%</w:t>
            </w:r>
          </w:p>
        </w:tc>
        <w:tc>
          <w:tcPr>
            <w:tcW w:w="2466" w:type="dxa"/>
            <w:vAlign w:val="center"/>
          </w:tcPr>
          <w:p>
            <w:pPr>
              <w:pStyle w:val="14"/>
            </w:pPr>
            <w:r>
              <w:t>被保障科室对保障工作的满意度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印刷品宣传效果满意度</w:t>
            </w:r>
          </w:p>
        </w:tc>
        <w:tc>
          <w:tcPr>
            <w:tcW w:w="2466" w:type="dxa"/>
            <w:vAlign w:val="center"/>
          </w:tcPr>
          <w:p>
            <w:pPr>
              <w:pStyle w:val="14"/>
            </w:pPr>
            <w:r>
              <w:t>印刷品宣传效果满意度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8、大数据发展中心经费绩效目标表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numPr>
                <w:ilvl w:val="0"/>
                <w:numId w:val="1"/>
              </w:numPr>
            </w:pPr>
            <w:r>
              <w:t>组织实施国家和地方数据技术标准</w:t>
            </w:r>
            <w:r>
              <w:tab/>
            </w:r>
            <w:r>
              <w:tab/>
            </w:r>
            <w:r>
              <w:tab/>
            </w:r>
            <w:r>
              <w:tab/>
            </w:r>
          </w:p>
          <w:p>
            <w:pPr>
              <w:pStyle w:val="14"/>
              <w:numPr>
                <w:ilvl w:val="0"/>
                <w:numId w:val="0"/>
              </w:numPr>
            </w:pPr>
            <w:r>
              <w:t>2.大数据安全体系建设</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办公设备数量</w:t>
            </w:r>
          </w:p>
        </w:tc>
        <w:tc>
          <w:tcPr>
            <w:tcW w:w="2466" w:type="dxa"/>
            <w:vAlign w:val="center"/>
          </w:tcPr>
          <w:p>
            <w:pPr>
              <w:pStyle w:val="14"/>
            </w:pPr>
            <w:r>
              <w:t>办公设备数量</w:t>
            </w:r>
          </w:p>
        </w:tc>
        <w:tc>
          <w:tcPr>
            <w:tcW w:w="2466" w:type="dxa"/>
            <w:vAlign w:val="center"/>
          </w:tcPr>
          <w:p>
            <w:pPr>
              <w:pStyle w:val="14"/>
            </w:pPr>
            <w:r>
              <w:t>≥4件</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综合管理工作完成率</w:t>
            </w:r>
          </w:p>
        </w:tc>
        <w:tc>
          <w:tcPr>
            <w:tcW w:w="2466" w:type="dxa"/>
            <w:vAlign w:val="center"/>
          </w:tcPr>
          <w:p>
            <w:pPr>
              <w:pStyle w:val="14"/>
            </w:pPr>
            <w:r>
              <w:t>综合管理工作完成率</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各项工作及时完成率</w:t>
            </w:r>
          </w:p>
        </w:tc>
        <w:tc>
          <w:tcPr>
            <w:tcW w:w="2466" w:type="dxa"/>
            <w:vAlign w:val="center"/>
          </w:tcPr>
          <w:p>
            <w:pPr>
              <w:pStyle w:val="14"/>
            </w:pPr>
            <w:r>
              <w:t>各项工作任务能够在规定时间或计划时间之前及时完成的比例</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办公费、业务费等</w:t>
            </w:r>
          </w:p>
        </w:tc>
        <w:tc>
          <w:tcPr>
            <w:tcW w:w="2466" w:type="dxa"/>
            <w:vAlign w:val="center"/>
          </w:tcPr>
          <w:p>
            <w:pPr>
              <w:pStyle w:val="14"/>
            </w:pPr>
            <w:r>
              <w:t>办公费、业务费等</w:t>
            </w:r>
          </w:p>
        </w:tc>
        <w:tc>
          <w:tcPr>
            <w:tcW w:w="2466" w:type="dxa"/>
            <w:vAlign w:val="center"/>
          </w:tcPr>
          <w:p>
            <w:pPr>
              <w:pStyle w:val="14"/>
            </w:pPr>
            <w:r>
              <w:t>≤48万元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提高大数据安全保障</w:t>
            </w:r>
          </w:p>
        </w:tc>
        <w:tc>
          <w:tcPr>
            <w:tcW w:w="2466" w:type="dxa"/>
            <w:vAlign w:val="center"/>
          </w:tcPr>
          <w:p>
            <w:pPr>
              <w:pStyle w:val="14"/>
            </w:pPr>
            <w:r>
              <w:t>提高大数据安全保障</w:t>
            </w:r>
          </w:p>
        </w:tc>
        <w:tc>
          <w:tcPr>
            <w:tcW w:w="2466" w:type="dxa"/>
            <w:vAlign w:val="center"/>
          </w:tcPr>
          <w:p>
            <w:pPr>
              <w:pStyle w:val="14"/>
            </w:pPr>
            <w:r>
              <w:t>明显提高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推动数字经济与实体经济融合</w:t>
            </w:r>
          </w:p>
        </w:tc>
        <w:tc>
          <w:tcPr>
            <w:tcW w:w="2466" w:type="dxa"/>
            <w:vAlign w:val="center"/>
          </w:tcPr>
          <w:p>
            <w:pPr>
              <w:pStyle w:val="14"/>
            </w:pPr>
            <w:r>
              <w:t>推动数字经济与实体经济融合</w:t>
            </w:r>
          </w:p>
        </w:tc>
        <w:tc>
          <w:tcPr>
            <w:tcW w:w="2466" w:type="dxa"/>
            <w:vAlign w:val="center"/>
          </w:tcPr>
          <w:p>
            <w:pPr>
              <w:pStyle w:val="14"/>
            </w:pPr>
            <w:r>
              <w:t>明显提高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促进全县数据资源管理</w:t>
            </w:r>
          </w:p>
        </w:tc>
        <w:tc>
          <w:tcPr>
            <w:tcW w:w="2466" w:type="dxa"/>
            <w:vAlign w:val="center"/>
          </w:tcPr>
          <w:p>
            <w:pPr>
              <w:pStyle w:val="14"/>
            </w:pPr>
            <w:r>
              <w:t>促进全县数据资源管理</w:t>
            </w:r>
          </w:p>
        </w:tc>
        <w:tc>
          <w:tcPr>
            <w:tcW w:w="2466" w:type="dxa"/>
            <w:vAlign w:val="center"/>
          </w:tcPr>
          <w:p>
            <w:pPr>
              <w:pStyle w:val="14"/>
            </w:pPr>
            <w:r>
              <w:t>明显提高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使用人员满意度</w:t>
            </w:r>
          </w:p>
        </w:tc>
        <w:tc>
          <w:tcPr>
            <w:tcW w:w="2466" w:type="dxa"/>
            <w:vAlign w:val="center"/>
          </w:tcPr>
          <w:p>
            <w:pPr>
              <w:pStyle w:val="14"/>
            </w:pPr>
            <w:r>
              <w:t>≥80%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9、协同联动办公平台绩效目标表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numPr>
                <w:ilvl w:val="0"/>
                <w:numId w:val="2"/>
              </w:numPr>
            </w:pPr>
            <w:r>
              <w:t>实现行政办公的信息化、无纸化、自动化和标准化，打造“互联网+政务”。</w:t>
            </w:r>
          </w:p>
          <w:p>
            <w:pPr>
              <w:pStyle w:val="14"/>
              <w:numPr>
                <w:ilvl w:val="0"/>
                <w:numId w:val="0"/>
              </w:numPr>
            </w:pPr>
            <w:r>
              <w:t>2</w:t>
            </w:r>
            <w:r>
              <w:rPr>
                <w:rFonts w:hint="eastAsia"/>
                <w:lang w:eastAsia="zh-CN"/>
              </w:rPr>
              <w:t>.</w:t>
            </w:r>
            <w:r>
              <w:t>.进一步提高行政效能和管理服务水平，强化个部门之间的协调配合和有机衔接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手动签批设备数量</w:t>
            </w:r>
          </w:p>
        </w:tc>
        <w:tc>
          <w:tcPr>
            <w:tcW w:w="2466" w:type="dxa"/>
            <w:vAlign w:val="center"/>
          </w:tcPr>
          <w:p>
            <w:pPr>
              <w:pStyle w:val="14"/>
            </w:pPr>
            <w:r>
              <w:t>手动签批设备数量</w:t>
            </w:r>
          </w:p>
        </w:tc>
        <w:tc>
          <w:tcPr>
            <w:tcW w:w="2466" w:type="dxa"/>
            <w:vAlign w:val="center"/>
          </w:tcPr>
          <w:p>
            <w:pPr>
              <w:pStyle w:val="14"/>
            </w:pPr>
            <w:r>
              <w:t>≥10台</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办公自动化覆盖率</w:t>
            </w:r>
          </w:p>
        </w:tc>
        <w:tc>
          <w:tcPr>
            <w:tcW w:w="2466" w:type="dxa"/>
            <w:vAlign w:val="center"/>
          </w:tcPr>
          <w:p>
            <w:pPr>
              <w:pStyle w:val="14"/>
            </w:pPr>
            <w:r>
              <w:t>办公自动化覆盖范围占应覆盖范围的比率</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手动签批设备质量是否合格</w:t>
            </w:r>
          </w:p>
        </w:tc>
        <w:tc>
          <w:tcPr>
            <w:tcW w:w="2466" w:type="dxa"/>
            <w:vAlign w:val="center"/>
          </w:tcPr>
          <w:p>
            <w:pPr>
              <w:pStyle w:val="14"/>
            </w:pPr>
            <w:r>
              <w:t>手动签批设备质量是否合格</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公文办理及时完成率</w:t>
            </w:r>
          </w:p>
        </w:tc>
        <w:tc>
          <w:tcPr>
            <w:tcW w:w="2466" w:type="dxa"/>
            <w:vAlign w:val="center"/>
          </w:tcPr>
          <w:p>
            <w:pPr>
              <w:pStyle w:val="14"/>
            </w:pPr>
            <w:r>
              <w:t>公文办理及时完成率</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协同联动办公设备购置费及平台服务成本</w:t>
            </w:r>
          </w:p>
        </w:tc>
        <w:tc>
          <w:tcPr>
            <w:tcW w:w="2466" w:type="dxa"/>
            <w:vAlign w:val="center"/>
          </w:tcPr>
          <w:p>
            <w:pPr>
              <w:pStyle w:val="14"/>
            </w:pPr>
            <w:r>
              <w:t>协同联动办公设备购置费和平台服务费</w:t>
            </w:r>
          </w:p>
        </w:tc>
        <w:tc>
          <w:tcPr>
            <w:tcW w:w="2466" w:type="dxa"/>
            <w:vAlign w:val="center"/>
          </w:tcPr>
          <w:p>
            <w:pPr>
              <w:pStyle w:val="14"/>
            </w:pPr>
            <w:r>
              <w:t>≤21.5万元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提高公文办理效率</w:t>
            </w:r>
          </w:p>
        </w:tc>
        <w:tc>
          <w:tcPr>
            <w:tcW w:w="2466" w:type="dxa"/>
            <w:vAlign w:val="center"/>
          </w:tcPr>
          <w:p>
            <w:pPr>
              <w:pStyle w:val="14"/>
            </w:pPr>
            <w:r>
              <w:t>提高公文办理效率</w:t>
            </w:r>
          </w:p>
        </w:tc>
        <w:tc>
          <w:tcPr>
            <w:tcW w:w="2466" w:type="dxa"/>
            <w:vAlign w:val="center"/>
          </w:tcPr>
          <w:p>
            <w:pPr>
              <w:pStyle w:val="14"/>
            </w:pPr>
            <w:r>
              <w:t>较大提高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办公自动化覆盖率</w:t>
            </w:r>
          </w:p>
        </w:tc>
        <w:tc>
          <w:tcPr>
            <w:tcW w:w="2466" w:type="dxa"/>
            <w:vAlign w:val="center"/>
          </w:tcPr>
          <w:p>
            <w:pPr>
              <w:pStyle w:val="14"/>
            </w:pPr>
            <w:r>
              <w:t>办公自动化覆盖范围占应覆盖范围的比率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持续提升政务服务水平</w:t>
            </w:r>
          </w:p>
        </w:tc>
        <w:tc>
          <w:tcPr>
            <w:tcW w:w="2466" w:type="dxa"/>
            <w:vAlign w:val="center"/>
          </w:tcPr>
          <w:p>
            <w:pPr>
              <w:pStyle w:val="14"/>
            </w:pPr>
            <w:r>
              <w:t>持续提升政务服务水平</w:t>
            </w:r>
          </w:p>
        </w:tc>
        <w:tc>
          <w:tcPr>
            <w:tcW w:w="2466" w:type="dxa"/>
            <w:vAlign w:val="center"/>
          </w:tcPr>
          <w:p>
            <w:pPr>
              <w:pStyle w:val="14"/>
            </w:pPr>
            <w:r>
              <w:t>明显提高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使用终端满意率</w:t>
            </w:r>
          </w:p>
        </w:tc>
        <w:tc>
          <w:tcPr>
            <w:tcW w:w="2466" w:type="dxa"/>
            <w:vAlign w:val="center"/>
          </w:tcPr>
          <w:p>
            <w:pPr>
              <w:pStyle w:val="14"/>
            </w:pPr>
            <w:r>
              <w:t>使用终端中满意的数量占使用终端总数的比率</w:t>
            </w:r>
          </w:p>
        </w:tc>
        <w:tc>
          <w:tcPr>
            <w:tcW w:w="2466" w:type="dxa"/>
            <w:vAlign w:val="center"/>
          </w:tcPr>
          <w:p>
            <w:pPr>
              <w:pStyle w:val="14"/>
            </w:pPr>
            <w:r>
              <w:t>≥80%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2023年，平乡县人民政府办公室安排政府采购预算0.00万元。具体内容见下表。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434平乡县人民政府办公室</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平乡县人民政府办公室（含所属单位）上年末固定资产金额为708.22万元（详见下表）。本年度拟购置固定资产总额为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434平乡县人民政府办公室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708.22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7</w:t>
            </w:r>
          </w:p>
        </w:tc>
        <w:tc>
          <w:tcPr>
            <w:tcW w:w="4933" w:type="dxa"/>
            <w:vAlign w:val="center"/>
          </w:tcPr>
          <w:p>
            <w:pPr>
              <w:pStyle w:val="13"/>
            </w:pPr>
            <w:r>
              <w:t>118.20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2</w:t>
            </w:r>
          </w:p>
        </w:tc>
        <w:tc>
          <w:tcPr>
            <w:tcW w:w="4933" w:type="dxa"/>
            <w:vAlign w:val="center"/>
          </w:tcPr>
          <w:p>
            <w:pPr>
              <w:pStyle w:val="13"/>
            </w:pPr>
            <w:r>
              <w:t>122.88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467.14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C60CC"/>
    <w:multiLevelType w:val="singleLevel"/>
    <w:tmpl w:val="096C60CC"/>
    <w:lvl w:ilvl="0" w:tentative="0">
      <w:start w:val="1"/>
      <w:numFmt w:val="decimal"/>
      <w:lvlText w:val="%1."/>
      <w:lvlJc w:val="left"/>
      <w:pPr>
        <w:tabs>
          <w:tab w:val="left" w:pos="312"/>
        </w:tabs>
      </w:pPr>
    </w:lvl>
  </w:abstractNum>
  <w:abstractNum w:abstractNumId="1">
    <w:nsid w:val="38F4CFD1"/>
    <w:multiLevelType w:val="singleLevel"/>
    <w:tmpl w:val="38F4CFD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ZGU5MmM3MTMxOGYzYWY5ZTU0ODU3YWE0ZjM4ZWYifQ=="/>
  </w:docVars>
  <w:rsids>
    <w:rsidRoot w:val="00000000"/>
    <w:rsid w:val="05AC2429"/>
    <w:rsid w:val="06591C6A"/>
    <w:rsid w:val="0ED30382"/>
    <w:rsid w:val="0FE3270F"/>
    <w:rsid w:val="14045069"/>
    <w:rsid w:val="1598473F"/>
    <w:rsid w:val="193C29C9"/>
    <w:rsid w:val="1AA8432A"/>
    <w:rsid w:val="1D82517F"/>
    <w:rsid w:val="24F34606"/>
    <w:rsid w:val="2899304A"/>
    <w:rsid w:val="2A0A5316"/>
    <w:rsid w:val="3B7452CF"/>
    <w:rsid w:val="3FDD0FEA"/>
    <w:rsid w:val="4D1662F6"/>
    <w:rsid w:val="4D461C73"/>
    <w:rsid w:val="556B3934"/>
    <w:rsid w:val="59A025CA"/>
    <w:rsid w:val="5D13345B"/>
    <w:rsid w:val="60347747"/>
    <w:rsid w:val="61AD3BC1"/>
    <w:rsid w:val="623B1277"/>
    <w:rsid w:val="6DCA05A0"/>
    <w:rsid w:val="6ED801B6"/>
    <w:rsid w:val="6FB865A9"/>
    <w:rsid w:val="7476465D"/>
    <w:rsid w:val="7665364D"/>
    <w:rsid w:val="78A5543C"/>
    <w:rsid w:val="79BF51FF"/>
    <w:rsid w:val="7E9737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customXml/item35.xml" Type="http://schemas.openxmlformats.org/officeDocument/2006/relationships/customXml"/><Relationship Id="rId42" Target="../customXml/item36.xml" Type="http://schemas.openxmlformats.org/officeDocument/2006/relationships/customXml"/><Relationship Id="rId43" Target="../customXml/item37.xml" Type="http://schemas.openxmlformats.org/officeDocument/2006/relationships/customXml"/><Relationship Id="rId44" Target="../customXml/item38.xml" Type="http://schemas.openxmlformats.org/officeDocument/2006/relationships/customXml"/><Relationship Id="rId45" Target="../customXml/item39.xml" Type="http://schemas.openxmlformats.org/officeDocument/2006/relationships/customXml"/><Relationship Id="rId46" Target="../customXml/item40.xml" Type="http://schemas.openxmlformats.org/officeDocument/2006/relationships/customXml"/><Relationship Id="rId47" Target="../customXml/item41.xml" Type="http://schemas.openxmlformats.org/officeDocument/2006/relationships/customXml"/><Relationship Id="rId48" Target="../customXml/item42.xml" Type="http://schemas.openxmlformats.org/officeDocument/2006/relationships/customXml"/><Relationship Id="rId49" Target="../customXml/item43.xml" Type="http://schemas.openxmlformats.org/officeDocument/2006/relationships/customXml"/><Relationship Id="rId5" Target="theme/theme1.xml" Type="http://schemas.openxmlformats.org/officeDocument/2006/relationships/theme"/><Relationship Id="rId50" Target="../customXml/item44.xml" Type="http://schemas.openxmlformats.org/officeDocument/2006/relationships/customXml"/><Relationship Id="rId51" Target="../customXml/item45.xml" Type="http://schemas.openxmlformats.org/officeDocument/2006/relationships/customXml"/><Relationship Id="rId52" Target="../customXml/item46.xml" Type="http://schemas.openxmlformats.org/officeDocument/2006/relationships/customXml"/><Relationship Id="rId53" Target="../customXml/item47.xml" Type="http://schemas.openxmlformats.org/officeDocument/2006/relationships/customXml"/><Relationship Id="rId54" Target="../customXml/item48.xml" Type="http://schemas.openxmlformats.org/officeDocument/2006/relationships/customXml"/><Relationship Id="rId55" Target="../customXml/item49.xml" Type="http://schemas.openxmlformats.org/officeDocument/2006/relationships/customXml"/><Relationship Id="rId56" Target="../customXml/item50.xml" Type="http://schemas.openxmlformats.org/officeDocument/2006/relationships/customXml"/><Relationship Id="rId57" Target="fontTable.xml" Type="http://schemas.openxmlformats.org/officeDocument/2006/relationships/fontTable"/><Relationship Id="rId6" Target="numbering.xml" Type="http://schemas.openxmlformats.org/officeDocument/2006/relationships/numbering"/><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2023-04-07T15:21:30Z</dcterms:created>
  <dcterms:modified xsi:type="dcterms:W3CDTF">2023-04-07T07:21:30Z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2023-04-07T15:21:31Z</dcterms:created>
  <dcterms:modified xsi:type="dcterms:W3CDTF">2023-04-07T07:21:31Z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2023-04-07T15:21:31Z</dcterms:created>
  <dcterms:modified xsi:type="dcterms:W3CDTF">2023-04-07T07:21:31Z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2023-04-07T15:21:31Z</dcterms:created>
  <dcterms:modified xsi:type="dcterms:W3CDTF">2023-04-07T07:21:31Z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2023-04-07T15:21:25Z</dcterms:created>
  <dcterms:modified xsi:type="dcterms:W3CDTF">2023-04-07T07:21:25Z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2023-04-07T15:21:32Z</dcterms:created>
  <dcterms:modified xsi:type="dcterms:W3CDTF">2023-04-07T07:21:32Z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2023-04-07T15:21:35Z</dcterms:created>
  <dcterms:modified xsi:type="dcterms:W3CDTF">2023-04-07T07:21:35Z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2023-04-07T15:21:35Z</dcterms:created>
  <dcterms:modified xsi:type="dcterms:W3CDTF">2023-04-07T07:21:35Z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2023-04-07T15:21:35Z</dcterms:created>
  <dcterms:modified xsi:type="dcterms:W3CDTF">2023-04-07T07:21:35Z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2023-04-07T15:21:36Z</dcterms:created>
  <dcterms:modified xsi:type="dcterms:W3CDTF">2023-04-07T07:21:36Z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2023-04-07T15:21:26Z</dcterms:created>
  <dcterms:modified xsi:type="dcterms:W3CDTF">2023-04-07T07:21:26Z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2023-04-07T15:21:27Z</dcterms:created>
  <dcterms:modified xsi:type="dcterms:W3CDTF">2023-04-07T07:21:27Z</dcterms:modified>
</cp:coreProperties>
</file>

<file path=customXml/itemProps1.xml><?xml version="1.0" encoding="utf-8"?>
<ds:datastoreItem xmlns:ds="http://schemas.openxmlformats.org/officeDocument/2006/customXml" ds:itemID="{6ea45c21-614e-4c4d-b11c-3fbdc64d9bc0}">
  <ds:schemaRefs/>
</ds:datastoreItem>
</file>

<file path=customXml/itemProps10.xml><?xml version="1.0" encoding="utf-8"?>
<ds:datastoreItem xmlns:ds="http://schemas.openxmlformats.org/officeDocument/2006/customXml" ds:itemID="{5d7a371a-c5f5-4982-b6a5-834e726cef1a}">
  <ds:schemaRefs/>
</ds:datastoreItem>
</file>

<file path=customXml/itemProps11.xml><?xml version="1.0" encoding="utf-8"?>
<ds:datastoreItem xmlns:ds="http://schemas.openxmlformats.org/officeDocument/2006/customXml" ds:itemID="{709c5676-25c0-45ea-96ab-63e159075457}">
  <ds:schemaRefs/>
</ds:datastoreItem>
</file>

<file path=customXml/itemProps12.xml><?xml version="1.0" encoding="utf-8"?>
<ds:datastoreItem xmlns:ds="http://schemas.openxmlformats.org/officeDocument/2006/customXml" ds:itemID="{fa962c1c-5c60-4ae0-9f8c-67f6faa9c383}">
  <ds:schemaRefs/>
</ds:datastoreItem>
</file>

<file path=customXml/itemProps13.xml><?xml version="1.0" encoding="utf-8"?>
<ds:datastoreItem xmlns:ds="http://schemas.openxmlformats.org/officeDocument/2006/customXml" ds:itemID="{19d22273-d77d-47bf-81f6-e784593c9ef0}">
  <ds:schemaRefs/>
</ds:datastoreItem>
</file>

<file path=customXml/itemProps14.xml><?xml version="1.0" encoding="utf-8"?>
<ds:datastoreItem xmlns:ds="http://schemas.openxmlformats.org/officeDocument/2006/customXml" ds:itemID="{1d619b90-841e-4f3d-bbc7-59edf9bf06bf}">
  <ds:schemaRefs/>
</ds:datastoreItem>
</file>

<file path=customXml/itemProps15.xml><?xml version="1.0" encoding="utf-8"?>
<ds:datastoreItem xmlns:ds="http://schemas.openxmlformats.org/officeDocument/2006/customXml" ds:itemID="{3e7df139-5304-4fdd-a20f-078147e96b95}">
  <ds:schemaRefs/>
</ds:datastoreItem>
</file>

<file path=customXml/itemProps16.xml><?xml version="1.0" encoding="utf-8"?>
<ds:datastoreItem xmlns:ds="http://schemas.openxmlformats.org/officeDocument/2006/customXml" ds:itemID="{cb3da4a2-2fea-43df-9868-3a5de20c4a42}">
  <ds:schemaRefs/>
</ds:datastoreItem>
</file>

<file path=customXml/itemProps17.xml><?xml version="1.0" encoding="utf-8"?>
<ds:datastoreItem xmlns:ds="http://schemas.openxmlformats.org/officeDocument/2006/customXml" ds:itemID="{3abcc9f4-0901-4dc2-ac35-8dc42e0fb050}">
  <ds:schemaRefs/>
</ds:datastoreItem>
</file>

<file path=customXml/itemProps18.xml><?xml version="1.0" encoding="utf-8"?>
<ds:datastoreItem xmlns:ds="http://schemas.openxmlformats.org/officeDocument/2006/customXml" ds:itemID="{8b20c325-53b4-4043-9284-362bd3d1fc96}">
  <ds:schemaRefs/>
</ds:datastoreItem>
</file>

<file path=customXml/itemProps19.xml><?xml version="1.0" encoding="utf-8"?>
<ds:datastoreItem xmlns:ds="http://schemas.openxmlformats.org/officeDocument/2006/customXml" ds:itemID="{d8ec29ec-e2cc-4ad7-b250-f925010ccadc}">
  <ds:schemaRefs/>
</ds:datastoreItem>
</file>

<file path=customXml/itemProps2.xml><?xml version="1.0" encoding="utf-8"?>
<ds:datastoreItem xmlns:ds="http://schemas.openxmlformats.org/officeDocument/2006/customXml" ds:itemID="{33448864-a97d-440d-8ee5-e18bc7cb9099}">
  <ds:schemaRefs/>
</ds:datastoreItem>
</file>

<file path=customXml/itemProps20.xml><?xml version="1.0" encoding="utf-8"?>
<ds:datastoreItem xmlns:ds="http://schemas.openxmlformats.org/officeDocument/2006/customXml" ds:itemID="{ed40db68-abbd-4e69-925e-be2805fc9e78}">
  <ds:schemaRefs/>
</ds:datastoreItem>
</file>

<file path=customXml/itemProps21.xml><?xml version="1.0" encoding="utf-8"?>
<ds:datastoreItem xmlns:ds="http://schemas.openxmlformats.org/officeDocument/2006/customXml" ds:itemID="{333e6d7b-551f-4146-91ea-66de44abc63c}">
  <ds:schemaRefs/>
</ds:datastoreItem>
</file>

<file path=customXml/itemProps22.xml><?xml version="1.0" encoding="utf-8"?>
<ds:datastoreItem xmlns:ds="http://schemas.openxmlformats.org/officeDocument/2006/customXml" ds:itemID="{91111162-76c6-4fd8-8983-dd4bae4b4be5}">
  <ds:schemaRefs/>
</ds:datastoreItem>
</file>

<file path=customXml/itemProps23.xml><?xml version="1.0" encoding="utf-8"?>
<ds:datastoreItem xmlns:ds="http://schemas.openxmlformats.org/officeDocument/2006/customXml" ds:itemID="{8e6d2e16-56fa-4766-b43b-155e1be72657}">
  <ds:schemaRefs/>
</ds:datastoreItem>
</file>

<file path=customXml/itemProps24.xml><?xml version="1.0" encoding="utf-8"?>
<ds:datastoreItem xmlns:ds="http://schemas.openxmlformats.org/officeDocument/2006/customXml" ds:itemID="{ec109fa2-7159-47ae-9658-2626df637f73}">
  <ds:schemaRefs/>
</ds:datastoreItem>
</file>

<file path=customXml/itemProps25.xml><?xml version="1.0" encoding="utf-8"?>
<ds:datastoreItem xmlns:ds="http://schemas.openxmlformats.org/officeDocument/2006/customXml" ds:itemID="{a5b38b97-51ca-49d4-9c3a-1ba8f428d80d}">
  <ds:schemaRefs/>
</ds:datastoreItem>
</file>

<file path=customXml/itemProps26.xml><?xml version="1.0" encoding="utf-8"?>
<ds:datastoreItem xmlns:ds="http://schemas.openxmlformats.org/officeDocument/2006/customXml" ds:itemID="{f1056c7f-60ea-44ff-ac07-5c1386295a45}">
  <ds:schemaRefs/>
</ds:datastoreItem>
</file>

<file path=customXml/itemProps27.xml><?xml version="1.0" encoding="utf-8"?>
<ds:datastoreItem xmlns:ds="http://schemas.openxmlformats.org/officeDocument/2006/customXml" ds:itemID="{140b0ef6-54bd-4f66-b1cf-fe7cf9a5a2aa}">
  <ds:schemaRefs/>
</ds:datastoreItem>
</file>

<file path=customXml/itemProps28.xml><?xml version="1.0" encoding="utf-8"?>
<ds:datastoreItem xmlns:ds="http://schemas.openxmlformats.org/officeDocument/2006/customXml" ds:itemID="{b08f1828-2a13-49c7-9942-87663998ec1d}">
  <ds:schemaRefs/>
</ds:datastoreItem>
</file>

<file path=customXml/itemProps29.xml><?xml version="1.0" encoding="utf-8"?>
<ds:datastoreItem xmlns:ds="http://schemas.openxmlformats.org/officeDocument/2006/customXml" ds:itemID="{6321631a-3f03-4b20-9c3c-a562f65a3506}">
  <ds:schemaRefs/>
</ds:datastoreItem>
</file>

<file path=customXml/itemProps3.xml><?xml version="1.0" encoding="utf-8"?>
<ds:datastoreItem xmlns:ds="http://schemas.openxmlformats.org/officeDocument/2006/customXml" ds:itemID="{704bae08-c750-4d3a-aaf2-ca62385e535c}">
  <ds:schemaRefs/>
</ds:datastoreItem>
</file>

<file path=customXml/itemProps30.xml><?xml version="1.0" encoding="utf-8"?>
<ds:datastoreItem xmlns:ds="http://schemas.openxmlformats.org/officeDocument/2006/customXml" ds:itemID="{e0b3ea61-0946-480d-90b3-9c552f5817d1}">
  <ds:schemaRefs/>
</ds:datastoreItem>
</file>

<file path=customXml/itemProps31.xml><?xml version="1.0" encoding="utf-8"?>
<ds:datastoreItem xmlns:ds="http://schemas.openxmlformats.org/officeDocument/2006/customXml" ds:itemID="{1a6f198a-07d6-40b4-b3d5-e6d7bdff440f}">
  <ds:schemaRefs/>
</ds:datastoreItem>
</file>

<file path=customXml/itemProps32.xml><?xml version="1.0" encoding="utf-8"?>
<ds:datastoreItem xmlns:ds="http://schemas.openxmlformats.org/officeDocument/2006/customXml" ds:itemID="{e28d58d7-4f21-452f-a72f-e2bed8a7e8ea}">
  <ds:schemaRefs/>
</ds:datastoreItem>
</file>

<file path=customXml/itemProps33.xml><?xml version="1.0" encoding="utf-8"?>
<ds:datastoreItem xmlns:ds="http://schemas.openxmlformats.org/officeDocument/2006/customXml" ds:itemID="{bee46a78-455d-415e-9216-980c528fcef8}">
  <ds:schemaRefs/>
</ds:datastoreItem>
</file>

<file path=customXml/itemProps34.xml><?xml version="1.0" encoding="utf-8"?>
<ds:datastoreItem xmlns:ds="http://schemas.openxmlformats.org/officeDocument/2006/customXml" ds:itemID="{d4656c76-f112-4743-9b72-aba9d252680f}">
  <ds:schemaRefs/>
</ds:datastoreItem>
</file>

<file path=customXml/itemProps35.xml><?xml version="1.0" encoding="utf-8"?>
<ds:datastoreItem xmlns:ds="http://schemas.openxmlformats.org/officeDocument/2006/customXml" ds:itemID="{4f8902c1-b69d-4023-a1ec-e179c6289f56}">
  <ds:schemaRefs/>
</ds:datastoreItem>
</file>

<file path=customXml/itemProps36.xml><?xml version="1.0" encoding="utf-8"?>
<ds:datastoreItem xmlns:ds="http://schemas.openxmlformats.org/officeDocument/2006/customXml" ds:itemID="{c58fa0c7-5cee-4e54-b6fc-f6f5730267ed}">
  <ds:schemaRefs/>
</ds:datastoreItem>
</file>

<file path=customXml/itemProps37.xml><?xml version="1.0" encoding="utf-8"?>
<ds:datastoreItem xmlns:ds="http://schemas.openxmlformats.org/officeDocument/2006/customXml" ds:itemID="{f4cfca0e-77e3-4e46-934b-9014e3a058fb}">
  <ds:schemaRefs/>
</ds:datastoreItem>
</file>

<file path=customXml/itemProps38.xml><?xml version="1.0" encoding="utf-8"?>
<ds:datastoreItem xmlns:ds="http://schemas.openxmlformats.org/officeDocument/2006/customXml" ds:itemID="{31e6effe-aa75-4967-979c-40b14af2f529}">
  <ds:schemaRefs/>
</ds:datastoreItem>
</file>

<file path=customXml/itemProps39.xml><?xml version="1.0" encoding="utf-8"?>
<ds:datastoreItem xmlns:ds="http://schemas.openxmlformats.org/officeDocument/2006/customXml" ds:itemID="{1c1079e7-2bbb-4192-bc63-62bd915c6df5}">
  <ds:schemaRefs/>
</ds:datastoreItem>
</file>

<file path=customXml/itemProps4.xml><?xml version="1.0" encoding="utf-8"?>
<ds:datastoreItem xmlns:ds="http://schemas.openxmlformats.org/officeDocument/2006/customXml" ds:itemID="{a459ea12-f272-44f3-8c2c-ef0bd5e0b22c}">
  <ds:schemaRefs/>
</ds:datastoreItem>
</file>

<file path=customXml/itemProps40.xml><?xml version="1.0" encoding="utf-8"?>
<ds:datastoreItem xmlns:ds="http://schemas.openxmlformats.org/officeDocument/2006/customXml" ds:itemID="{f12ccb91-a1fe-4e1b-9570-9c5c427d4925}">
  <ds:schemaRefs/>
</ds:datastoreItem>
</file>

<file path=customXml/itemProps41.xml><?xml version="1.0" encoding="utf-8"?>
<ds:datastoreItem xmlns:ds="http://schemas.openxmlformats.org/officeDocument/2006/customXml" ds:itemID="{ff4b570f-dfcb-4754-b81a-6191cdec5e2d}">
  <ds:schemaRefs/>
</ds:datastoreItem>
</file>

<file path=customXml/itemProps42.xml><?xml version="1.0" encoding="utf-8"?>
<ds:datastoreItem xmlns:ds="http://schemas.openxmlformats.org/officeDocument/2006/customXml" ds:itemID="{a4695dfb-ac72-40ce-b449-622673a57e5a}">
  <ds:schemaRefs/>
</ds:datastoreItem>
</file>

<file path=customXml/itemProps43.xml><?xml version="1.0" encoding="utf-8"?>
<ds:datastoreItem xmlns:ds="http://schemas.openxmlformats.org/officeDocument/2006/customXml" ds:itemID="{a815dc9a-6180-40e3-adff-0efab53befac}">
  <ds:schemaRefs/>
</ds:datastoreItem>
</file>

<file path=customXml/itemProps44.xml><?xml version="1.0" encoding="utf-8"?>
<ds:datastoreItem xmlns:ds="http://schemas.openxmlformats.org/officeDocument/2006/customXml" ds:itemID="{ea4b62a1-e3d8-419b-9b43-b5298d3343d8}">
  <ds:schemaRefs/>
</ds:datastoreItem>
</file>

<file path=customXml/itemProps45.xml><?xml version="1.0" encoding="utf-8"?>
<ds:datastoreItem xmlns:ds="http://schemas.openxmlformats.org/officeDocument/2006/customXml" ds:itemID="{28924371-d81f-48b9-a047-5ad9c19548ac}">
  <ds:schemaRefs/>
</ds:datastoreItem>
</file>

<file path=customXml/itemProps46.xml><?xml version="1.0" encoding="utf-8"?>
<ds:datastoreItem xmlns:ds="http://schemas.openxmlformats.org/officeDocument/2006/customXml" ds:itemID="{c5b8451f-57ef-47b9-9c79-d41c8bd04041}">
  <ds:schemaRefs/>
</ds:datastoreItem>
</file>

<file path=customXml/itemProps47.xml><?xml version="1.0" encoding="utf-8"?>
<ds:datastoreItem xmlns:ds="http://schemas.openxmlformats.org/officeDocument/2006/customXml" ds:itemID="{32a2f3c4-42de-4e09-b5e4-681c48ec90c8}">
  <ds:schemaRefs/>
</ds:datastoreItem>
</file>

<file path=customXml/itemProps48.xml><?xml version="1.0" encoding="utf-8"?>
<ds:datastoreItem xmlns:ds="http://schemas.openxmlformats.org/officeDocument/2006/customXml" ds:itemID="{8e551e18-dcf1-4aeb-956d-109a9f228c33}">
  <ds:schemaRefs/>
</ds:datastoreItem>
</file>

<file path=customXml/itemProps49.xml><?xml version="1.0" encoding="utf-8"?>
<ds:datastoreItem xmlns:ds="http://schemas.openxmlformats.org/officeDocument/2006/customXml" ds:itemID="{0665b057-36ff-4ed4-89cf-06c423436e19}">
  <ds:schemaRefs/>
</ds:datastoreItem>
</file>

<file path=customXml/itemProps5.xml><?xml version="1.0" encoding="utf-8"?>
<ds:datastoreItem xmlns:ds="http://schemas.openxmlformats.org/officeDocument/2006/customXml" ds:itemID="{fe5b5d99-fc11-4f1e-a4e0-4188d7445fe0}">
  <ds:schemaRefs/>
</ds:datastoreItem>
</file>

<file path=customXml/itemProps50.xml><?xml version="1.0" encoding="utf-8"?>
<ds:datastoreItem xmlns:ds="http://schemas.openxmlformats.org/officeDocument/2006/customXml" ds:itemID="{ddbc5674-4b40-4b93-938d-0116836a0cc6}">
  <ds:schemaRefs/>
</ds:datastoreItem>
</file>

<file path=customXml/itemProps6.xml><?xml version="1.0" encoding="utf-8"?>
<ds:datastoreItem xmlns:ds="http://schemas.openxmlformats.org/officeDocument/2006/customXml" ds:itemID="{b922a31d-70b1-4ab5-bb9a-cace88dfa1a4}">
  <ds:schemaRefs/>
</ds:datastoreItem>
</file>

<file path=customXml/itemProps7.xml><?xml version="1.0" encoding="utf-8"?>
<ds:datastoreItem xmlns:ds="http://schemas.openxmlformats.org/officeDocument/2006/customXml" ds:itemID="{2aeef4a4-932d-4805-a389-a88f6577c5fe}">
  <ds:schemaRefs/>
</ds:datastoreItem>
</file>

<file path=customXml/itemProps8.xml><?xml version="1.0" encoding="utf-8"?>
<ds:datastoreItem xmlns:ds="http://schemas.openxmlformats.org/officeDocument/2006/customXml" ds:itemID="{456ee248-d52b-4ae1-8cfb-1373cd0803d2}">
  <ds:schemaRefs/>
</ds:datastoreItem>
</file>

<file path=customXml/itemProps9.xml><?xml version="1.0" encoding="utf-8"?>
<ds:datastoreItem xmlns:ds="http://schemas.openxmlformats.org/officeDocument/2006/customXml" ds:itemID="{a3f248a6-4770-4f03-bca7-6bc2a632d530}">
  <ds:schemaRefs/>
</ds:datastoreItem>
</file>

<file path=docProps/app.xml><?xml version="1.0" encoding="utf-8"?>
<Properties xmlns="http://schemas.openxmlformats.org/officeDocument/2006/extended-properties" xmlns:vt="http://schemas.openxmlformats.org/officeDocument/2006/docPropsVTypes">
  <Pages>50</Pages>
  <Words>13710</Words>
  <Characters>15124</Characters>
  <TotalTime>121</TotalTime>
  <ScaleCrop>false</ScaleCrop>
  <LinksUpToDate>false</LinksUpToDate>
  <CharactersWithSpaces>15395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2023-04-07T15:21:00Z</dcterms:created>
  <dc:creator>Administrator</dc:creator>
  <cp:lastModifiedBy>Administrator</cp:lastModifiedBy>
  <dcterms:modified xsi:type="dcterms:W3CDTF">2023-09-06T07:42:55Z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3540AB3B16084B3F9B74B402A4229BC3_13</vt:lpwstr>
  </property>
</Properties>
</file>