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平乡县机关事务管理局所属单位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jc w:val="center"/>
        <w:rPr>
          <w:rFonts w:hint="eastAsia" w:ascii="黑体" w:hAnsi="黑体" w:eastAsia="黑体" w:cs="黑体"/>
          <w:b/>
          <w:color w:val="000000"/>
          <w:sz w:val="30"/>
          <w:lang w:eastAsia="zh-CN"/>
        </w:rPr>
      </w:pPr>
    </w:p>
    <w:p>
      <w:pPr>
        <w:pStyle w:val="4"/>
        <w:tabs>
          <w:tab w:val="right" w:leader="dot" w:pos="14562"/>
        </w:tabs>
        <w:jc w:val="center"/>
        <w:rPr>
          <w:rFonts w:hint="eastAsia" w:ascii="黑体" w:hAnsi="黑体" w:eastAsia="黑体" w:cs="黑体"/>
          <w:b/>
          <w:color w:val="000000"/>
          <w:sz w:val="30"/>
          <w:lang w:eastAsia="zh-CN"/>
        </w:rPr>
      </w:pPr>
      <w:r>
        <w:rPr>
          <w:rFonts w:hint="eastAsia" w:ascii="黑体" w:hAnsi="黑体" w:eastAsia="黑体" w:cs="黑体"/>
          <w:b/>
          <w:color w:val="000000"/>
          <w:sz w:val="30"/>
          <w:lang w:eastAsia="zh-CN"/>
        </w:rPr>
        <w:t>目录</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p>
    <w:p>
      <w:pPr>
        <w:pStyle w:val="4"/>
        <w:tabs>
          <w:tab w:val="right" w:leader="dot" w:pos="14562"/>
        </w:tabs>
      </w:pPr>
      <w:r>
        <w:rPr>
          <w:b w:val="0"/>
        </w:rPr>
        <w:t>平乡县</w:t>
      </w:r>
      <w:r>
        <w:rPr>
          <w:rFonts w:hint="eastAsia"/>
          <w:b w:val="0"/>
          <w:lang w:eastAsia="zh-CN"/>
        </w:rPr>
        <w:t>机关事务管理局</w:t>
      </w:r>
      <w:r>
        <w:rPr>
          <w:b w:val="0"/>
        </w:rPr>
        <w:t>本级收支预算</w:t>
      </w:r>
      <w:r>
        <w:tab/>
      </w:r>
      <w:r>
        <w:fldChar w:fldCharType="begin"/>
      </w:r>
      <w:r>
        <w:instrText xml:space="preserve">PAGEREF _Toc_4_4_0000000001 \h</w:instrText>
      </w:r>
      <w:r>
        <w:fldChar w:fldCharType="separate"/>
      </w:r>
      <w:r>
        <w:t>2</w:t>
      </w:r>
      <w:r>
        <w:fldChar w:fldCharType="end"/>
      </w:r>
      <w:r>
        <w:fldChar w:fldCharType="end"/>
      </w:r>
    </w:p>
    <w:p>
      <w:pPr>
        <w:jc w:val="cente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bookmarkStart w:id="19" w:name="_GoBack"/>
      <w:bookmarkEnd w:id="19"/>
    </w:p>
    <w:p>
      <w:pPr>
        <w:jc w:val="center"/>
      </w:pPr>
    </w:p>
    <w:p>
      <w:pPr>
        <w:jc w:val="center"/>
      </w:pPr>
    </w:p>
    <w:p>
      <w:pPr>
        <w:jc w:val="cente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ind w:firstLine="0"/>
        <w:jc w:val="center"/>
        <w:outlineLvl w:val="3"/>
        <w:rPr>
          <w:rFonts w:cstheme="minorBidi"/>
        </w:rPr>
      </w:pPr>
      <w:bookmarkStart w:id="0" w:name="_Toc_4_4_0000000001"/>
      <w:bookmarkStart w:id="1" w:name="_Toc_2_2_0000000001"/>
      <w:r>
        <w:rPr>
          <w:rFonts w:ascii="方正小标宋_GBK" w:hAnsi="方正小标宋_GBK" w:eastAsia="方正小标宋_GBK" w:cs="方正小标宋_GBK"/>
          <w:b w:val="0"/>
          <w:color w:val="000000"/>
          <w:sz w:val="44"/>
        </w:rPr>
        <w:t>一、平乡县机关</w:t>
      </w:r>
      <w:r>
        <w:rPr>
          <w:rFonts w:hint="eastAsia" w:ascii="方正小标宋_GBK" w:hAnsi="方正小标宋_GBK" w:eastAsia="方正小标宋_GBK" w:cs="方正小标宋_GBK"/>
          <w:b w:val="0"/>
          <w:color w:val="000000"/>
          <w:sz w:val="44"/>
          <w:lang w:eastAsia="zh-CN"/>
        </w:rPr>
        <w:t>事务管理局</w:t>
      </w:r>
      <w:r>
        <w:rPr>
          <w:rFonts w:ascii="方正小标宋_GBK" w:hAnsi="方正小标宋_GBK" w:eastAsia="方正小标宋_GBK" w:cs="方正小标宋_GBK"/>
          <w:b w:val="0"/>
          <w:color w:val="000000"/>
          <w:sz w:val="44"/>
        </w:rPr>
        <w:t>本级收支预算</w:t>
      </w:r>
      <w:bookmarkEnd w:id="0"/>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430</w:t>
            </w:r>
            <w:r>
              <w:rPr>
                <w:rFonts w:hint="eastAsia"/>
                <w:lang w:val="en-US" w:eastAsia="zh-CN"/>
              </w:rPr>
              <w:t>001</w:t>
            </w:r>
            <w:r>
              <w:t>平乡县机关事务管理局</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1653.32</w:t>
            </w:r>
          </w:p>
        </w:tc>
        <w:tc>
          <w:tcPr>
            <w:tcW w:w="4535" w:type="dxa"/>
            <w:vAlign w:val="center"/>
          </w:tcPr>
          <w:p>
            <w:pPr>
              <w:pStyle w:val="13"/>
            </w:pPr>
            <w:r>
              <w:t>一、一般公共服务支出</w:t>
            </w:r>
          </w:p>
        </w:tc>
        <w:tc>
          <w:tcPr>
            <w:tcW w:w="2126" w:type="dxa"/>
            <w:vAlign w:val="center"/>
          </w:tcPr>
          <w:p>
            <w:pPr>
              <w:pStyle w:val="12"/>
            </w:pPr>
            <w:r>
              <w:t>660.23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1653.32</w:t>
            </w:r>
          </w:p>
        </w:tc>
        <w:tc>
          <w:tcPr>
            <w:tcW w:w="4535" w:type="dxa"/>
            <w:vAlign w:val="center"/>
          </w:tcPr>
          <w:p>
            <w:pPr>
              <w:pStyle w:val="15"/>
            </w:pPr>
            <w:r>
              <w:t>本年支出合计</w:t>
            </w:r>
          </w:p>
        </w:tc>
        <w:tc>
          <w:tcPr>
            <w:tcW w:w="2126" w:type="dxa"/>
            <w:vAlign w:val="center"/>
          </w:tcPr>
          <w:p>
            <w:pPr>
              <w:pStyle w:val="16"/>
            </w:pPr>
            <w:r>
              <w:t>1653.32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1653.32</w:t>
            </w:r>
          </w:p>
        </w:tc>
        <w:tc>
          <w:tcPr>
            <w:tcW w:w="4535" w:type="dxa"/>
            <w:vAlign w:val="center"/>
          </w:tcPr>
          <w:p>
            <w:pPr>
              <w:pStyle w:val="15"/>
            </w:pPr>
            <w:r>
              <w:t>支出总计</w:t>
            </w:r>
          </w:p>
        </w:tc>
        <w:tc>
          <w:tcPr>
            <w:tcW w:w="2126" w:type="dxa"/>
            <w:vAlign w:val="center"/>
          </w:tcPr>
          <w:p>
            <w:pPr>
              <w:pStyle w:val="16"/>
            </w:pPr>
            <w:r>
              <w:t>1653.32</w:t>
            </w:r>
          </w:p>
        </w:tc>
      </w:tr>
    </w:tbl>
    <w:p>
      <w:pPr>
        <w:sectPr>
          <w:footerReference r:id="rId5" w:type="default"/>
          <w:footerReference r:id="rId6" w:type="even"/>
          <w:pgSz w:w="16840" w:h="11900" w:orient="landscape"/>
          <w:pgMar w:top="1361" w:right="1020" w:bottom="1134" w:left="1020" w:header="720" w:footer="720" w:gutter="0"/>
          <w:pgNumType w:fmt="decimal"/>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1653.32</w:t>
            </w:r>
          </w:p>
        </w:tc>
        <w:tc>
          <w:tcPr>
            <w:tcW w:w="1134" w:type="dxa"/>
            <w:vAlign w:val="center"/>
          </w:tcPr>
          <w:p>
            <w:pPr>
              <w:pStyle w:val="16"/>
            </w:pPr>
            <w:r>
              <w:t>1653.32</w:t>
            </w:r>
          </w:p>
        </w:tc>
        <w:tc>
          <w:tcPr>
            <w:tcW w:w="1134" w:type="dxa"/>
            <w:vAlign w:val="center"/>
          </w:tcPr>
          <w:p>
            <w:pPr>
              <w:pStyle w:val="16"/>
            </w:pPr>
            <w:r>
              <w:t>1653.32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r>
              <w:t>660.23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r>
              <w:t>948.00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r>
              <w:t>15.26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r>
              <w:t>11.73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r>
              <w:t>18.10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1653.32</w:t>
            </w:r>
          </w:p>
        </w:tc>
        <w:tc>
          <w:tcPr>
            <w:tcW w:w="1361" w:type="dxa"/>
            <w:vAlign w:val="center"/>
          </w:tcPr>
          <w:p>
            <w:pPr>
              <w:pStyle w:val="16"/>
            </w:pPr>
            <w:r>
              <w:t>317.41</w:t>
            </w:r>
          </w:p>
        </w:tc>
        <w:tc>
          <w:tcPr>
            <w:tcW w:w="1361" w:type="dxa"/>
            <w:vAlign w:val="center"/>
          </w:tcPr>
          <w:p>
            <w:pPr>
              <w:pStyle w:val="16"/>
            </w:pPr>
            <w:r>
              <w:t>1335.91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660.23</w:t>
            </w:r>
          </w:p>
        </w:tc>
        <w:tc>
          <w:tcPr>
            <w:tcW w:w="1361" w:type="dxa"/>
            <w:vAlign w:val="center"/>
          </w:tcPr>
          <w:p>
            <w:pPr>
              <w:pStyle w:val="12"/>
            </w:pPr>
            <w:r>
              <w:t>272.32</w:t>
            </w:r>
          </w:p>
        </w:tc>
        <w:tc>
          <w:tcPr>
            <w:tcW w:w="1361" w:type="dxa"/>
            <w:vAlign w:val="center"/>
          </w:tcPr>
          <w:p>
            <w:pPr>
              <w:pStyle w:val="12"/>
            </w:pPr>
            <w:r>
              <w:t>387.91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660.23</w:t>
            </w:r>
          </w:p>
        </w:tc>
        <w:tc>
          <w:tcPr>
            <w:tcW w:w="1361" w:type="dxa"/>
            <w:vAlign w:val="center"/>
          </w:tcPr>
          <w:p>
            <w:pPr>
              <w:pStyle w:val="12"/>
            </w:pPr>
            <w:r>
              <w:t>272.32</w:t>
            </w:r>
          </w:p>
        </w:tc>
        <w:tc>
          <w:tcPr>
            <w:tcW w:w="1361" w:type="dxa"/>
            <w:vAlign w:val="center"/>
          </w:tcPr>
          <w:p>
            <w:pPr>
              <w:pStyle w:val="12"/>
            </w:pPr>
            <w:r>
              <w:t>387.91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6" w:type="dxa"/>
            <w:vAlign w:val="center"/>
          </w:tcPr>
          <w:p>
            <w:pPr>
              <w:pStyle w:val="13"/>
            </w:pPr>
            <w:r>
              <w:t>机关服务</w:t>
            </w:r>
          </w:p>
        </w:tc>
        <w:tc>
          <w:tcPr>
            <w:tcW w:w="1361" w:type="dxa"/>
            <w:vAlign w:val="center"/>
          </w:tcPr>
          <w:p>
            <w:pPr>
              <w:pStyle w:val="12"/>
            </w:pPr>
            <w:r>
              <w:t>660.23</w:t>
            </w:r>
          </w:p>
        </w:tc>
        <w:tc>
          <w:tcPr>
            <w:tcW w:w="1361" w:type="dxa"/>
            <w:vAlign w:val="center"/>
          </w:tcPr>
          <w:p>
            <w:pPr>
              <w:pStyle w:val="12"/>
            </w:pPr>
            <w:r>
              <w:t>272.32</w:t>
            </w:r>
          </w:p>
        </w:tc>
        <w:tc>
          <w:tcPr>
            <w:tcW w:w="1361" w:type="dxa"/>
            <w:vAlign w:val="center"/>
          </w:tcPr>
          <w:p>
            <w:pPr>
              <w:pStyle w:val="12"/>
            </w:pPr>
            <w:r>
              <w:t>387.91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w:t>
            </w:r>
          </w:p>
        </w:tc>
        <w:tc>
          <w:tcPr>
            <w:tcW w:w="4536" w:type="dxa"/>
            <w:vAlign w:val="center"/>
          </w:tcPr>
          <w:p>
            <w:pPr>
              <w:pStyle w:val="13"/>
            </w:pPr>
            <w:r>
              <w:t>文化旅游体育与传媒支出</w:t>
            </w: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20799</w:t>
            </w:r>
          </w:p>
        </w:tc>
        <w:tc>
          <w:tcPr>
            <w:tcW w:w="4536" w:type="dxa"/>
            <w:vAlign w:val="center"/>
          </w:tcPr>
          <w:p>
            <w:pPr>
              <w:pStyle w:val="13"/>
            </w:pPr>
            <w:r>
              <w:t>其他文化旅游体育与传媒支出</w:t>
            </w: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2079999</w:t>
            </w:r>
          </w:p>
        </w:tc>
        <w:tc>
          <w:tcPr>
            <w:tcW w:w="4536" w:type="dxa"/>
            <w:vAlign w:val="center"/>
          </w:tcPr>
          <w:p>
            <w:pPr>
              <w:pStyle w:val="13"/>
            </w:pPr>
            <w:r>
              <w:t>其他文化旅游体育与传媒支出</w:t>
            </w: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r>
              <w:t>948.00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15.26</w:t>
            </w:r>
          </w:p>
        </w:tc>
        <w:tc>
          <w:tcPr>
            <w:tcW w:w="1361" w:type="dxa"/>
            <w:vAlign w:val="center"/>
          </w:tcPr>
          <w:p>
            <w:pPr>
              <w:pStyle w:val="12"/>
            </w:pPr>
            <w:r>
              <w:t>15.26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11.73</w:t>
            </w:r>
          </w:p>
        </w:tc>
        <w:tc>
          <w:tcPr>
            <w:tcW w:w="1361" w:type="dxa"/>
            <w:vAlign w:val="center"/>
          </w:tcPr>
          <w:p>
            <w:pPr>
              <w:pStyle w:val="12"/>
            </w:pPr>
            <w:r>
              <w:t>11.73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11.73</w:t>
            </w:r>
          </w:p>
        </w:tc>
        <w:tc>
          <w:tcPr>
            <w:tcW w:w="1361" w:type="dxa"/>
            <w:vAlign w:val="center"/>
          </w:tcPr>
          <w:p>
            <w:pPr>
              <w:pStyle w:val="12"/>
            </w:pPr>
            <w:r>
              <w:t>11.73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11.73</w:t>
            </w:r>
          </w:p>
        </w:tc>
        <w:tc>
          <w:tcPr>
            <w:tcW w:w="1361" w:type="dxa"/>
            <w:vAlign w:val="center"/>
          </w:tcPr>
          <w:p>
            <w:pPr>
              <w:pStyle w:val="12"/>
            </w:pPr>
            <w:r>
              <w:t>11.73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18.10</w:t>
            </w:r>
          </w:p>
        </w:tc>
        <w:tc>
          <w:tcPr>
            <w:tcW w:w="1361" w:type="dxa"/>
            <w:vAlign w:val="center"/>
          </w:tcPr>
          <w:p>
            <w:pPr>
              <w:pStyle w:val="12"/>
            </w:pPr>
            <w:r>
              <w:t>18.10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18.10</w:t>
            </w:r>
          </w:p>
        </w:tc>
        <w:tc>
          <w:tcPr>
            <w:tcW w:w="1361" w:type="dxa"/>
            <w:vAlign w:val="center"/>
          </w:tcPr>
          <w:p>
            <w:pPr>
              <w:pStyle w:val="12"/>
            </w:pPr>
            <w:r>
              <w:t>18.10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18.10</w:t>
            </w:r>
          </w:p>
        </w:tc>
        <w:tc>
          <w:tcPr>
            <w:tcW w:w="1361" w:type="dxa"/>
            <w:vAlign w:val="center"/>
          </w:tcPr>
          <w:p>
            <w:pPr>
              <w:pStyle w:val="12"/>
            </w:pPr>
            <w:r>
              <w:t>18.10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1653.32</w:t>
            </w:r>
          </w:p>
        </w:tc>
        <w:tc>
          <w:tcPr>
            <w:tcW w:w="3402" w:type="dxa"/>
            <w:vAlign w:val="center"/>
          </w:tcPr>
          <w:p>
            <w:pPr>
              <w:pStyle w:val="13"/>
            </w:pPr>
            <w:r>
              <w:t>一、一般公共服务支出</w:t>
            </w:r>
          </w:p>
        </w:tc>
        <w:tc>
          <w:tcPr>
            <w:tcW w:w="1474" w:type="dxa"/>
            <w:vAlign w:val="center"/>
          </w:tcPr>
          <w:p>
            <w:pPr>
              <w:pStyle w:val="12"/>
            </w:pPr>
            <w:r>
              <w:t>660.23</w:t>
            </w:r>
          </w:p>
        </w:tc>
        <w:tc>
          <w:tcPr>
            <w:tcW w:w="1474" w:type="dxa"/>
            <w:vAlign w:val="center"/>
          </w:tcPr>
          <w:p>
            <w:pPr>
              <w:pStyle w:val="12"/>
            </w:pPr>
            <w:r>
              <w:t>660.23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948.00</w:t>
            </w:r>
          </w:p>
        </w:tc>
        <w:tc>
          <w:tcPr>
            <w:tcW w:w="1474" w:type="dxa"/>
            <w:vAlign w:val="center"/>
          </w:tcPr>
          <w:p>
            <w:pPr>
              <w:pStyle w:val="12"/>
            </w:pPr>
            <w:r>
              <w:t>948.00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15.26</w:t>
            </w:r>
          </w:p>
        </w:tc>
        <w:tc>
          <w:tcPr>
            <w:tcW w:w="1474" w:type="dxa"/>
            <w:vAlign w:val="center"/>
          </w:tcPr>
          <w:p>
            <w:pPr>
              <w:pStyle w:val="12"/>
            </w:pPr>
            <w:r>
              <w:t>15.26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11.73</w:t>
            </w:r>
          </w:p>
        </w:tc>
        <w:tc>
          <w:tcPr>
            <w:tcW w:w="1474" w:type="dxa"/>
            <w:vAlign w:val="center"/>
          </w:tcPr>
          <w:p>
            <w:pPr>
              <w:pStyle w:val="12"/>
            </w:pPr>
            <w:r>
              <w:t>11.73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18.10</w:t>
            </w:r>
          </w:p>
        </w:tc>
        <w:tc>
          <w:tcPr>
            <w:tcW w:w="1474" w:type="dxa"/>
            <w:vAlign w:val="center"/>
          </w:tcPr>
          <w:p>
            <w:pPr>
              <w:pStyle w:val="12"/>
            </w:pPr>
            <w:r>
              <w:t>18.10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1653.32</w:t>
            </w:r>
          </w:p>
        </w:tc>
        <w:tc>
          <w:tcPr>
            <w:tcW w:w="3402" w:type="dxa"/>
            <w:vAlign w:val="center"/>
          </w:tcPr>
          <w:p>
            <w:pPr>
              <w:pStyle w:val="15"/>
            </w:pPr>
            <w:r>
              <w:t>本年支出合计</w:t>
            </w:r>
          </w:p>
        </w:tc>
        <w:tc>
          <w:tcPr>
            <w:tcW w:w="1474" w:type="dxa"/>
            <w:vAlign w:val="center"/>
          </w:tcPr>
          <w:p>
            <w:pPr>
              <w:pStyle w:val="16"/>
            </w:pPr>
            <w:r>
              <w:t>1653.32</w:t>
            </w:r>
          </w:p>
        </w:tc>
        <w:tc>
          <w:tcPr>
            <w:tcW w:w="1474" w:type="dxa"/>
            <w:vAlign w:val="center"/>
          </w:tcPr>
          <w:p>
            <w:pPr>
              <w:pStyle w:val="16"/>
            </w:pPr>
            <w:r>
              <w:t>1653.32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1653.32</w:t>
            </w:r>
          </w:p>
        </w:tc>
        <w:tc>
          <w:tcPr>
            <w:tcW w:w="3402" w:type="dxa"/>
            <w:vAlign w:val="center"/>
          </w:tcPr>
          <w:p>
            <w:pPr>
              <w:pStyle w:val="15"/>
            </w:pPr>
            <w:r>
              <w:t>支出总计</w:t>
            </w:r>
          </w:p>
        </w:tc>
        <w:tc>
          <w:tcPr>
            <w:tcW w:w="1474" w:type="dxa"/>
            <w:vAlign w:val="center"/>
          </w:tcPr>
          <w:p>
            <w:pPr>
              <w:pStyle w:val="16"/>
            </w:pPr>
            <w:r>
              <w:t>1653.32</w:t>
            </w:r>
          </w:p>
        </w:tc>
        <w:tc>
          <w:tcPr>
            <w:tcW w:w="1474" w:type="dxa"/>
            <w:vAlign w:val="center"/>
          </w:tcPr>
          <w:p>
            <w:pPr>
              <w:pStyle w:val="16"/>
            </w:pPr>
            <w:r>
              <w:t>1653.32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1653.32</w:t>
            </w:r>
          </w:p>
        </w:tc>
        <w:tc>
          <w:tcPr>
            <w:tcW w:w="2551" w:type="dxa"/>
            <w:vAlign w:val="center"/>
          </w:tcPr>
          <w:p>
            <w:pPr>
              <w:pStyle w:val="16"/>
            </w:pPr>
            <w:r>
              <w:t>317.41</w:t>
            </w:r>
          </w:p>
        </w:tc>
        <w:tc>
          <w:tcPr>
            <w:tcW w:w="2551" w:type="dxa"/>
            <w:vAlign w:val="center"/>
          </w:tcPr>
          <w:p>
            <w:pPr>
              <w:pStyle w:val="16"/>
            </w:pPr>
            <w:r>
              <w:t>1335.91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660.23</w:t>
            </w:r>
          </w:p>
        </w:tc>
        <w:tc>
          <w:tcPr>
            <w:tcW w:w="2551" w:type="dxa"/>
            <w:vAlign w:val="center"/>
          </w:tcPr>
          <w:p>
            <w:pPr>
              <w:pStyle w:val="12"/>
            </w:pPr>
            <w:r>
              <w:t>272.32</w:t>
            </w:r>
          </w:p>
        </w:tc>
        <w:tc>
          <w:tcPr>
            <w:tcW w:w="2551" w:type="dxa"/>
            <w:vAlign w:val="center"/>
          </w:tcPr>
          <w:p>
            <w:pPr>
              <w:pStyle w:val="12"/>
            </w:pPr>
            <w:r>
              <w:t>387.91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660.23</w:t>
            </w:r>
          </w:p>
        </w:tc>
        <w:tc>
          <w:tcPr>
            <w:tcW w:w="2551" w:type="dxa"/>
            <w:vAlign w:val="center"/>
          </w:tcPr>
          <w:p>
            <w:pPr>
              <w:pStyle w:val="12"/>
            </w:pPr>
            <w:r>
              <w:t>272.32</w:t>
            </w:r>
          </w:p>
        </w:tc>
        <w:tc>
          <w:tcPr>
            <w:tcW w:w="2551" w:type="dxa"/>
            <w:vAlign w:val="center"/>
          </w:tcPr>
          <w:p>
            <w:pPr>
              <w:pStyle w:val="12"/>
            </w:pPr>
            <w:r>
              <w:t>387.91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660.23</w:t>
            </w:r>
          </w:p>
        </w:tc>
        <w:tc>
          <w:tcPr>
            <w:tcW w:w="2551" w:type="dxa"/>
            <w:vAlign w:val="center"/>
          </w:tcPr>
          <w:p>
            <w:pPr>
              <w:pStyle w:val="12"/>
            </w:pPr>
            <w:r>
              <w:t>272.32</w:t>
            </w:r>
          </w:p>
        </w:tc>
        <w:tc>
          <w:tcPr>
            <w:tcW w:w="2551" w:type="dxa"/>
            <w:vAlign w:val="center"/>
          </w:tcPr>
          <w:p>
            <w:pPr>
              <w:pStyle w:val="12"/>
            </w:pPr>
            <w:r>
              <w:t>387.91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948.00</w:t>
            </w:r>
          </w:p>
        </w:tc>
        <w:tc>
          <w:tcPr>
            <w:tcW w:w="2551" w:type="dxa"/>
            <w:vAlign w:val="center"/>
          </w:tcPr>
          <w:p>
            <w:pPr>
              <w:pStyle w:val="12"/>
            </w:pPr>
          </w:p>
        </w:tc>
        <w:tc>
          <w:tcPr>
            <w:tcW w:w="2551" w:type="dxa"/>
            <w:vAlign w:val="center"/>
          </w:tcPr>
          <w:p>
            <w:pPr>
              <w:pStyle w:val="12"/>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948.00</w:t>
            </w:r>
          </w:p>
        </w:tc>
        <w:tc>
          <w:tcPr>
            <w:tcW w:w="2551" w:type="dxa"/>
            <w:vAlign w:val="center"/>
          </w:tcPr>
          <w:p>
            <w:pPr>
              <w:pStyle w:val="12"/>
            </w:pPr>
          </w:p>
        </w:tc>
        <w:tc>
          <w:tcPr>
            <w:tcW w:w="2551" w:type="dxa"/>
            <w:vAlign w:val="center"/>
          </w:tcPr>
          <w:p>
            <w:pPr>
              <w:pStyle w:val="12"/>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948.00</w:t>
            </w:r>
          </w:p>
        </w:tc>
        <w:tc>
          <w:tcPr>
            <w:tcW w:w="2551" w:type="dxa"/>
            <w:vAlign w:val="center"/>
          </w:tcPr>
          <w:p>
            <w:pPr>
              <w:pStyle w:val="12"/>
            </w:pPr>
          </w:p>
        </w:tc>
        <w:tc>
          <w:tcPr>
            <w:tcW w:w="2551" w:type="dxa"/>
            <w:vAlign w:val="center"/>
          </w:tcPr>
          <w:p>
            <w:pPr>
              <w:pStyle w:val="12"/>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15.26</w:t>
            </w:r>
          </w:p>
        </w:tc>
        <w:tc>
          <w:tcPr>
            <w:tcW w:w="2551" w:type="dxa"/>
            <w:vAlign w:val="center"/>
          </w:tcPr>
          <w:p>
            <w:pPr>
              <w:pStyle w:val="12"/>
            </w:pPr>
            <w:r>
              <w:t>15.26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11.73</w:t>
            </w:r>
          </w:p>
        </w:tc>
        <w:tc>
          <w:tcPr>
            <w:tcW w:w="2551" w:type="dxa"/>
            <w:vAlign w:val="center"/>
          </w:tcPr>
          <w:p>
            <w:pPr>
              <w:pStyle w:val="12"/>
            </w:pPr>
            <w:r>
              <w:t>11.73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11.73</w:t>
            </w:r>
          </w:p>
        </w:tc>
        <w:tc>
          <w:tcPr>
            <w:tcW w:w="2551" w:type="dxa"/>
            <w:vAlign w:val="center"/>
          </w:tcPr>
          <w:p>
            <w:pPr>
              <w:pStyle w:val="12"/>
            </w:pPr>
            <w:r>
              <w:t>11.73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11.73</w:t>
            </w:r>
          </w:p>
        </w:tc>
        <w:tc>
          <w:tcPr>
            <w:tcW w:w="2551" w:type="dxa"/>
            <w:vAlign w:val="center"/>
          </w:tcPr>
          <w:p>
            <w:pPr>
              <w:pStyle w:val="12"/>
            </w:pPr>
            <w:r>
              <w:t>11.73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18.10</w:t>
            </w:r>
          </w:p>
        </w:tc>
        <w:tc>
          <w:tcPr>
            <w:tcW w:w="2551" w:type="dxa"/>
            <w:vAlign w:val="center"/>
          </w:tcPr>
          <w:p>
            <w:pPr>
              <w:pStyle w:val="12"/>
            </w:pPr>
            <w:r>
              <w:t>18.10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18.10</w:t>
            </w:r>
          </w:p>
        </w:tc>
        <w:tc>
          <w:tcPr>
            <w:tcW w:w="2551" w:type="dxa"/>
            <w:vAlign w:val="center"/>
          </w:tcPr>
          <w:p>
            <w:pPr>
              <w:pStyle w:val="12"/>
            </w:pPr>
            <w:r>
              <w:t>18.10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18.10</w:t>
            </w:r>
          </w:p>
        </w:tc>
        <w:tc>
          <w:tcPr>
            <w:tcW w:w="2551" w:type="dxa"/>
            <w:vAlign w:val="center"/>
          </w:tcPr>
          <w:p>
            <w:pPr>
              <w:pStyle w:val="12"/>
            </w:pPr>
            <w:r>
              <w:t>18.10</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317.41</w:t>
            </w:r>
          </w:p>
        </w:tc>
        <w:tc>
          <w:tcPr>
            <w:tcW w:w="2551" w:type="dxa"/>
            <w:vAlign w:val="center"/>
          </w:tcPr>
          <w:p>
            <w:pPr>
              <w:pStyle w:val="16"/>
            </w:pPr>
            <w:r>
              <w:t>306.73</w:t>
            </w:r>
          </w:p>
        </w:tc>
        <w:tc>
          <w:tcPr>
            <w:tcW w:w="2552" w:type="dxa"/>
            <w:vAlign w:val="center"/>
          </w:tcPr>
          <w:p>
            <w:pPr>
              <w:pStyle w:val="16"/>
            </w:pPr>
            <w: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306.73</w:t>
            </w:r>
          </w:p>
        </w:tc>
        <w:tc>
          <w:tcPr>
            <w:tcW w:w="2551" w:type="dxa"/>
            <w:vAlign w:val="center"/>
          </w:tcPr>
          <w:p>
            <w:pPr>
              <w:pStyle w:val="12"/>
            </w:pPr>
            <w:r>
              <w:t>306.73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132.88</w:t>
            </w:r>
          </w:p>
        </w:tc>
        <w:tc>
          <w:tcPr>
            <w:tcW w:w="2551" w:type="dxa"/>
            <w:vAlign w:val="center"/>
          </w:tcPr>
          <w:p>
            <w:pPr>
              <w:pStyle w:val="12"/>
            </w:pPr>
            <w:r>
              <w:t>132.88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29.36</w:t>
            </w:r>
          </w:p>
        </w:tc>
        <w:tc>
          <w:tcPr>
            <w:tcW w:w="2551" w:type="dxa"/>
            <w:vAlign w:val="center"/>
          </w:tcPr>
          <w:p>
            <w:pPr>
              <w:pStyle w:val="12"/>
            </w:pPr>
            <w:r>
              <w:t>29.36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63.89</w:t>
            </w:r>
          </w:p>
        </w:tc>
        <w:tc>
          <w:tcPr>
            <w:tcW w:w="2551" w:type="dxa"/>
            <w:vAlign w:val="center"/>
          </w:tcPr>
          <w:p>
            <w:pPr>
              <w:pStyle w:val="12"/>
            </w:pPr>
            <w:r>
              <w:t>63.89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30.48</w:t>
            </w:r>
          </w:p>
        </w:tc>
        <w:tc>
          <w:tcPr>
            <w:tcW w:w="2551" w:type="dxa"/>
            <w:vAlign w:val="center"/>
          </w:tcPr>
          <w:p>
            <w:pPr>
              <w:pStyle w:val="12"/>
            </w:pPr>
            <w:r>
              <w:t>30.48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15.26</w:t>
            </w:r>
          </w:p>
        </w:tc>
        <w:tc>
          <w:tcPr>
            <w:tcW w:w="2551" w:type="dxa"/>
            <w:vAlign w:val="center"/>
          </w:tcPr>
          <w:p>
            <w:pPr>
              <w:pStyle w:val="12"/>
            </w:pPr>
            <w:r>
              <w:t>15.26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8.22</w:t>
            </w:r>
          </w:p>
        </w:tc>
        <w:tc>
          <w:tcPr>
            <w:tcW w:w="2551" w:type="dxa"/>
            <w:vAlign w:val="center"/>
          </w:tcPr>
          <w:p>
            <w:pPr>
              <w:pStyle w:val="12"/>
            </w:pPr>
            <w:r>
              <w:t>8.22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3.51</w:t>
            </w:r>
          </w:p>
        </w:tc>
        <w:tc>
          <w:tcPr>
            <w:tcW w:w="2551" w:type="dxa"/>
            <w:vAlign w:val="center"/>
          </w:tcPr>
          <w:p>
            <w:pPr>
              <w:pStyle w:val="12"/>
            </w:pPr>
            <w:r>
              <w:t>3.51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0.88</w:t>
            </w:r>
          </w:p>
        </w:tc>
        <w:tc>
          <w:tcPr>
            <w:tcW w:w="2551" w:type="dxa"/>
            <w:vAlign w:val="center"/>
          </w:tcPr>
          <w:p>
            <w:pPr>
              <w:pStyle w:val="12"/>
            </w:pPr>
            <w:r>
              <w:t>0.88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18.10</w:t>
            </w:r>
          </w:p>
        </w:tc>
        <w:tc>
          <w:tcPr>
            <w:tcW w:w="2551" w:type="dxa"/>
            <w:vAlign w:val="center"/>
          </w:tcPr>
          <w:p>
            <w:pPr>
              <w:pStyle w:val="12"/>
            </w:pPr>
            <w:r>
              <w:t>18.10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4.15</w:t>
            </w:r>
          </w:p>
        </w:tc>
        <w:tc>
          <w:tcPr>
            <w:tcW w:w="2551" w:type="dxa"/>
            <w:vAlign w:val="center"/>
          </w:tcPr>
          <w:p>
            <w:pPr>
              <w:pStyle w:val="12"/>
            </w:pPr>
            <w:r>
              <w:t>4.15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10.68</w:t>
            </w:r>
          </w:p>
        </w:tc>
        <w:tc>
          <w:tcPr>
            <w:tcW w:w="2551" w:type="dxa"/>
            <w:vAlign w:val="center"/>
          </w:tcPr>
          <w:p>
            <w:pPr>
              <w:pStyle w:val="12"/>
            </w:pPr>
          </w:p>
        </w:tc>
        <w:tc>
          <w:tcPr>
            <w:tcW w:w="2552" w:type="dxa"/>
            <w:vAlign w:val="center"/>
          </w:tcPr>
          <w:p>
            <w:pPr>
              <w:pStyle w:val="12"/>
            </w:pPr>
            <w: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4.20</w:t>
            </w:r>
          </w:p>
        </w:tc>
        <w:tc>
          <w:tcPr>
            <w:tcW w:w="2551" w:type="dxa"/>
            <w:vAlign w:val="center"/>
          </w:tcPr>
          <w:p>
            <w:pPr>
              <w:pStyle w:val="12"/>
            </w:pPr>
          </w:p>
        </w:tc>
        <w:tc>
          <w:tcPr>
            <w:tcW w:w="2552"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0.28</w:t>
            </w:r>
          </w:p>
        </w:tc>
        <w:tc>
          <w:tcPr>
            <w:tcW w:w="2551" w:type="dxa"/>
            <w:vAlign w:val="center"/>
          </w:tcPr>
          <w:p>
            <w:pPr>
              <w:pStyle w:val="12"/>
            </w:pPr>
          </w:p>
        </w:tc>
        <w:tc>
          <w:tcPr>
            <w:tcW w:w="2552" w:type="dxa"/>
            <w:vAlign w:val="center"/>
          </w:tcPr>
          <w:p>
            <w:pPr>
              <w:pStyle w:val="12"/>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0.48</w:t>
            </w:r>
          </w:p>
        </w:tc>
        <w:tc>
          <w:tcPr>
            <w:tcW w:w="2551" w:type="dxa"/>
            <w:vAlign w:val="center"/>
          </w:tcPr>
          <w:p>
            <w:pPr>
              <w:pStyle w:val="12"/>
            </w:pPr>
          </w:p>
        </w:tc>
        <w:tc>
          <w:tcPr>
            <w:tcW w:w="2552"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5.72</w:t>
            </w:r>
          </w:p>
        </w:tc>
        <w:tc>
          <w:tcPr>
            <w:tcW w:w="2551" w:type="dxa"/>
            <w:vAlign w:val="center"/>
          </w:tcPr>
          <w:p>
            <w:pPr>
              <w:pStyle w:val="12"/>
            </w:pPr>
          </w:p>
        </w:tc>
        <w:tc>
          <w:tcPr>
            <w:tcW w:w="2552" w:type="dxa"/>
            <w:vAlign w:val="center"/>
          </w:tcPr>
          <w:p>
            <w:pPr>
              <w:pStyle w:val="12"/>
            </w:pPr>
            <w:r>
              <w:t>5.72</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ascii="方正小标宋_GBK" w:hAnsi="方正小标宋_GBK" w:eastAsia="方正小标宋_GBK" w:cs="方正小标宋_GBK"/>
                <w:sz w:val="24"/>
                <w:szCs w:val="24"/>
                <w:lang w:val="en-US" w:eastAsia="zh-CN" w:bidi="ar-SA"/>
              </w:rPr>
            </w:pPr>
            <w:r>
              <w:t>430</w:t>
            </w:r>
            <w:r>
              <w:rPr>
                <w:rFonts w:hint="eastAsia"/>
                <w:lang w:val="en-US" w:eastAsia="zh-CN"/>
              </w:rPr>
              <w:t>001</w:t>
            </w:r>
            <w:r>
              <w:t>平乡县机关事务管理局</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rPr>
                <w:rFonts w:ascii="方正小标宋_GBK" w:hAnsi="方正小标宋_GBK" w:eastAsia="方正小标宋_GBK" w:cs="方正小标宋_GBK"/>
                <w:sz w:val="24"/>
                <w:szCs w:val="24"/>
                <w:lang w:val="en-US" w:eastAsia="uk-UA" w:bidi="ar-S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方正书宋_GBK"/>
                <w:lang w:val="en-US" w:eastAsia="zh-CN"/>
              </w:rPr>
            </w:pPr>
            <w:r>
              <w:rPr>
                <w:rFonts w:hint="eastAsia"/>
                <w:lang w:val="en-US" w:eastAsia="zh-CN"/>
              </w:rPr>
              <w:t>63.00</w:t>
            </w:r>
          </w:p>
        </w:tc>
        <w:tc>
          <w:tcPr>
            <w:tcW w:w="2381" w:type="dxa"/>
            <w:vAlign w:val="center"/>
          </w:tcPr>
          <w:p>
            <w:pPr>
              <w:pStyle w:val="16"/>
              <w:rPr>
                <w:rFonts w:hint="default" w:eastAsia="方正书宋_GBK"/>
                <w:lang w:val="en-US" w:eastAsia="zh-CN"/>
              </w:rPr>
            </w:pPr>
            <w:r>
              <w:rPr>
                <w:rFonts w:hint="eastAsia"/>
                <w:lang w:val="en-US" w:eastAsia="zh-CN"/>
              </w:rPr>
              <w:t>63.00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rPr>
                <w:rFonts w:hint="default" w:eastAsia="方正书宋_GBK"/>
                <w:lang w:val="en-US" w:eastAsia="zh-CN"/>
              </w:rPr>
            </w:pPr>
            <w:r>
              <w:rPr>
                <w:rFonts w:hint="eastAsia"/>
                <w:lang w:val="en-US" w:eastAsia="zh-CN"/>
              </w:rPr>
              <w:t>63.00</w:t>
            </w:r>
          </w:p>
        </w:tc>
        <w:tc>
          <w:tcPr>
            <w:tcW w:w="2381" w:type="dxa"/>
            <w:vAlign w:val="center"/>
          </w:tcPr>
          <w:p>
            <w:pPr>
              <w:pStyle w:val="12"/>
              <w:rPr>
                <w:rFonts w:hint="default" w:eastAsia="方正书宋_GBK"/>
                <w:lang w:val="en-US" w:eastAsia="zh-CN"/>
              </w:rPr>
            </w:pPr>
            <w:r>
              <w:rPr>
                <w:rFonts w:hint="eastAsia"/>
                <w:lang w:val="en-US" w:eastAsia="zh-CN"/>
              </w:rPr>
              <w:t>63.00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45.00</w:t>
            </w:r>
          </w:p>
        </w:tc>
        <w:tc>
          <w:tcPr>
            <w:tcW w:w="2381" w:type="dxa"/>
            <w:vAlign w:val="center"/>
          </w:tcPr>
          <w:p>
            <w:pPr>
              <w:pStyle w:val="12"/>
            </w:pPr>
            <w:r>
              <w:t>45.00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both"/>
        <w:outlineLvl w:val="0"/>
        <w:sectPr>
          <w:pgSz w:w="16840" w:h="11900" w:orient="landscape"/>
          <w:pgMar w:top="1361" w:right="1020" w:bottom="1361" w:left="1020" w:header="720" w:footer="720" w:gutter="0"/>
          <w:pgNumType w:fmt="decimal"/>
          <w:cols w:space="720" w:num="1"/>
        </w:sectPr>
      </w:pPr>
    </w:p>
    <w:p>
      <w:pPr>
        <w:jc w:val="center"/>
      </w:pPr>
      <w:r>
        <w:rPr>
          <w:rFonts w:ascii="方正小标宋_GBK" w:hAnsi="方正小标宋_GBK" w:eastAsia="方正小标宋_GBK" w:cs="方正小标宋_GBK"/>
          <w:color w:val="000000"/>
          <w:sz w:val="44"/>
        </w:rPr>
        <w:t>平乡县机关事务管理局</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w:t>
      </w:r>
      <w:r>
        <w:rPr>
          <w:rFonts w:ascii="方正小标宋_GBK" w:hAnsi="方正小标宋_GBK" w:eastAsia="方正小标宋_GBK" w:cs="方正小标宋_GBK"/>
          <w:b w:val="0"/>
          <w:color w:val="000000"/>
          <w:sz w:val="44"/>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按照《预算法》、《地方预决算公开操作规程》和《关于进一步推进预算公开工作的实施意见》规定，现将平乡县机关事务管理局</w:t>
      </w:r>
      <w:r>
        <w:rPr>
          <w:rFonts w:hint="eastAsia" w:eastAsia="方正仿宋_GBK"/>
          <w:color w:val="000000"/>
          <w:sz w:val="28"/>
          <w:lang w:eastAsia="zh-CN"/>
        </w:rPr>
        <w:t>本级</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一、单位职责及机构设置情况</w:t>
      </w:r>
      <w:bookmarkEnd w:id="10"/>
    </w:p>
    <w:p>
      <w:pPr>
        <w:ind w:firstLine="640"/>
      </w:pPr>
      <w:r>
        <w:rPr>
          <w:rFonts w:ascii="方正楷体_GBK" w:hAnsi="方正楷体_GBK" w:eastAsia="方正楷体_GBK" w:cs="方正楷体_GBK"/>
          <w:b/>
          <w:color w:val="000000"/>
          <w:sz w:val="32"/>
        </w:rPr>
        <w:t>单位职责：</w:t>
      </w:r>
    </w:p>
    <w:p>
      <w:pPr>
        <w:pStyle w:val="18"/>
      </w:pPr>
      <w:r>
        <w:t>（一）负责</w:t>
      </w:r>
      <w:r>
        <w:rPr>
          <w:rFonts w:hint="eastAsia"/>
          <w:lang w:eastAsia="zh-CN"/>
        </w:rPr>
        <w:t>四个集中办公区</w:t>
      </w:r>
      <w:r>
        <w:t>房地产的管理、修缮、规划、建设和开发以及其它固定资产的管理；负责四大机关的水、电、暖供应和卫生、安全以及院落花草树木的栽植、养护。</w:t>
      </w:r>
    </w:p>
    <w:p>
      <w:pPr>
        <w:pStyle w:val="18"/>
      </w:pPr>
      <w:r>
        <w:t>（二）负责四大机关干部职工生活服务，搞好干部职工伙房管理。</w:t>
      </w:r>
    </w:p>
    <w:p>
      <w:pPr>
        <w:pStyle w:val="18"/>
      </w:pPr>
      <w:r>
        <w:t>（三）搞好全县大型会议和接待活动的预算管理。</w:t>
      </w:r>
    </w:p>
    <w:p>
      <w:pPr>
        <w:pStyle w:val="18"/>
      </w:pPr>
      <w:r>
        <w:t>（四)积极创造条件兴办实体，创收节支弥补经费不足，改善办公条件。</w:t>
      </w:r>
    </w:p>
    <w:p>
      <w:pPr>
        <w:pStyle w:val="18"/>
      </w:pPr>
      <w:r>
        <w:t>（五）完成领导交办的其它事项。</w:t>
      </w:r>
    </w:p>
    <w:p>
      <w:pPr>
        <w:pStyle w:val="18"/>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平乡县机关事务管理局本级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p>
    <w:p>
      <w:pPr>
        <w:pStyle w:val="19"/>
      </w:pPr>
      <w:r>
        <w:t>1、收入说明</w:t>
      </w:r>
    </w:p>
    <w:p>
      <w:pPr>
        <w:pStyle w:val="19"/>
      </w:pPr>
      <w:r>
        <w:t>反映本</w:t>
      </w:r>
      <w:r>
        <w:rPr>
          <w:rFonts w:hint="eastAsia"/>
          <w:lang w:eastAsia="zh-CN"/>
        </w:rPr>
        <w:t>单位</w:t>
      </w:r>
      <w:r>
        <w:t>当年全部收入。2022年预算收入1653.32万元，其中：一般公共预算收入1653.32万元，基金预算收入0万元，财政专户核拨收入0万元，其他来源收入0万元，上年结转0万元。</w:t>
      </w:r>
    </w:p>
    <w:p>
      <w:pPr>
        <w:pStyle w:val="19"/>
      </w:pPr>
      <w:r>
        <w:t>2、支出说明</w:t>
      </w:r>
    </w:p>
    <w:p>
      <w:pPr>
        <w:pStyle w:val="19"/>
      </w:pPr>
      <w:r>
        <w:t>收支预算总表支出栏、基本支出表、项目支出表按经济分类和支出功能分类科目编制，反映平乡县机关事务管理局</w:t>
      </w:r>
      <w:r>
        <w:rPr>
          <w:rFonts w:hint="eastAsia"/>
          <w:lang w:eastAsia="zh-CN"/>
        </w:rPr>
        <w:t>（本级）</w:t>
      </w:r>
      <w:r>
        <w:t>年度</w:t>
      </w:r>
      <w:r>
        <w:rPr>
          <w:rFonts w:hint="eastAsia"/>
          <w:lang w:eastAsia="zh-CN"/>
        </w:rPr>
        <w:t>单位</w:t>
      </w:r>
      <w:r>
        <w:t>预算中支出预算的总体情况。2022年支出预算为1653.32万元，其中基本支出317.41万元，包括人员经费306.73万元和日常公用经费10.68万元；项目支出1335.91万元，主要为办公区日常维修维护、办公区水电暖支出、办公区物业费支出、人员公用经费等。</w:t>
      </w:r>
    </w:p>
    <w:p>
      <w:pPr>
        <w:pStyle w:val="19"/>
      </w:pPr>
      <w:r>
        <w:t>3、比上年增减情况</w:t>
      </w:r>
    </w:p>
    <w:p>
      <w:pPr>
        <w:pStyle w:val="19"/>
      </w:pPr>
      <w:r>
        <w:t>2022年预算收支安排1653.32万元，较2021年增加134.82万元，其中：基本支出增加94.49万元，主要是人员增加以及人员工资调整；项目支出增加40.33万元，主要是项目资金安排增加。</w:t>
      </w: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pStyle w:val="20"/>
      </w:pPr>
      <w:r>
        <w:t>2022年，我</w:t>
      </w:r>
      <w:r>
        <w:rPr>
          <w:rFonts w:hint="eastAsia"/>
          <w:lang w:eastAsia="zh-CN"/>
        </w:rPr>
        <w:t>单位</w:t>
      </w:r>
      <w:r>
        <w:t>机关运行经费共计安排10.68万元，主要用于保证机关正常运转的办公费、车补、工会经费、福利费等支出。</w:t>
      </w: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1"/>
      </w:pPr>
      <w:r>
        <w:t>2022年，我</w:t>
      </w:r>
      <w:r>
        <w:rPr>
          <w:rFonts w:hint="eastAsia"/>
          <w:lang w:eastAsia="zh-CN"/>
        </w:rPr>
        <w:t>单位</w:t>
      </w:r>
      <w:r>
        <w:t>财政拨款“三公”经费预算安排63万元，其中：因公出国（境）费0万元；公务用车购置及运维费63万元（其中：公务用车购置费18万元，公务用车运行维护费45万元）；公务接待费0万元。“三公”经费比上年增加18万元，因为保证公务用车平台的正常运转，今年需购置公车一辆。</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tabs>
          <w:tab w:val="center" w:pos="7400"/>
        </w:tabs>
        <w:bidi w:val="0"/>
        <w:jc w:val="left"/>
        <w:rPr>
          <w:rFonts w:hint="eastAsia" w:eastAsia="宋体"/>
          <w:lang w:val="en-US" w:eastAsia="zh-CN"/>
        </w:rPr>
        <w:sectPr>
          <w:pgSz w:w="16840" w:h="11900" w:orient="landscape"/>
          <w:pgMar w:top="1361" w:right="1020" w:bottom="1361" w:left="1020" w:header="720" w:footer="720" w:gutter="0"/>
          <w:pgNumType w:fmt="decimal"/>
          <w:cols w:space="720" w:num="1"/>
        </w:sectPr>
      </w:pPr>
    </w:p>
    <w:p>
      <w:pPr>
        <w:rPr>
          <w:rFonts w:ascii="方正仿宋_GBK" w:hAnsi="方正仿宋_GBK" w:eastAsia="方正仿宋_GBK" w:cs="方正仿宋_GBK"/>
          <w:b/>
          <w:color w:val="000000"/>
          <w:sz w:val="28"/>
        </w:rPr>
      </w:pPr>
    </w:p>
    <w:p>
      <w:r>
        <w:rPr>
          <w:rFonts w:ascii="方正仿宋_GBK" w:hAnsi="方正仿宋_GBK" w:eastAsia="方正仿宋_GBK" w:cs="方正仿宋_GBK"/>
          <w:b/>
          <w:color w:val="000000"/>
          <w:sz w:val="28"/>
        </w:rPr>
        <w:t>1、第二行政区供暖改造项目yp绩效目标表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1.提升第二行政办公区的办公环境</w:t>
            </w:r>
          </w:p>
          <w:p>
            <w:pPr>
              <w:pStyle w:val="13"/>
            </w:pPr>
            <w:r>
              <w:t>2.保障干部职工的办公条件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工程面积（平方）</w:t>
            </w:r>
          </w:p>
        </w:tc>
        <w:tc>
          <w:tcPr>
            <w:tcW w:w="2835" w:type="dxa"/>
            <w:vAlign w:val="center"/>
          </w:tcPr>
          <w:p>
            <w:pPr>
              <w:pStyle w:val="13"/>
            </w:pPr>
            <w:r>
              <w:t>施工项目工程面积</w:t>
            </w:r>
          </w:p>
        </w:tc>
        <w:tc>
          <w:tcPr>
            <w:tcW w:w="2551" w:type="dxa"/>
            <w:vAlign w:val="center"/>
          </w:tcPr>
          <w:p>
            <w:pPr>
              <w:pStyle w:val="13"/>
            </w:pPr>
            <w:r>
              <w:t>≥6417平方米</w:t>
            </w:r>
          </w:p>
        </w:tc>
        <w:tc>
          <w:tcPr>
            <w:tcW w:w="2268" w:type="dxa"/>
            <w:vAlign w:val="center"/>
          </w:tcPr>
          <w:p>
            <w:pPr>
              <w:pStyle w:val="13"/>
            </w:pPr>
            <w:r>
              <w:t>根据测量面积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2835" w:type="dxa"/>
            <w:vAlign w:val="center"/>
          </w:tcPr>
          <w:p>
            <w:pPr>
              <w:pStyle w:val="13"/>
            </w:pPr>
            <w:r>
              <w:t>通过验收的工程量占建设、改造、修缮总量的比率</w:t>
            </w:r>
          </w:p>
        </w:tc>
        <w:tc>
          <w:tcPr>
            <w:tcW w:w="2551" w:type="dxa"/>
            <w:vAlign w:val="center"/>
          </w:tcPr>
          <w:p>
            <w:pPr>
              <w:pStyle w:val="13"/>
            </w:pPr>
            <w:r>
              <w:t>100%</w:t>
            </w:r>
          </w:p>
        </w:tc>
        <w:tc>
          <w:tcPr>
            <w:tcW w:w="2268" w:type="dxa"/>
            <w:vAlign w:val="center"/>
          </w:tcPr>
          <w:p>
            <w:pPr>
              <w:pStyle w:val="13"/>
            </w:pPr>
            <w:r>
              <w:t>根据质量检测标准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工程按期完成率（%）</w:t>
            </w:r>
          </w:p>
        </w:tc>
        <w:tc>
          <w:tcPr>
            <w:tcW w:w="2835" w:type="dxa"/>
            <w:vAlign w:val="center"/>
          </w:tcPr>
          <w:p>
            <w:pPr>
              <w:pStyle w:val="13"/>
            </w:pPr>
            <w:r>
              <w:t>按期完成的工程量占总工程量的比率</w:t>
            </w:r>
          </w:p>
        </w:tc>
        <w:tc>
          <w:tcPr>
            <w:tcW w:w="2551" w:type="dxa"/>
            <w:vAlign w:val="center"/>
          </w:tcPr>
          <w:p>
            <w:pPr>
              <w:pStyle w:val="13"/>
            </w:pPr>
            <w:r>
              <w:t>≥95%</w:t>
            </w:r>
          </w:p>
        </w:tc>
        <w:tc>
          <w:tcPr>
            <w:tcW w:w="2268" w:type="dxa"/>
            <w:vAlign w:val="center"/>
          </w:tcPr>
          <w:p>
            <w:pPr>
              <w:pStyle w:val="13"/>
            </w:pPr>
            <w:r>
              <w:t>根据工程验收情况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平均每平方米维修费用（元/平方米）</w:t>
            </w:r>
          </w:p>
        </w:tc>
        <w:tc>
          <w:tcPr>
            <w:tcW w:w="2835" w:type="dxa"/>
            <w:vAlign w:val="center"/>
          </w:tcPr>
          <w:p>
            <w:pPr>
              <w:pStyle w:val="13"/>
            </w:pPr>
            <w:r>
              <w:t>平均每平方米维修费用</w:t>
            </w:r>
          </w:p>
        </w:tc>
        <w:tc>
          <w:tcPr>
            <w:tcW w:w="2551" w:type="dxa"/>
            <w:vAlign w:val="center"/>
          </w:tcPr>
          <w:p>
            <w:pPr>
              <w:pStyle w:val="13"/>
            </w:pPr>
            <w:r>
              <w:t>≤226元/平方米</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长远保障能力</w:t>
            </w:r>
          </w:p>
        </w:tc>
        <w:tc>
          <w:tcPr>
            <w:tcW w:w="2835" w:type="dxa"/>
            <w:vAlign w:val="center"/>
          </w:tcPr>
          <w:p>
            <w:pPr>
              <w:pStyle w:val="13"/>
            </w:pPr>
            <w:r>
              <w:t>保障相关业务未来10年内正常运转</w:t>
            </w:r>
          </w:p>
        </w:tc>
        <w:tc>
          <w:tcPr>
            <w:tcW w:w="2551" w:type="dxa"/>
            <w:vAlign w:val="center"/>
          </w:tcPr>
          <w:p>
            <w:pPr>
              <w:pStyle w:val="13"/>
            </w:pPr>
            <w:r>
              <w:t>保障正常运转</w:t>
            </w:r>
          </w:p>
        </w:tc>
        <w:tc>
          <w:tcPr>
            <w:tcW w:w="2268" w:type="dxa"/>
            <w:vAlign w:val="center"/>
          </w:tcPr>
          <w:p>
            <w:pPr>
              <w:pStyle w:val="13"/>
            </w:pPr>
            <w:r>
              <w:t>根据审核意见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2835" w:type="dxa"/>
            <w:vAlign w:val="center"/>
          </w:tcPr>
          <w:p>
            <w:pPr>
              <w:pStyle w:val="13"/>
            </w:pPr>
            <w:r>
              <w:t>改造工程对公共服务水平的提升情况</w:t>
            </w:r>
          </w:p>
        </w:tc>
        <w:tc>
          <w:tcPr>
            <w:tcW w:w="2551" w:type="dxa"/>
            <w:vAlign w:val="center"/>
          </w:tcPr>
          <w:p>
            <w:pPr>
              <w:pStyle w:val="13"/>
            </w:pPr>
            <w:r>
              <w:t>≥95%</w:t>
            </w:r>
          </w:p>
        </w:tc>
        <w:tc>
          <w:tcPr>
            <w:tcW w:w="2268" w:type="dxa"/>
            <w:vAlign w:val="center"/>
          </w:tcPr>
          <w:p>
            <w:pPr>
              <w:pStyle w:val="13"/>
            </w:pPr>
            <w:r>
              <w:t>根据审核意见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隐患消除情况</w:t>
            </w:r>
          </w:p>
        </w:tc>
        <w:tc>
          <w:tcPr>
            <w:tcW w:w="2835" w:type="dxa"/>
            <w:vAlign w:val="center"/>
          </w:tcPr>
          <w:p>
            <w:pPr>
              <w:pStyle w:val="13"/>
            </w:pPr>
            <w:r>
              <w:t>通过维护改造，消除安全隐患的项数或情况</w:t>
            </w:r>
          </w:p>
        </w:tc>
        <w:tc>
          <w:tcPr>
            <w:tcW w:w="2551" w:type="dxa"/>
            <w:vAlign w:val="center"/>
          </w:tcPr>
          <w:p>
            <w:pPr>
              <w:pStyle w:val="13"/>
            </w:pPr>
            <w:r>
              <w:t>≥95%</w:t>
            </w:r>
          </w:p>
        </w:tc>
        <w:tc>
          <w:tcPr>
            <w:tcW w:w="2268" w:type="dxa"/>
            <w:vAlign w:val="center"/>
          </w:tcPr>
          <w:p>
            <w:pPr>
              <w:pStyle w:val="13"/>
            </w:pPr>
            <w:r>
              <w:t>根据审核意见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受益群体调查中，满意和较满意的人数占全部调查人数的比率</w:t>
            </w:r>
          </w:p>
        </w:tc>
        <w:tc>
          <w:tcPr>
            <w:tcW w:w="2551" w:type="dxa"/>
            <w:vAlign w:val="center"/>
          </w:tcPr>
          <w:p>
            <w:pPr>
              <w:pStyle w:val="13"/>
            </w:pPr>
            <w:r>
              <w:t>≥95%</w:t>
            </w:r>
          </w:p>
        </w:tc>
        <w:tc>
          <w:tcPr>
            <w:tcW w:w="2268" w:type="dxa"/>
            <w:vAlign w:val="center"/>
          </w:tcPr>
          <w:p>
            <w:pPr>
              <w:pStyle w:val="13"/>
            </w:pPr>
            <w:r>
              <w:t>对调查意见梳理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根据反馈意见与建议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2、第三行政办公区中央空调维保费及电梯维保费项目绩效目标表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1.对设备进行正常的维护保养，使其能正常的工作，改善办公环境，使公共集中办公区保持温度适中。</w:t>
            </w:r>
            <w:r>
              <w:tab/>
            </w:r>
            <w:r>
              <w:tab/>
            </w:r>
            <w:r>
              <w:tab/>
            </w:r>
            <w:r>
              <w:tab/>
            </w:r>
            <w:r>
              <w:tab/>
            </w:r>
            <w:r>
              <w:tab/>
            </w:r>
            <w:r>
              <w:tab/>
            </w:r>
          </w:p>
          <w:p>
            <w:pPr>
              <w:pStyle w:val="13"/>
            </w:pPr>
          </w:p>
          <w:p>
            <w:pPr>
              <w:pStyle w:val="13"/>
            </w:pPr>
            <w:r>
              <w:t>2.机关事务管理局委托一家有资质的电梯维保公司对电梯进行维保，电梯维保是指定期对运行的电梯部件进行检查、加油、清除积尘、调试安全装置的工作。包括电梯曳引钢丝绳的无损检测与润滑维护等。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每年检查空调工作状态的次数</w:t>
            </w:r>
          </w:p>
        </w:tc>
        <w:tc>
          <w:tcPr>
            <w:tcW w:w="2835" w:type="dxa"/>
            <w:vAlign w:val="center"/>
          </w:tcPr>
          <w:p>
            <w:pPr>
              <w:pStyle w:val="13"/>
            </w:pPr>
            <w:r>
              <w:t>组织每年检查空调工作状态的次数</w:t>
            </w:r>
          </w:p>
        </w:tc>
        <w:tc>
          <w:tcPr>
            <w:tcW w:w="2551" w:type="dxa"/>
            <w:vAlign w:val="center"/>
          </w:tcPr>
          <w:p>
            <w:pPr>
              <w:pStyle w:val="13"/>
            </w:pPr>
            <w:r>
              <w:t>≥12次</w:t>
            </w:r>
          </w:p>
        </w:tc>
        <w:tc>
          <w:tcPr>
            <w:tcW w:w="2268"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年度任务完成率</w:t>
            </w:r>
          </w:p>
        </w:tc>
        <w:tc>
          <w:tcPr>
            <w:tcW w:w="2835" w:type="dxa"/>
            <w:vAlign w:val="center"/>
          </w:tcPr>
          <w:p>
            <w:pPr>
              <w:pStyle w:val="13"/>
            </w:pPr>
            <w:r>
              <w:t>年度任务完成率</w:t>
            </w:r>
          </w:p>
        </w:tc>
        <w:tc>
          <w:tcPr>
            <w:tcW w:w="2551" w:type="dxa"/>
            <w:vAlign w:val="center"/>
          </w:tcPr>
          <w:p>
            <w:pPr>
              <w:pStyle w:val="13"/>
            </w:pPr>
            <w:r>
              <w:t>100%</w:t>
            </w:r>
          </w:p>
        </w:tc>
        <w:tc>
          <w:tcPr>
            <w:tcW w:w="2268"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支付时效及时率</w:t>
            </w:r>
          </w:p>
        </w:tc>
        <w:tc>
          <w:tcPr>
            <w:tcW w:w="2835" w:type="dxa"/>
            <w:vAlign w:val="center"/>
          </w:tcPr>
          <w:p>
            <w:pPr>
              <w:pStyle w:val="13"/>
            </w:pPr>
            <w:r>
              <w:t>资金按时支付及时率</w:t>
            </w:r>
          </w:p>
        </w:tc>
        <w:tc>
          <w:tcPr>
            <w:tcW w:w="2551" w:type="dxa"/>
            <w:vAlign w:val="center"/>
          </w:tcPr>
          <w:p>
            <w:pPr>
              <w:pStyle w:val="13"/>
            </w:pPr>
            <w:r>
              <w:t>100%</w:t>
            </w:r>
          </w:p>
        </w:tc>
        <w:tc>
          <w:tcPr>
            <w:tcW w:w="2268"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本年度中央空调维保费</w:t>
            </w:r>
          </w:p>
        </w:tc>
        <w:tc>
          <w:tcPr>
            <w:tcW w:w="2835" w:type="dxa"/>
            <w:vAlign w:val="center"/>
          </w:tcPr>
          <w:p>
            <w:pPr>
              <w:pStyle w:val="13"/>
            </w:pPr>
            <w:r>
              <w:t>本年度中央空调维保费</w:t>
            </w:r>
          </w:p>
        </w:tc>
        <w:tc>
          <w:tcPr>
            <w:tcW w:w="2551" w:type="dxa"/>
            <w:vAlign w:val="center"/>
          </w:tcPr>
          <w:p>
            <w:pPr>
              <w:pStyle w:val="13"/>
            </w:pPr>
            <w:r>
              <w:t>100000元</w:t>
            </w:r>
          </w:p>
        </w:tc>
        <w:tc>
          <w:tcPr>
            <w:tcW w:w="2268"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本年度电梯维保费</w:t>
            </w:r>
          </w:p>
        </w:tc>
        <w:tc>
          <w:tcPr>
            <w:tcW w:w="2835" w:type="dxa"/>
            <w:vAlign w:val="center"/>
          </w:tcPr>
          <w:p>
            <w:pPr>
              <w:pStyle w:val="13"/>
            </w:pPr>
            <w:r>
              <w:t>本年度电梯维保费</w:t>
            </w:r>
          </w:p>
        </w:tc>
        <w:tc>
          <w:tcPr>
            <w:tcW w:w="2551" w:type="dxa"/>
            <w:vAlign w:val="center"/>
          </w:tcPr>
          <w:p>
            <w:pPr>
              <w:pStyle w:val="13"/>
            </w:pPr>
            <w:r>
              <w:t>20000元</w:t>
            </w:r>
          </w:p>
        </w:tc>
        <w:tc>
          <w:tcPr>
            <w:tcW w:w="2268" w:type="dxa"/>
            <w:vAlign w:val="center"/>
          </w:tcPr>
          <w:p>
            <w:pPr>
              <w:pStyle w:val="13"/>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做好日常维护</w:t>
            </w:r>
          </w:p>
        </w:tc>
        <w:tc>
          <w:tcPr>
            <w:tcW w:w="2835" w:type="dxa"/>
            <w:vAlign w:val="center"/>
          </w:tcPr>
          <w:p>
            <w:pPr>
              <w:pStyle w:val="13"/>
            </w:pPr>
            <w:r>
              <w:t>做好空调日常维护</w:t>
            </w:r>
          </w:p>
        </w:tc>
        <w:tc>
          <w:tcPr>
            <w:tcW w:w="2551" w:type="dxa"/>
            <w:vAlign w:val="center"/>
          </w:tcPr>
          <w:p>
            <w:pPr>
              <w:pStyle w:val="13"/>
            </w:pPr>
            <w:r>
              <w:t>日常维护按时完成</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故障排除率</w:t>
            </w:r>
          </w:p>
        </w:tc>
        <w:tc>
          <w:tcPr>
            <w:tcW w:w="2835" w:type="dxa"/>
            <w:vAlign w:val="center"/>
          </w:tcPr>
          <w:p>
            <w:pPr>
              <w:pStyle w:val="13"/>
            </w:pPr>
            <w:r>
              <w:t>排除故障次数占故障发生次数的比率</w:t>
            </w:r>
          </w:p>
        </w:tc>
        <w:tc>
          <w:tcPr>
            <w:tcW w:w="2551" w:type="dxa"/>
            <w:vAlign w:val="center"/>
          </w:tcPr>
          <w:p>
            <w:pPr>
              <w:pStyle w:val="13"/>
            </w:pPr>
            <w:r>
              <w:t>100%</w:t>
            </w:r>
          </w:p>
        </w:tc>
        <w:tc>
          <w:tcPr>
            <w:tcW w:w="2268" w:type="dxa"/>
            <w:vAlign w:val="center"/>
          </w:tcPr>
          <w:p>
            <w:pPr>
              <w:pStyle w:val="13"/>
            </w:pPr>
            <w:r>
              <w:t>根据故障排除情况与故障发生次数的比率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保障集中办公区的办公环境</w:t>
            </w:r>
          </w:p>
        </w:tc>
        <w:tc>
          <w:tcPr>
            <w:tcW w:w="2835" w:type="dxa"/>
            <w:vAlign w:val="center"/>
          </w:tcPr>
          <w:p>
            <w:pPr>
              <w:pStyle w:val="13"/>
            </w:pPr>
            <w:r>
              <w:t>保障集中办公区的办公环境</w:t>
            </w:r>
          </w:p>
        </w:tc>
        <w:tc>
          <w:tcPr>
            <w:tcW w:w="2551" w:type="dxa"/>
            <w:vAlign w:val="center"/>
          </w:tcPr>
          <w:p>
            <w:pPr>
              <w:pStyle w:val="13"/>
            </w:pPr>
            <w:r>
              <w:t>保障运转</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职工满意度</w:t>
            </w:r>
          </w:p>
        </w:tc>
        <w:tc>
          <w:tcPr>
            <w:tcW w:w="2835" w:type="dxa"/>
            <w:vAlign w:val="center"/>
          </w:tcPr>
          <w:p>
            <w:pPr>
              <w:pStyle w:val="13"/>
            </w:pPr>
            <w:r>
              <w:t>职工满意度</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3、公车平台专项（含车辆购置）绩效目标表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1.及时缴纳保险费等相关费用，保障公务用车的正常出行。</w:t>
            </w:r>
          </w:p>
          <w:p>
            <w:pPr>
              <w:pStyle w:val="13"/>
            </w:pPr>
            <w:r>
              <w:t>2.减少资源浪费，提高公务用车的使用效率，保障公务出行。对公务用车及时的维修维护，增加其使用寿命。</w:t>
            </w:r>
          </w:p>
          <w:p>
            <w:pPr>
              <w:pStyle w:val="13"/>
            </w:pPr>
            <w:r>
              <w:t>3.购置公务用车，保障工作正常运转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保障公务用车数量</w:t>
            </w:r>
          </w:p>
        </w:tc>
        <w:tc>
          <w:tcPr>
            <w:tcW w:w="2835" w:type="dxa"/>
            <w:vAlign w:val="center"/>
          </w:tcPr>
          <w:p>
            <w:pPr>
              <w:pStyle w:val="13"/>
            </w:pPr>
            <w:r>
              <w:t>平台上正常使用公务用车数量</w:t>
            </w:r>
          </w:p>
        </w:tc>
        <w:tc>
          <w:tcPr>
            <w:tcW w:w="2551" w:type="dxa"/>
            <w:vAlign w:val="center"/>
          </w:tcPr>
          <w:p>
            <w:pPr>
              <w:pStyle w:val="13"/>
            </w:pPr>
            <w:r>
              <w:t>≥24辆</w:t>
            </w:r>
          </w:p>
        </w:tc>
        <w:tc>
          <w:tcPr>
            <w:tcW w:w="2268" w:type="dxa"/>
            <w:vAlign w:val="center"/>
          </w:tcPr>
          <w:p>
            <w:pPr>
              <w:pStyle w:val="13"/>
            </w:pPr>
            <w:r>
              <w:t>根据公车平台车辆数量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平台正常运行车辆完好率</w:t>
            </w:r>
          </w:p>
        </w:tc>
        <w:tc>
          <w:tcPr>
            <w:tcW w:w="2835" w:type="dxa"/>
            <w:vAlign w:val="center"/>
          </w:tcPr>
          <w:p>
            <w:pPr>
              <w:pStyle w:val="13"/>
            </w:pPr>
            <w:r>
              <w:t>平台正常运行车辆完好率</w:t>
            </w:r>
          </w:p>
        </w:tc>
        <w:tc>
          <w:tcPr>
            <w:tcW w:w="2551" w:type="dxa"/>
            <w:vAlign w:val="center"/>
          </w:tcPr>
          <w:p>
            <w:pPr>
              <w:pStyle w:val="13"/>
            </w:pPr>
            <w:r>
              <w:t>≥95%</w:t>
            </w:r>
          </w:p>
        </w:tc>
        <w:tc>
          <w:tcPr>
            <w:tcW w:w="2268" w:type="dxa"/>
            <w:vAlign w:val="center"/>
          </w:tcPr>
          <w:p>
            <w:pPr>
              <w:pStyle w:val="13"/>
            </w:pPr>
            <w:r>
              <w:t>平台管理规定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各项费用缴纳及时率</w:t>
            </w:r>
          </w:p>
        </w:tc>
        <w:tc>
          <w:tcPr>
            <w:tcW w:w="2835" w:type="dxa"/>
            <w:vAlign w:val="center"/>
          </w:tcPr>
          <w:p>
            <w:pPr>
              <w:pStyle w:val="13"/>
            </w:pPr>
            <w:r>
              <w:t>按时缴纳各项费用的车辆占车辆总数的比率</w:t>
            </w:r>
          </w:p>
        </w:tc>
        <w:tc>
          <w:tcPr>
            <w:tcW w:w="2551" w:type="dxa"/>
            <w:vAlign w:val="center"/>
          </w:tcPr>
          <w:p>
            <w:pPr>
              <w:pStyle w:val="13"/>
            </w:pPr>
            <w:r>
              <w:t>100%</w:t>
            </w:r>
          </w:p>
        </w:tc>
        <w:tc>
          <w:tcPr>
            <w:tcW w:w="2268" w:type="dxa"/>
            <w:vAlign w:val="center"/>
          </w:tcPr>
          <w:p>
            <w:pPr>
              <w:pStyle w:val="13"/>
            </w:pPr>
            <w:r>
              <w:t>平台管理规定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车辆购置数量</w:t>
            </w:r>
          </w:p>
        </w:tc>
        <w:tc>
          <w:tcPr>
            <w:tcW w:w="2835" w:type="dxa"/>
            <w:vAlign w:val="center"/>
          </w:tcPr>
          <w:p>
            <w:pPr>
              <w:pStyle w:val="13"/>
            </w:pPr>
            <w:r>
              <w:t>车辆购置数量</w:t>
            </w:r>
          </w:p>
        </w:tc>
        <w:tc>
          <w:tcPr>
            <w:tcW w:w="2551" w:type="dxa"/>
            <w:vAlign w:val="center"/>
          </w:tcPr>
          <w:p>
            <w:pPr>
              <w:pStyle w:val="13"/>
            </w:pPr>
            <w:r>
              <w:t>1辆</w:t>
            </w:r>
          </w:p>
        </w:tc>
        <w:tc>
          <w:tcPr>
            <w:tcW w:w="2268"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公车平台运行费用总成本</w:t>
            </w:r>
          </w:p>
        </w:tc>
        <w:tc>
          <w:tcPr>
            <w:tcW w:w="2835" w:type="dxa"/>
            <w:vAlign w:val="center"/>
          </w:tcPr>
          <w:p>
            <w:pPr>
              <w:pStyle w:val="13"/>
            </w:pPr>
            <w:r>
              <w:t>公车平台运行费用总成本</w:t>
            </w:r>
          </w:p>
        </w:tc>
        <w:tc>
          <w:tcPr>
            <w:tcW w:w="2551" w:type="dxa"/>
            <w:vAlign w:val="center"/>
          </w:tcPr>
          <w:p>
            <w:pPr>
              <w:pStyle w:val="13"/>
            </w:pPr>
            <w:r>
              <w:t>≤500000元</w:t>
            </w:r>
          </w:p>
        </w:tc>
        <w:tc>
          <w:tcPr>
            <w:tcW w:w="2268" w:type="dxa"/>
            <w:vAlign w:val="center"/>
          </w:tcPr>
          <w:p>
            <w:pPr>
              <w:pStyle w:val="13"/>
            </w:pPr>
            <w:r>
              <w:t>年度预算</w:t>
            </w:r>
          </w:p>
          <w:p>
            <w:pPr>
              <w:pStyle w:val="13"/>
            </w:pPr>
            <w:r>
              <w:t>，维修维护清单以及保险单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车辆购置单价</w:t>
            </w:r>
          </w:p>
        </w:tc>
        <w:tc>
          <w:tcPr>
            <w:tcW w:w="2835" w:type="dxa"/>
            <w:vAlign w:val="center"/>
          </w:tcPr>
          <w:p>
            <w:pPr>
              <w:pStyle w:val="13"/>
            </w:pPr>
            <w:r>
              <w:t>新增购置车辆单价</w:t>
            </w:r>
          </w:p>
        </w:tc>
        <w:tc>
          <w:tcPr>
            <w:tcW w:w="2551" w:type="dxa"/>
            <w:vAlign w:val="center"/>
          </w:tcPr>
          <w:p>
            <w:pPr>
              <w:pStyle w:val="13"/>
            </w:pPr>
            <w:r>
              <w:t>≤20万元/辆</w:t>
            </w:r>
          </w:p>
        </w:tc>
        <w:tc>
          <w:tcPr>
            <w:tcW w:w="2268" w:type="dxa"/>
            <w:vAlign w:val="center"/>
          </w:tcPr>
          <w:p>
            <w:pPr>
              <w:pStyle w:val="13"/>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规范公务用车使用</w:t>
            </w:r>
          </w:p>
        </w:tc>
        <w:tc>
          <w:tcPr>
            <w:tcW w:w="2835" w:type="dxa"/>
            <w:vAlign w:val="center"/>
          </w:tcPr>
          <w:p>
            <w:pPr>
              <w:pStyle w:val="13"/>
            </w:pPr>
            <w:r>
              <w:t>合理使用车辆，最大限度的发挥使用率，统一制式喷涂，方便社会监督，从源头防范公车私用</w:t>
            </w:r>
          </w:p>
        </w:tc>
        <w:tc>
          <w:tcPr>
            <w:tcW w:w="2551" w:type="dxa"/>
            <w:vAlign w:val="center"/>
          </w:tcPr>
          <w:p>
            <w:pPr>
              <w:pStyle w:val="13"/>
            </w:pPr>
            <w:r>
              <w:t>防范公车私用</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可持续使用年限</w:t>
            </w:r>
          </w:p>
        </w:tc>
        <w:tc>
          <w:tcPr>
            <w:tcW w:w="2835" w:type="dxa"/>
            <w:vAlign w:val="center"/>
          </w:tcPr>
          <w:p>
            <w:pPr>
              <w:pStyle w:val="13"/>
            </w:pPr>
            <w:r>
              <w:t>可持续性使用的年限</w:t>
            </w:r>
          </w:p>
        </w:tc>
        <w:tc>
          <w:tcPr>
            <w:tcW w:w="2551" w:type="dxa"/>
            <w:vAlign w:val="center"/>
          </w:tcPr>
          <w:p>
            <w:pPr>
              <w:pStyle w:val="13"/>
            </w:pPr>
            <w:r>
              <w:t>≥8年</w:t>
            </w:r>
          </w:p>
        </w:tc>
        <w:tc>
          <w:tcPr>
            <w:tcW w:w="2268" w:type="dxa"/>
            <w:vAlign w:val="center"/>
          </w:tcPr>
          <w:p>
            <w:pPr>
              <w:pStyle w:val="13"/>
            </w:pPr>
            <w:r>
              <w:t>根据使用记录登记情况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业务保障能力持续提升</w:t>
            </w:r>
          </w:p>
        </w:tc>
        <w:tc>
          <w:tcPr>
            <w:tcW w:w="2835" w:type="dxa"/>
            <w:vAlign w:val="center"/>
          </w:tcPr>
          <w:p>
            <w:pPr>
              <w:pStyle w:val="13"/>
            </w:pPr>
            <w:r>
              <w:t>为工作人员提供良好的办公环境，保障业务开展</w:t>
            </w:r>
          </w:p>
        </w:tc>
        <w:tc>
          <w:tcPr>
            <w:tcW w:w="2551" w:type="dxa"/>
            <w:vAlign w:val="center"/>
          </w:tcPr>
          <w:p>
            <w:pPr>
              <w:pStyle w:val="13"/>
            </w:pPr>
            <w:r>
              <w:t>提升</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4、后勤保障经费项目绩效目标表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1.目标内容1做好本职工作，让广大干部职工感受到家的温暖，感受到方便与实惠。</w:t>
            </w:r>
            <w:r>
              <w:tab/>
            </w:r>
            <w:r>
              <w:tab/>
            </w:r>
            <w:r>
              <w:tab/>
            </w:r>
            <w:r>
              <w:tab/>
            </w:r>
            <w:r>
              <w:tab/>
            </w:r>
            <w:r>
              <w:tab/>
            </w:r>
            <w:r>
              <w:tab/>
            </w:r>
          </w:p>
          <w:p>
            <w:pPr>
              <w:pStyle w:val="13"/>
            </w:pPr>
          </w:p>
          <w:p>
            <w:pPr>
              <w:pStyle w:val="13"/>
            </w:pPr>
            <w:r>
              <w:t>2.目标内容2做好本职工作，保障好后勤保障工作的点点滴滴，想同志们之所想，干同志们之所需，尽心尽力为后勤保障服务。</w:t>
            </w:r>
            <w:r>
              <w:tab/>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保障食品供应月数</w:t>
            </w:r>
          </w:p>
        </w:tc>
        <w:tc>
          <w:tcPr>
            <w:tcW w:w="2835" w:type="dxa"/>
            <w:vAlign w:val="center"/>
          </w:tcPr>
          <w:p>
            <w:pPr>
              <w:pStyle w:val="13"/>
            </w:pPr>
            <w:r>
              <w:t>每年大小餐厅食品供应月数</w:t>
            </w:r>
          </w:p>
        </w:tc>
        <w:tc>
          <w:tcPr>
            <w:tcW w:w="2551" w:type="dxa"/>
            <w:vAlign w:val="center"/>
          </w:tcPr>
          <w:p>
            <w:pPr>
              <w:pStyle w:val="13"/>
            </w:pPr>
            <w:r>
              <w:t>12月</w:t>
            </w:r>
          </w:p>
        </w:tc>
        <w:tc>
          <w:tcPr>
            <w:tcW w:w="2268" w:type="dxa"/>
            <w:vAlign w:val="center"/>
          </w:tcPr>
          <w:p>
            <w:pPr>
              <w:pStyle w:val="13"/>
            </w:pPr>
            <w:r>
              <w:t>根据往年供应标准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食品安全合格率</w:t>
            </w:r>
          </w:p>
        </w:tc>
        <w:tc>
          <w:tcPr>
            <w:tcW w:w="2835" w:type="dxa"/>
            <w:vAlign w:val="center"/>
          </w:tcPr>
          <w:p>
            <w:pPr>
              <w:pStyle w:val="13"/>
            </w:pPr>
            <w:r>
              <w:t>食品安全抽检安全次数占抽检次数的比率</w:t>
            </w:r>
          </w:p>
        </w:tc>
        <w:tc>
          <w:tcPr>
            <w:tcW w:w="2551" w:type="dxa"/>
            <w:vAlign w:val="center"/>
          </w:tcPr>
          <w:p>
            <w:pPr>
              <w:pStyle w:val="13"/>
            </w:pPr>
            <w:r>
              <w:t>≥95%</w:t>
            </w:r>
          </w:p>
        </w:tc>
        <w:tc>
          <w:tcPr>
            <w:tcW w:w="2268" w:type="dxa"/>
            <w:vAlign w:val="center"/>
          </w:tcPr>
          <w:p>
            <w:pPr>
              <w:pStyle w:val="13"/>
            </w:pPr>
            <w:r>
              <w:t>根据食品安全实施条例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后勤保障完成及时率</w:t>
            </w:r>
          </w:p>
        </w:tc>
        <w:tc>
          <w:tcPr>
            <w:tcW w:w="2835" w:type="dxa"/>
            <w:vAlign w:val="center"/>
          </w:tcPr>
          <w:p>
            <w:pPr>
              <w:pStyle w:val="13"/>
            </w:pPr>
            <w:r>
              <w:t>各项工作任务能够按照年度计划及时完成的比率</w:t>
            </w:r>
          </w:p>
        </w:tc>
        <w:tc>
          <w:tcPr>
            <w:tcW w:w="2551" w:type="dxa"/>
            <w:vAlign w:val="center"/>
          </w:tcPr>
          <w:p>
            <w:pPr>
              <w:pStyle w:val="13"/>
            </w:pPr>
            <w:r>
              <w:t>≥95%</w:t>
            </w:r>
          </w:p>
        </w:tc>
        <w:tc>
          <w:tcPr>
            <w:tcW w:w="2268" w:type="dxa"/>
            <w:vAlign w:val="center"/>
          </w:tcPr>
          <w:p>
            <w:pPr>
              <w:pStyle w:val="13"/>
            </w:pPr>
            <w:r>
              <w:t>根据劳务合同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平均每月支出保障经费（元/月）</w:t>
            </w:r>
          </w:p>
        </w:tc>
        <w:tc>
          <w:tcPr>
            <w:tcW w:w="2835" w:type="dxa"/>
            <w:vAlign w:val="center"/>
          </w:tcPr>
          <w:p>
            <w:pPr>
              <w:pStyle w:val="13"/>
            </w:pPr>
            <w:r>
              <w:t>平均每月支出后勤保障经费</w:t>
            </w:r>
          </w:p>
        </w:tc>
        <w:tc>
          <w:tcPr>
            <w:tcW w:w="2551" w:type="dxa"/>
            <w:vAlign w:val="center"/>
          </w:tcPr>
          <w:p>
            <w:pPr>
              <w:pStyle w:val="13"/>
            </w:pPr>
            <w:r>
              <w:t>≤4500元</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保障职工用餐安全</w:t>
            </w:r>
          </w:p>
        </w:tc>
        <w:tc>
          <w:tcPr>
            <w:tcW w:w="2835" w:type="dxa"/>
            <w:vAlign w:val="center"/>
          </w:tcPr>
          <w:p>
            <w:pPr>
              <w:pStyle w:val="13"/>
            </w:pPr>
            <w:r>
              <w:t>保障职工用餐安全</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提升食品安全</w:t>
            </w:r>
          </w:p>
        </w:tc>
        <w:tc>
          <w:tcPr>
            <w:tcW w:w="2835" w:type="dxa"/>
            <w:vAlign w:val="center"/>
          </w:tcPr>
          <w:p>
            <w:pPr>
              <w:pStyle w:val="13"/>
            </w:pPr>
            <w:r>
              <w:t>提升食品安全</w:t>
            </w:r>
          </w:p>
        </w:tc>
        <w:tc>
          <w:tcPr>
            <w:tcW w:w="2551" w:type="dxa"/>
            <w:vAlign w:val="center"/>
          </w:tcPr>
          <w:p>
            <w:pPr>
              <w:pStyle w:val="13"/>
            </w:pPr>
            <w:r>
              <w:t>全方位保障食品安全</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公共服务水平提升情况</w:t>
            </w:r>
          </w:p>
        </w:tc>
        <w:tc>
          <w:tcPr>
            <w:tcW w:w="2835" w:type="dxa"/>
            <w:vAlign w:val="center"/>
          </w:tcPr>
          <w:p>
            <w:pPr>
              <w:pStyle w:val="13"/>
            </w:pPr>
            <w:r>
              <w:t>公共服务水平提升情况</w:t>
            </w:r>
          </w:p>
        </w:tc>
        <w:tc>
          <w:tcPr>
            <w:tcW w:w="2551" w:type="dxa"/>
            <w:vAlign w:val="center"/>
          </w:tcPr>
          <w:p>
            <w:pPr>
              <w:pStyle w:val="13"/>
            </w:pPr>
            <w:r>
              <w:t>服务水平有所提高</w:t>
            </w:r>
          </w:p>
        </w:tc>
        <w:tc>
          <w:tcPr>
            <w:tcW w:w="2268" w:type="dxa"/>
            <w:vAlign w:val="center"/>
          </w:tcPr>
          <w:p>
            <w:pPr>
              <w:pStyle w:val="13"/>
            </w:pPr>
            <w:r>
              <w:t>根据提升情况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≥90%</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5、机关办公区日常维修维护费用项目（运转保障）绩效目标表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1.对办公区办公设备设施零星维修</w:t>
            </w:r>
          </w:p>
          <w:p>
            <w:pPr>
              <w:pStyle w:val="13"/>
            </w:pPr>
            <w:r>
              <w:t>2.保障机关办公秩序的正常进行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保障正常办公的办公区个数</w:t>
            </w:r>
          </w:p>
        </w:tc>
        <w:tc>
          <w:tcPr>
            <w:tcW w:w="2835" w:type="dxa"/>
            <w:vAlign w:val="center"/>
          </w:tcPr>
          <w:p>
            <w:pPr>
              <w:pStyle w:val="13"/>
            </w:pPr>
            <w:r>
              <w:t>保障正常办公的办公区个数</w:t>
            </w:r>
          </w:p>
        </w:tc>
        <w:tc>
          <w:tcPr>
            <w:tcW w:w="2551" w:type="dxa"/>
            <w:vAlign w:val="center"/>
          </w:tcPr>
          <w:p>
            <w:pPr>
              <w:pStyle w:val="13"/>
            </w:pPr>
            <w:r>
              <w:t>4个</w:t>
            </w:r>
          </w:p>
        </w:tc>
        <w:tc>
          <w:tcPr>
            <w:tcW w:w="2268" w:type="dxa"/>
            <w:vAlign w:val="center"/>
          </w:tcPr>
          <w:p>
            <w:pPr>
              <w:pStyle w:val="13"/>
            </w:pPr>
            <w:r>
              <w:t>根据检查情况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2835" w:type="dxa"/>
            <w:vAlign w:val="center"/>
          </w:tcPr>
          <w:p>
            <w:pPr>
              <w:pStyle w:val="13"/>
            </w:pPr>
            <w:r>
              <w:t>通过验收的工程占总工程量的比率</w:t>
            </w:r>
          </w:p>
        </w:tc>
        <w:tc>
          <w:tcPr>
            <w:tcW w:w="2551" w:type="dxa"/>
            <w:vAlign w:val="center"/>
          </w:tcPr>
          <w:p>
            <w:pPr>
              <w:pStyle w:val="13"/>
            </w:pPr>
            <w:r>
              <w:t>≥95%</w:t>
            </w:r>
          </w:p>
        </w:tc>
        <w:tc>
          <w:tcPr>
            <w:tcW w:w="2268" w:type="dxa"/>
            <w:vAlign w:val="center"/>
          </w:tcPr>
          <w:p>
            <w:pPr>
              <w:pStyle w:val="13"/>
            </w:pPr>
            <w:r>
              <w:t>根据工程验收情况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2835" w:type="dxa"/>
            <w:vAlign w:val="center"/>
          </w:tcPr>
          <w:p>
            <w:pPr>
              <w:pStyle w:val="13"/>
            </w:pPr>
            <w:r>
              <w:t>及时维修次数占维修总次数的比率</w:t>
            </w:r>
          </w:p>
        </w:tc>
        <w:tc>
          <w:tcPr>
            <w:tcW w:w="2551" w:type="dxa"/>
            <w:vAlign w:val="center"/>
          </w:tcPr>
          <w:p>
            <w:pPr>
              <w:pStyle w:val="13"/>
            </w:pPr>
            <w:r>
              <w:t>≥95%</w:t>
            </w:r>
          </w:p>
        </w:tc>
        <w:tc>
          <w:tcPr>
            <w:tcW w:w="2268" w:type="dxa"/>
            <w:vAlign w:val="center"/>
          </w:tcPr>
          <w:p>
            <w:pPr>
              <w:pStyle w:val="13"/>
            </w:pPr>
            <w:r>
              <w:t>根据完成时效检查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平均每区每年成本费用</w:t>
            </w:r>
          </w:p>
        </w:tc>
        <w:tc>
          <w:tcPr>
            <w:tcW w:w="2835" w:type="dxa"/>
            <w:vAlign w:val="center"/>
          </w:tcPr>
          <w:p>
            <w:pPr>
              <w:pStyle w:val="13"/>
            </w:pPr>
            <w:r>
              <w:t>平均每区每年成本费用</w:t>
            </w:r>
          </w:p>
        </w:tc>
        <w:tc>
          <w:tcPr>
            <w:tcW w:w="2551" w:type="dxa"/>
            <w:vAlign w:val="center"/>
          </w:tcPr>
          <w:p>
            <w:pPr>
              <w:pStyle w:val="13"/>
            </w:pPr>
            <w:r>
              <w:t>25万元/年</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提升集中办公区的办公环境</w:t>
            </w:r>
          </w:p>
        </w:tc>
        <w:tc>
          <w:tcPr>
            <w:tcW w:w="2835" w:type="dxa"/>
            <w:vAlign w:val="center"/>
          </w:tcPr>
          <w:p>
            <w:pPr>
              <w:pStyle w:val="13"/>
            </w:pPr>
            <w:r>
              <w:t>提升集中办公区的办公环境</w:t>
            </w:r>
          </w:p>
        </w:tc>
        <w:tc>
          <w:tcPr>
            <w:tcW w:w="2551" w:type="dxa"/>
            <w:vAlign w:val="center"/>
          </w:tcPr>
          <w:p>
            <w:pPr>
              <w:pStyle w:val="13"/>
            </w:pPr>
            <w:r>
              <w:t>≥95%</w:t>
            </w:r>
          </w:p>
        </w:tc>
        <w:tc>
          <w:tcPr>
            <w:tcW w:w="2268" w:type="dxa"/>
            <w:vAlign w:val="center"/>
          </w:tcPr>
          <w:p>
            <w:pPr>
              <w:pStyle w:val="13"/>
            </w:pPr>
            <w:r>
              <w:t>根据年度工作计划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隐患消除情况</w:t>
            </w:r>
          </w:p>
        </w:tc>
        <w:tc>
          <w:tcPr>
            <w:tcW w:w="2835" w:type="dxa"/>
            <w:vAlign w:val="center"/>
          </w:tcPr>
          <w:p>
            <w:pPr>
              <w:pStyle w:val="13"/>
            </w:pPr>
            <w:r>
              <w:t>通过维护改造，消除安全隐患的项数或情况</w:t>
            </w:r>
          </w:p>
        </w:tc>
        <w:tc>
          <w:tcPr>
            <w:tcW w:w="2551" w:type="dxa"/>
            <w:vAlign w:val="center"/>
          </w:tcPr>
          <w:p>
            <w:pPr>
              <w:pStyle w:val="13"/>
            </w:pPr>
            <w:r>
              <w:t>≥95%</w:t>
            </w:r>
          </w:p>
        </w:tc>
        <w:tc>
          <w:tcPr>
            <w:tcW w:w="2268" w:type="dxa"/>
            <w:vAlign w:val="center"/>
          </w:tcPr>
          <w:p>
            <w:pPr>
              <w:pStyle w:val="13"/>
            </w:pPr>
            <w:r>
              <w:t>对事故的处置情况的总结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保障单位正常办公</w:t>
            </w:r>
          </w:p>
        </w:tc>
        <w:tc>
          <w:tcPr>
            <w:tcW w:w="2835" w:type="dxa"/>
            <w:vAlign w:val="center"/>
          </w:tcPr>
          <w:p>
            <w:pPr>
              <w:pStyle w:val="13"/>
            </w:pPr>
            <w:r>
              <w:t>保障单位的正常办公，有序开展工作</w:t>
            </w:r>
          </w:p>
        </w:tc>
        <w:tc>
          <w:tcPr>
            <w:tcW w:w="2551" w:type="dxa"/>
            <w:vAlign w:val="center"/>
          </w:tcPr>
          <w:p>
            <w:pPr>
              <w:pStyle w:val="13"/>
            </w:pPr>
            <w:r>
              <w:t>≥95%</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≥95%</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受益群体调查中，满意和较满意的人数占全部调查人数的比率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调查中满意与较满意的人数占全部调查人数的比率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6、机关集中办公区水电暖费用项目（运转保障）绩效目标表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1.保障机关集中办公区自来水供应2.保障机关集中办公区电力系统的及时供应3.保障机关集中办公区供暖的供应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集中办公区用水吨数</w:t>
            </w:r>
          </w:p>
        </w:tc>
        <w:tc>
          <w:tcPr>
            <w:tcW w:w="2835" w:type="dxa"/>
            <w:vAlign w:val="center"/>
          </w:tcPr>
          <w:p>
            <w:pPr>
              <w:pStyle w:val="13"/>
            </w:pPr>
            <w:r>
              <w:t>单位负责保障正常供水办公区用水吨数</w:t>
            </w:r>
          </w:p>
        </w:tc>
        <w:tc>
          <w:tcPr>
            <w:tcW w:w="2551" w:type="dxa"/>
            <w:vAlign w:val="center"/>
          </w:tcPr>
          <w:p>
            <w:pPr>
              <w:pStyle w:val="13"/>
            </w:pPr>
            <w:r>
              <w:t>≤92000吨</w:t>
            </w:r>
          </w:p>
        </w:tc>
        <w:tc>
          <w:tcPr>
            <w:tcW w:w="2268" w:type="dxa"/>
            <w:vAlign w:val="center"/>
          </w:tcPr>
          <w:p>
            <w:pPr>
              <w:pStyle w:val="13"/>
            </w:pPr>
            <w:r>
              <w:t>根据用水情况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用电总度数（万度）</w:t>
            </w:r>
          </w:p>
        </w:tc>
        <w:tc>
          <w:tcPr>
            <w:tcW w:w="2835" w:type="dxa"/>
            <w:vAlign w:val="center"/>
          </w:tcPr>
          <w:p>
            <w:pPr>
              <w:pStyle w:val="13"/>
            </w:pPr>
            <w:r>
              <w:t>办公区年用电总度数</w:t>
            </w:r>
          </w:p>
        </w:tc>
        <w:tc>
          <w:tcPr>
            <w:tcW w:w="2551" w:type="dxa"/>
            <w:vAlign w:val="center"/>
          </w:tcPr>
          <w:p>
            <w:pPr>
              <w:pStyle w:val="13"/>
            </w:pPr>
            <w:r>
              <w:t>≤500万度</w:t>
            </w:r>
          </w:p>
        </w:tc>
        <w:tc>
          <w:tcPr>
            <w:tcW w:w="2268" w:type="dxa"/>
            <w:vAlign w:val="center"/>
          </w:tcPr>
          <w:p>
            <w:pPr>
              <w:pStyle w:val="13"/>
            </w:pPr>
            <w:r>
              <w:t>根据用电情况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保障办公的办公区个数</w:t>
            </w:r>
          </w:p>
        </w:tc>
        <w:tc>
          <w:tcPr>
            <w:tcW w:w="2835" w:type="dxa"/>
            <w:vAlign w:val="center"/>
          </w:tcPr>
          <w:p>
            <w:pPr>
              <w:pStyle w:val="13"/>
            </w:pPr>
            <w:r>
              <w:t>保证正常办公的办公区个数</w:t>
            </w:r>
          </w:p>
        </w:tc>
        <w:tc>
          <w:tcPr>
            <w:tcW w:w="2551" w:type="dxa"/>
            <w:vAlign w:val="center"/>
          </w:tcPr>
          <w:p>
            <w:pPr>
              <w:pStyle w:val="13"/>
            </w:pPr>
            <w:r>
              <w:t>4个</w:t>
            </w:r>
          </w:p>
        </w:tc>
        <w:tc>
          <w:tcPr>
            <w:tcW w:w="2268" w:type="dxa"/>
            <w:vAlign w:val="center"/>
          </w:tcPr>
          <w:p>
            <w:pPr>
              <w:pStyle w:val="13"/>
            </w:pPr>
            <w:r>
              <w:t>根据集中办公区数量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保障工作需要情况</w:t>
            </w:r>
          </w:p>
        </w:tc>
        <w:tc>
          <w:tcPr>
            <w:tcW w:w="2835" w:type="dxa"/>
            <w:vAlign w:val="center"/>
          </w:tcPr>
          <w:p>
            <w:pPr>
              <w:pStyle w:val="13"/>
            </w:pPr>
            <w:r>
              <w:t>保障正常供应天数情况</w:t>
            </w:r>
          </w:p>
        </w:tc>
        <w:tc>
          <w:tcPr>
            <w:tcW w:w="2551" w:type="dxa"/>
            <w:vAlign w:val="center"/>
          </w:tcPr>
          <w:p>
            <w:pPr>
              <w:pStyle w:val="13"/>
            </w:pPr>
            <w:r>
              <w:t>保障机关正常运行</w:t>
            </w:r>
          </w:p>
        </w:tc>
        <w:tc>
          <w:tcPr>
            <w:tcW w:w="2268" w:type="dxa"/>
            <w:vAlign w:val="center"/>
          </w:tcPr>
          <w:p>
            <w:pPr>
              <w:pStyle w:val="13"/>
            </w:pPr>
            <w:r>
              <w:t>根据供应情况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费用及时缴纳率</w:t>
            </w:r>
          </w:p>
        </w:tc>
        <w:tc>
          <w:tcPr>
            <w:tcW w:w="2835" w:type="dxa"/>
            <w:vAlign w:val="center"/>
          </w:tcPr>
          <w:p>
            <w:pPr>
              <w:pStyle w:val="13"/>
            </w:pPr>
            <w:r>
              <w:t>每月及时缴纳占应缴纳费用的比率</w:t>
            </w:r>
          </w:p>
        </w:tc>
        <w:tc>
          <w:tcPr>
            <w:tcW w:w="2551" w:type="dxa"/>
            <w:vAlign w:val="center"/>
          </w:tcPr>
          <w:p>
            <w:pPr>
              <w:pStyle w:val="13"/>
            </w:pPr>
            <w:r>
              <w:t>≥95%</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每吨水费标准（元/吨）</w:t>
            </w:r>
          </w:p>
        </w:tc>
        <w:tc>
          <w:tcPr>
            <w:tcW w:w="2835" w:type="dxa"/>
            <w:vAlign w:val="center"/>
          </w:tcPr>
          <w:p>
            <w:pPr>
              <w:pStyle w:val="13"/>
            </w:pPr>
            <w:r>
              <w:t>办公区每吨水费标准</w:t>
            </w:r>
          </w:p>
        </w:tc>
        <w:tc>
          <w:tcPr>
            <w:tcW w:w="2551" w:type="dxa"/>
            <w:vAlign w:val="center"/>
          </w:tcPr>
          <w:p>
            <w:pPr>
              <w:pStyle w:val="13"/>
            </w:pPr>
            <w:r>
              <w:t>5.47元</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平均每度电费标准（元/度）</w:t>
            </w:r>
          </w:p>
        </w:tc>
        <w:tc>
          <w:tcPr>
            <w:tcW w:w="2835" w:type="dxa"/>
            <w:vAlign w:val="center"/>
          </w:tcPr>
          <w:p>
            <w:pPr>
              <w:pStyle w:val="13"/>
            </w:pPr>
            <w:r>
              <w:t>平均每度缴纳电费标准</w:t>
            </w:r>
          </w:p>
        </w:tc>
        <w:tc>
          <w:tcPr>
            <w:tcW w:w="2551" w:type="dxa"/>
            <w:vAlign w:val="center"/>
          </w:tcPr>
          <w:p>
            <w:pPr>
              <w:pStyle w:val="13"/>
            </w:pPr>
            <w:r>
              <w:t>≤0.6元</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每平方米取暖费用（元/月）</w:t>
            </w:r>
          </w:p>
        </w:tc>
        <w:tc>
          <w:tcPr>
            <w:tcW w:w="2835" w:type="dxa"/>
            <w:vAlign w:val="center"/>
          </w:tcPr>
          <w:p>
            <w:pPr>
              <w:pStyle w:val="13"/>
            </w:pPr>
            <w:r>
              <w:t>平均每平方米热力取暖费用</w:t>
            </w:r>
          </w:p>
        </w:tc>
        <w:tc>
          <w:tcPr>
            <w:tcW w:w="2551" w:type="dxa"/>
            <w:vAlign w:val="center"/>
          </w:tcPr>
          <w:p>
            <w:pPr>
              <w:pStyle w:val="13"/>
            </w:pPr>
            <w:r>
              <w:t>30元</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集中办公区各单位正常工作保障率</w:t>
            </w:r>
          </w:p>
        </w:tc>
        <w:tc>
          <w:tcPr>
            <w:tcW w:w="2835" w:type="dxa"/>
            <w:vAlign w:val="center"/>
          </w:tcPr>
          <w:p>
            <w:pPr>
              <w:pStyle w:val="13"/>
            </w:pPr>
            <w:r>
              <w:t>保障各单位正常工作，确保全年没有因为水费未及时交付而产生停工、误工情况</w:t>
            </w:r>
          </w:p>
        </w:tc>
        <w:tc>
          <w:tcPr>
            <w:tcW w:w="2551" w:type="dxa"/>
            <w:vAlign w:val="center"/>
          </w:tcPr>
          <w:p>
            <w:pPr>
              <w:pStyle w:val="13"/>
            </w:pPr>
            <w:r>
              <w:t>≥95%</w:t>
            </w:r>
          </w:p>
        </w:tc>
        <w:tc>
          <w:tcPr>
            <w:tcW w:w="2268" w:type="dxa"/>
            <w:vAlign w:val="center"/>
          </w:tcPr>
          <w:p>
            <w:pPr>
              <w:pStyle w:val="13"/>
            </w:pPr>
            <w:r>
              <w:t>年度工作 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单位用电业务保障能力提升情况</w:t>
            </w:r>
          </w:p>
        </w:tc>
        <w:tc>
          <w:tcPr>
            <w:tcW w:w="2835" w:type="dxa"/>
            <w:vAlign w:val="center"/>
          </w:tcPr>
          <w:p>
            <w:pPr>
              <w:pStyle w:val="13"/>
            </w:pPr>
            <w:r>
              <w:t>单位用电业务保障能力提升情况</w:t>
            </w:r>
          </w:p>
        </w:tc>
        <w:tc>
          <w:tcPr>
            <w:tcW w:w="2551" w:type="dxa"/>
            <w:vAlign w:val="center"/>
          </w:tcPr>
          <w:p>
            <w:pPr>
              <w:pStyle w:val="13"/>
            </w:pPr>
            <w:r>
              <w:t>≥95%</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2835" w:type="dxa"/>
            <w:vAlign w:val="center"/>
          </w:tcPr>
          <w:p>
            <w:pPr>
              <w:pStyle w:val="13"/>
            </w:pPr>
            <w:r>
              <w:t>基本公共服务水平</w:t>
            </w:r>
          </w:p>
        </w:tc>
        <w:tc>
          <w:tcPr>
            <w:tcW w:w="2551" w:type="dxa"/>
            <w:vAlign w:val="center"/>
          </w:tcPr>
          <w:p>
            <w:pPr>
              <w:pStyle w:val="13"/>
            </w:pPr>
            <w:r>
              <w:t>≥95%</w:t>
            </w:r>
          </w:p>
        </w:tc>
        <w:tc>
          <w:tcPr>
            <w:tcW w:w="2268" w:type="dxa"/>
            <w:vAlign w:val="center"/>
          </w:tcPr>
          <w:p>
            <w:pPr>
              <w:pStyle w:val="13"/>
            </w:pPr>
            <w:r>
              <w:t>根据公共服务水平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供暖保障能力</w:t>
            </w:r>
          </w:p>
        </w:tc>
        <w:tc>
          <w:tcPr>
            <w:tcW w:w="2835" w:type="dxa"/>
            <w:vAlign w:val="center"/>
          </w:tcPr>
          <w:p>
            <w:pPr>
              <w:pStyle w:val="13"/>
            </w:pPr>
            <w:r>
              <w:t>保障冬季供暖期正常供暖</w:t>
            </w:r>
          </w:p>
        </w:tc>
        <w:tc>
          <w:tcPr>
            <w:tcW w:w="2551" w:type="dxa"/>
            <w:vAlign w:val="center"/>
          </w:tcPr>
          <w:p>
            <w:pPr>
              <w:pStyle w:val="13"/>
            </w:pPr>
            <w:r>
              <w:t>≥95%</w:t>
            </w:r>
          </w:p>
        </w:tc>
        <w:tc>
          <w:tcPr>
            <w:tcW w:w="2268" w:type="dxa"/>
            <w:vAlign w:val="center"/>
          </w:tcPr>
          <w:p>
            <w:pPr>
              <w:pStyle w:val="13"/>
            </w:pPr>
            <w:r>
              <w:t>年度工作 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调查中满意与较满意的人数占全部调查人数的比率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保障单位办公满意度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7、机关集中办公区物业费项目（运转保障）绩效目标表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1.保障机关办公区工作正常运行</w:t>
            </w:r>
          </w:p>
          <w:p>
            <w:pPr>
              <w:pStyle w:val="13"/>
            </w:pPr>
            <w:r>
              <w:t>2.保持良好的办公环境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保障办公区个数</w:t>
            </w:r>
          </w:p>
        </w:tc>
        <w:tc>
          <w:tcPr>
            <w:tcW w:w="2835" w:type="dxa"/>
            <w:vAlign w:val="center"/>
          </w:tcPr>
          <w:p>
            <w:pPr>
              <w:pStyle w:val="13"/>
            </w:pPr>
            <w:r>
              <w:t>支付物业费保障正常办公办公区个数</w:t>
            </w:r>
          </w:p>
        </w:tc>
        <w:tc>
          <w:tcPr>
            <w:tcW w:w="2551" w:type="dxa"/>
            <w:vAlign w:val="center"/>
          </w:tcPr>
          <w:p>
            <w:pPr>
              <w:pStyle w:val="13"/>
            </w:pPr>
            <w:r>
              <w:t>4个</w:t>
            </w:r>
          </w:p>
        </w:tc>
        <w:tc>
          <w:tcPr>
            <w:tcW w:w="2268" w:type="dxa"/>
            <w:vAlign w:val="center"/>
          </w:tcPr>
          <w:p>
            <w:pPr>
              <w:pStyle w:val="13"/>
            </w:pPr>
            <w:r>
              <w:t>根据采购中标书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保障工作执行率</w:t>
            </w:r>
          </w:p>
        </w:tc>
        <w:tc>
          <w:tcPr>
            <w:tcW w:w="2835" w:type="dxa"/>
            <w:vAlign w:val="center"/>
          </w:tcPr>
          <w:p>
            <w:pPr>
              <w:pStyle w:val="13"/>
            </w:pPr>
            <w:r>
              <w:t>保障水电暖等供应天数与应供应天数的比率</w:t>
            </w:r>
          </w:p>
        </w:tc>
        <w:tc>
          <w:tcPr>
            <w:tcW w:w="2551" w:type="dxa"/>
            <w:vAlign w:val="center"/>
          </w:tcPr>
          <w:p>
            <w:pPr>
              <w:pStyle w:val="13"/>
            </w:pPr>
            <w:r>
              <w:t>≥95%</w:t>
            </w:r>
          </w:p>
        </w:tc>
        <w:tc>
          <w:tcPr>
            <w:tcW w:w="2268" w:type="dxa"/>
            <w:vAlign w:val="center"/>
          </w:tcPr>
          <w:p>
            <w:pPr>
              <w:pStyle w:val="13"/>
            </w:pPr>
            <w:r>
              <w:t>根据调查反馈意见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业务处理及时率</w:t>
            </w:r>
          </w:p>
        </w:tc>
        <w:tc>
          <w:tcPr>
            <w:tcW w:w="2835" w:type="dxa"/>
            <w:vAlign w:val="center"/>
          </w:tcPr>
          <w:p>
            <w:pPr>
              <w:pStyle w:val="13"/>
            </w:pPr>
            <w:r>
              <w:t>业务及时处理情况占处理总情况的比率</w:t>
            </w:r>
          </w:p>
        </w:tc>
        <w:tc>
          <w:tcPr>
            <w:tcW w:w="2551" w:type="dxa"/>
            <w:vAlign w:val="center"/>
          </w:tcPr>
          <w:p>
            <w:pPr>
              <w:pStyle w:val="13"/>
            </w:pPr>
            <w:r>
              <w:t>≥95%</w:t>
            </w:r>
          </w:p>
        </w:tc>
        <w:tc>
          <w:tcPr>
            <w:tcW w:w="2268" w:type="dxa"/>
            <w:vAlign w:val="center"/>
          </w:tcPr>
          <w:p>
            <w:pPr>
              <w:pStyle w:val="13"/>
            </w:pPr>
            <w:r>
              <w:t>根据处理情况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平均每月支付物业费（元/月）</w:t>
            </w:r>
          </w:p>
        </w:tc>
        <w:tc>
          <w:tcPr>
            <w:tcW w:w="2835" w:type="dxa"/>
            <w:vAlign w:val="center"/>
          </w:tcPr>
          <w:p>
            <w:pPr>
              <w:pStyle w:val="13"/>
            </w:pPr>
            <w:r>
              <w:t>办公区平均每月支付物业金额</w:t>
            </w:r>
          </w:p>
        </w:tc>
        <w:tc>
          <w:tcPr>
            <w:tcW w:w="2551" w:type="dxa"/>
            <w:vAlign w:val="center"/>
          </w:tcPr>
          <w:p>
            <w:pPr>
              <w:pStyle w:val="13"/>
            </w:pPr>
            <w:r>
              <w:t>≤33.16万元/月</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工作保障率</w:t>
            </w:r>
          </w:p>
        </w:tc>
        <w:tc>
          <w:tcPr>
            <w:tcW w:w="2835" w:type="dxa"/>
            <w:vAlign w:val="center"/>
          </w:tcPr>
          <w:p>
            <w:pPr>
              <w:pStyle w:val="13"/>
            </w:pPr>
            <w:r>
              <w:t>确保机关大院安全保卫工作万无一失</w:t>
            </w:r>
          </w:p>
        </w:tc>
        <w:tc>
          <w:tcPr>
            <w:tcW w:w="2551" w:type="dxa"/>
            <w:vAlign w:val="center"/>
          </w:tcPr>
          <w:p>
            <w:pPr>
              <w:pStyle w:val="13"/>
            </w:pPr>
            <w:r>
              <w:t>100%</w:t>
            </w:r>
          </w:p>
        </w:tc>
        <w:tc>
          <w:tcPr>
            <w:tcW w:w="2268" w:type="dxa"/>
            <w:vAlign w:val="center"/>
          </w:tcPr>
          <w:p>
            <w:pPr>
              <w:pStyle w:val="13"/>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≥95%</w:t>
            </w:r>
          </w:p>
        </w:tc>
        <w:tc>
          <w:tcPr>
            <w:tcW w:w="2268" w:type="dxa"/>
            <w:vAlign w:val="center"/>
          </w:tcPr>
          <w:p>
            <w:pPr>
              <w:pStyle w:val="13"/>
            </w:pPr>
            <w:r>
              <w:t>根据相关部门的评价依据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机关环境整体形象提高率</w:t>
            </w:r>
          </w:p>
        </w:tc>
        <w:tc>
          <w:tcPr>
            <w:tcW w:w="2835" w:type="dxa"/>
            <w:vAlign w:val="center"/>
          </w:tcPr>
          <w:p>
            <w:pPr>
              <w:pStyle w:val="13"/>
            </w:pPr>
            <w:r>
              <w:t>机关环境卫生整体形象提高率</w:t>
            </w:r>
          </w:p>
        </w:tc>
        <w:tc>
          <w:tcPr>
            <w:tcW w:w="2551" w:type="dxa"/>
            <w:vAlign w:val="center"/>
          </w:tcPr>
          <w:p>
            <w:pPr>
              <w:pStyle w:val="13"/>
            </w:pPr>
            <w:r>
              <w:t>≥30%</w:t>
            </w:r>
          </w:p>
        </w:tc>
        <w:tc>
          <w:tcPr>
            <w:tcW w:w="2268" w:type="dxa"/>
            <w:vAlign w:val="center"/>
          </w:tcPr>
          <w:p>
            <w:pPr>
              <w:pStyle w:val="13"/>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保障环境卫生情况</w:t>
            </w:r>
          </w:p>
        </w:tc>
        <w:tc>
          <w:tcPr>
            <w:tcW w:w="2835" w:type="dxa"/>
            <w:vAlign w:val="center"/>
          </w:tcPr>
          <w:p>
            <w:pPr>
              <w:pStyle w:val="13"/>
            </w:pPr>
            <w:r>
              <w:t>保障环境卫生，减少废弃物污染</w:t>
            </w:r>
          </w:p>
        </w:tc>
        <w:tc>
          <w:tcPr>
            <w:tcW w:w="2551" w:type="dxa"/>
            <w:vAlign w:val="center"/>
          </w:tcPr>
          <w:p>
            <w:pPr>
              <w:pStyle w:val="13"/>
            </w:pPr>
            <w:r>
              <w:t>环境卫生有所提高</w:t>
            </w:r>
          </w:p>
        </w:tc>
        <w:tc>
          <w:tcPr>
            <w:tcW w:w="2268" w:type="dxa"/>
            <w:vAlign w:val="center"/>
          </w:tcPr>
          <w:p>
            <w:pPr>
              <w:pStyle w:val="13"/>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活动参与者满意度</w:t>
            </w:r>
          </w:p>
          <w:p>
            <w:pPr>
              <w:pStyle w:val="13"/>
            </w:pPr>
          </w:p>
        </w:tc>
        <w:tc>
          <w:tcPr>
            <w:tcW w:w="2835" w:type="dxa"/>
            <w:vAlign w:val="center"/>
          </w:tcPr>
          <w:p>
            <w:pPr>
              <w:pStyle w:val="13"/>
            </w:pPr>
            <w:r>
              <w:t>调查中，满意与较满意的人数占全部调查人数的比率</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8、机关日常运行经费项目绩效目标表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1.保障机关办公活动的正常运转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所购办公设备保障办公区个数（个）</w:t>
            </w:r>
          </w:p>
        </w:tc>
        <w:tc>
          <w:tcPr>
            <w:tcW w:w="2835" w:type="dxa"/>
            <w:vAlign w:val="center"/>
          </w:tcPr>
          <w:p>
            <w:pPr>
              <w:pStyle w:val="13"/>
            </w:pPr>
            <w:r>
              <w:t>所购办公设备保障办公区正常办公个数</w:t>
            </w:r>
          </w:p>
        </w:tc>
        <w:tc>
          <w:tcPr>
            <w:tcW w:w="2551" w:type="dxa"/>
            <w:vAlign w:val="center"/>
          </w:tcPr>
          <w:p>
            <w:pPr>
              <w:pStyle w:val="13"/>
            </w:pPr>
            <w:r>
              <w:t>4个</w:t>
            </w:r>
          </w:p>
        </w:tc>
        <w:tc>
          <w:tcPr>
            <w:tcW w:w="2268" w:type="dxa"/>
            <w:vAlign w:val="center"/>
          </w:tcPr>
          <w:p>
            <w:pPr>
              <w:pStyle w:val="13"/>
            </w:pPr>
            <w:r>
              <w:t>根据办公区个数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产品验收合格率</w:t>
            </w:r>
          </w:p>
        </w:tc>
        <w:tc>
          <w:tcPr>
            <w:tcW w:w="2835" w:type="dxa"/>
            <w:vAlign w:val="center"/>
          </w:tcPr>
          <w:p>
            <w:pPr>
              <w:pStyle w:val="13"/>
            </w:pPr>
            <w:r>
              <w:t>验收合格情况占总数比率</w:t>
            </w:r>
          </w:p>
        </w:tc>
        <w:tc>
          <w:tcPr>
            <w:tcW w:w="2551" w:type="dxa"/>
            <w:vAlign w:val="center"/>
          </w:tcPr>
          <w:p>
            <w:pPr>
              <w:pStyle w:val="13"/>
            </w:pPr>
            <w:r>
              <w:t>100%</w:t>
            </w:r>
          </w:p>
        </w:tc>
        <w:tc>
          <w:tcPr>
            <w:tcW w:w="2268" w:type="dxa"/>
            <w:vAlign w:val="center"/>
          </w:tcPr>
          <w:p>
            <w:pPr>
              <w:pStyle w:val="13"/>
            </w:pPr>
            <w:r>
              <w:t>根据购置产品质量检测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用品及时购置率</w:t>
            </w:r>
          </w:p>
        </w:tc>
        <w:tc>
          <w:tcPr>
            <w:tcW w:w="2835" w:type="dxa"/>
            <w:vAlign w:val="center"/>
          </w:tcPr>
          <w:p>
            <w:pPr>
              <w:pStyle w:val="13"/>
            </w:pPr>
            <w:r>
              <w:t>及时购置用品占应及时购置比例的比率</w:t>
            </w:r>
          </w:p>
        </w:tc>
        <w:tc>
          <w:tcPr>
            <w:tcW w:w="2551" w:type="dxa"/>
            <w:vAlign w:val="center"/>
          </w:tcPr>
          <w:p>
            <w:pPr>
              <w:pStyle w:val="13"/>
            </w:pPr>
            <w:r>
              <w:t>100%</w:t>
            </w:r>
          </w:p>
        </w:tc>
        <w:tc>
          <w:tcPr>
            <w:tcW w:w="2268" w:type="dxa"/>
            <w:vAlign w:val="center"/>
          </w:tcPr>
          <w:p>
            <w:pPr>
              <w:pStyle w:val="13"/>
            </w:pPr>
            <w:r>
              <w:t>根据购置计划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本年度成本</w:t>
            </w:r>
          </w:p>
        </w:tc>
        <w:tc>
          <w:tcPr>
            <w:tcW w:w="2835" w:type="dxa"/>
            <w:vAlign w:val="center"/>
          </w:tcPr>
          <w:p>
            <w:pPr>
              <w:pStyle w:val="13"/>
            </w:pPr>
            <w:r>
              <w:t>本年度费用</w:t>
            </w:r>
          </w:p>
        </w:tc>
        <w:tc>
          <w:tcPr>
            <w:tcW w:w="2551" w:type="dxa"/>
            <w:vAlign w:val="center"/>
          </w:tcPr>
          <w:p>
            <w:pPr>
              <w:pStyle w:val="13"/>
            </w:pPr>
            <w:r>
              <w:t>50000元</w:t>
            </w:r>
          </w:p>
        </w:tc>
        <w:tc>
          <w:tcPr>
            <w:tcW w:w="2268" w:type="dxa"/>
            <w:vAlign w:val="center"/>
          </w:tcPr>
          <w:p>
            <w:pPr>
              <w:pStyle w:val="13"/>
            </w:pPr>
            <w:r>
              <w:t>根据缴费单据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维护机关良好办公秩序</w:t>
            </w:r>
          </w:p>
        </w:tc>
        <w:tc>
          <w:tcPr>
            <w:tcW w:w="2835" w:type="dxa"/>
            <w:vAlign w:val="center"/>
          </w:tcPr>
          <w:p>
            <w:pPr>
              <w:pStyle w:val="13"/>
            </w:pPr>
            <w:r>
              <w:t>维护机关良好办公秩序</w:t>
            </w:r>
          </w:p>
        </w:tc>
        <w:tc>
          <w:tcPr>
            <w:tcW w:w="2551" w:type="dxa"/>
            <w:vAlign w:val="center"/>
          </w:tcPr>
          <w:p>
            <w:pPr>
              <w:pStyle w:val="13"/>
            </w:pPr>
            <w:r>
              <w:t>≥95%</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≥95%</w:t>
            </w:r>
          </w:p>
        </w:tc>
        <w:tc>
          <w:tcPr>
            <w:tcW w:w="2268" w:type="dxa"/>
            <w:vAlign w:val="center"/>
          </w:tcPr>
          <w:p>
            <w:pPr>
              <w:pStyle w:val="13"/>
            </w:pPr>
            <w:r>
              <w:t>根据相关部门的评价依据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保障四个办公区正常办公</w:t>
            </w:r>
          </w:p>
        </w:tc>
        <w:tc>
          <w:tcPr>
            <w:tcW w:w="2835" w:type="dxa"/>
            <w:vAlign w:val="center"/>
          </w:tcPr>
          <w:p>
            <w:pPr>
              <w:pStyle w:val="13"/>
            </w:pPr>
            <w:r>
              <w:t>保障四个办公区正常办公运转</w:t>
            </w:r>
          </w:p>
        </w:tc>
        <w:tc>
          <w:tcPr>
            <w:tcW w:w="2551" w:type="dxa"/>
            <w:vAlign w:val="center"/>
          </w:tcPr>
          <w:p>
            <w:pPr>
              <w:pStyle w:val="13"/>
            </w:pPr>
            <w:r>
              <w:t>保障办公运转</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9、机关事务管理项目（运转保障）绩效目标表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1.机关事务管理局负责会议室管理保障工作，现有视频会议室六个，按照“安全、顺畅、有序、圆满”的总要求，严格落实安全保障，抓好设施设备服务保障，全力做好会议各项服务保障工作。</w:t>
            </w:r>
          </w:p>
          <w:p>
            <w:pPr>
              <w:pStyle w:val="13"/>
            </w:pPr>
            <w:r>
              <w:t>2.随着视频会议技术的提高，视频会议远程视频会议功能，能够消除时间、空间差异，可以随时随地实现远程交流，告别繁琐的传统会议模式，为了适应现代化会议要求，网络视频会议可以大大减小开支，压缩核算成本，节约时间。</w:t>
            </w:r>
          </w:p>
          <w:p>
            <w:pPr>
              <w:pStyle w:val="13"/>
            </w:pPr>
            <w:r>
              <w:t>3.专业性要求高，需专业人员进行调试保养，定期进行线路网络检查与保养，视频会议室须与多个乡镇，以及通信公司进行连接，线路复杂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2835" w:type="dxa"/>
            <w:vAlign w:val="center"/>
          </w:tcPr>
          <w:p>
            <w:pPr>
              <w:pStyle w:val="13"/>
            </w:pPr>
            <w:r>
              <w:t>会议室视频设备调试人员数量</w:t>
            </w:r>
          </w:p>
        </w:tc>
        <w:tc>
          <w:tcPr>
            <w:tcW w:w="2551" w:type="dxa"/>
            <w:vAlign w:val="center"/>
          </w:tcPr>
          <w:p>
            <w:pPr>
              <w:pStyle w:val="13"/>
            </w:pPr>
            <w:r>
              <w:t>2人</w:t>
            </w:r>
          </w:p>
        </w:tc>
        <w:tc>
          <w:tcPr>
            <w:tcW w:w="2268" w:type="dxa"/>
            <w:vAlign w:val="center"/>
          </w:tcPr>
          <w:p>
            <w:pPr>
              <w:pStyle w:val="13"/>
            </w:pPr>
            <w:r>
              <w:t>根据劳务合同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保障会议室正常运转个数</w:t>
            </w:r>
          </w:p>
        </w:tc>
        <w:tc>
          <w:tcPr>
            <w:tcW w:w="2835" w:type="dxa"/>
            <w:vAlign w:val="center"/>
          </w:tcPr>
          <w:p>
            <w:pPr>
              <w:pStyle w:val="13"/>
            </w:pPr>
            <w:r>
              <w:t>单位负责保障正常工作会议室的个数</w:t>
            </w:r>
          </w:p>
        </w:tc>
        <w:tc>
          <w:tcPr>
            <w:tcW w:w="2551" w:type="dxa"/>
            <w:vAlign w:val="center"/>
          </w:tcPr>
          <w:p>
            <w:pPr>
              <w:pStyle w:val="13"/>
            </w:pPr>
            <w:r>
              <w:t>≥15个</w:t>
            </w:r>
          </w:p>
        </w:tc>
        <w:tc>
          <w:tcPr>
            <w:tcW w:w="2268" w:type="dxa"/>
            <w:vAlign w:val="center"/>
          </w:tcPr>
          <w:p>
            <w:pPr>
              <w:pStyle w:val="13"/>
            </w:pPr>
            <w:r>
              <w:t>根据工作职责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故障排除率(％)</w:t>
            </w:r>
          </w:p>
        </w:tc>
        <w:tc>
          <w:tcPr>
            <w:tcW w:w="2835" w:type="dxa"/>
            <w:vAlign w:val="center"/>
          </w:tcPr>
          <w:p>
            <w:pPr>
              <w:pStyle w:val="13"/>
            </w:pPr>
            <w:r>
              <w:t>排除故障次数占故障发生次数的比率</w:t>
            </w:r>
          </w:p>
        </w:tc>
        <w:tc>
          <w:tcPr>
            <w:tcW w:w="2551" w:type="dxa"/>
            <w:vAlign w:val="center"/>
          </w:tcPr>
          <w:p>
            <w:pPr>
              <w:pStyle w:val="13"/>
            </w:pPr>
            <w:r>
              <w:t>100%</w:t>
            </w:r>
          </w:p>
        </w:tc>
        <w:tc>
          <w:tcPr>
            <w:tcW w:w="2268" w:type="dxa"/>
            <w:vAlign w:val="center"/>
          </w:tcPr>
          <w:p>
            <w:pPr>
              <w:pStyle w:val="13"/>
            </w:pPr>
            <w:r>
              <w:t>根据处理情况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各项工作任务完成及时率（%）</w:t>
            </w:r>
          </w:p>
        </w:tc>
        <w:tc>
          <w:tcPr>
            <w:tcW w:w="2835" w:type="dxa"/>
            <w:vAlign w:val="center"/>
          </w:tcPr>
          <w:p>
            <w:pPr>
              <w:pStyle w:val="13"/>
            </w:pPr>
            <w:r>
              <w:t>各项工作任务能够按照年度计划及时完成的比率</w:t>
            </w:r>
          </w:p>
        </w:tc>
        <w:tc>
          <w:tcPr>
            <w:tcW w:w="2551" w:type="dxa"/>
            <w:vAlign w:val="center"/>
          </w:tcPr>
          <w:p>
            <w:pPr>
              <w:pStyle w:val="13"/>
            </w:pPr>
            <w:r>
              <w:t>≥95%</w:t>
            </w:r>
          </w:p>
        </w:tc>
        <w:tc>
          <w:tcPr>
            <w:tcW w:w="2268" w:type="dxa"/>
            <w:vAlign w:val="center"/>
          </w:tcPr>
          <w:p>
            <w:pPr>
              <w:pStyle w:val="13"/>
            </w:pPr>
            <w:r>
              <w:t>根据劳务合同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月平均工资（元/月）</w:t>
            </w:r>
          </w:p>
        </w:tc>
        <w:tc>
          <w:tcPr>
            <w:tcW w:w="2835" w:type="dxa"/>
            <w:vAlign w:val="center"/>
          </w:tcPr>
          <w:p>
            <w:pPr>
              <w:pStyle w:val="13"/>
            </w:pPr>
            <w:r>
              <w:t>专业人员工资每月发放工资</w:t>
            </w:r>
          </w:p>
        </w:tc>
        <w:tc>
          <w:tcPr>
            <w:tcW w:w="2551" w:type="dxa"/>
            <w:vAlign w:val="center"/>
          </w:tcPr>
          <w:p>
            <w:pPr>
              <w:pStyle w:val="13"/>
            </w:pPr>
            <w:r>
              <w:t>≤7900元</w:t>
            </w:r>
          </w:p>
        </w:tc>
        <w:tc>
          <w:tcPr>
            <w:tcW w:w="2268" w:type="dxa"/>
            <w:vAlign w:val="center"/>
          </w:tcPr>
          <w:p>
            <w:pPr>
              <w:pStyle w:val="13"/>
            </w:pPr>
            <w: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保障会议室设备正常使用率</w:t>
            </w:r>
          </w:p>
        </w:tc>
        <w:tc>
          <w:tcPr>
            <w:tcW w:w="2835" w:type="dxa"/>
            <w:vAlign w:val="center"/>
          </w:tcPr>
          <w:p>
            <w:pPr>
              <w:pStyle w:val="13"/>
            </w:pPr>
            <w:r>
              <w:t>视频设备接收视频信号通畅率</w:t>
            </w:r>
          </w:p>
        </w:tc>
        <w:tc>
          <w:tcPr>
            <w:tcW w:w="2551" w:type="dxa"/>
            <w:vAlign w:val="center"/>
          </w:tcPr>
          <w:p>
            <w:pPr>
              <w:pStyle w:val="13"/>
            </w:pPr>
            <w:r>
              <w:t>≥95%</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隐患消除情况</w:t>
            </w:r>
          </w:p>
        </w:tc>
        <w:tc>
          <w:tcPr>
            <w:tcW w:w="2835" w:type="dxa"/>
            <w:vAlign w:val="center"/>
          </w:tcPr>
          <w:p>
            <w:pPr>
              <w:pStyle w:val="13"/>
            </w:pPr>
            <w:r>
              <w:t>通过维护改造，消除安全隐患的项数或情况</w:t>
            </w:r>
          </w:p>
        </w:tc>
        <w:tc>
          <w:tcPr>
            <w:tcW w:w="2551" w:type="dxa"/>
            <w:vAlign w:val="center"/>
          </w:tcPr>
          <w:p>
            <w:pPr>
              <w:pStyle w:val="13"/>
            </w:pPr>
            <w:r>
              <w:t>≥95%</w:t>
            </w:r>
          </w:p>
        </w:tc>
        <w:tc>
          <w:tcPr>
            <w:tcW w:w="2268" w:type="dxa"/>
            <w:vAlign w:val="center"/>
          </w:tcPr>
          <w:p>
            <w:pPr>
              <w:pStyle w:val="13"/>
            </w:pPr>
            <w:r>
              <w:t>对事故的处置情况的总结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保障视频会议室工作正常运转</w:t>
            </w:r>
          </w:p>
        </w:tc>
        <w:tc>
          <w:tcPr>
            <w:tcW w:w="2835" w:type="dxa"/>
            <w:vAlign w:val="center"/>
          </w:tcPr>
          <w:p>
            <w:pPr>
              <w:pStyle w:val="13"/>
            </w:pPr>
            <w:r>
              <w:t>保障视频会议室设备正常运转天数</w:t>
            </w:r>
          </w:p>
        </w:tc>
        <w:tc>
          <w:tcPr>
            <w:tcW w:w="2551" w:type="dxa"/>
            <w:vAlign w:val="center"/>
          </w:tcPr>
          <w:p>
            <w:pPr>
              <w:pStyle w:val="13"/>
            </w:pPr>
            <w:r>
              <w:t>365天</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参会单位满意度（%）</w:t>
            </w:r>
          </w:p>
        </w:tc>
        <w:tc>
          <w:tcPr>
            <w:tcW w:w="2835" w:type="dxa"/>
            <w:vAlign w:val="center"/>
          </w:tcPr>
          <w:p>
            <w:pPr>
              <w:pStyle w:val="13"/>
            </w:pPr>
            <w:r>
              <w:t>参会单位满意度（%）</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10、节能办节能运转项目绩效目标表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1.保障节能办公室日常办公、差旅、培训的正常运转</w:t>
            </w:r>
          </w:p>
          <w:p>
            <w:pPr>
              <w:pStyle w:val="13"/>
            </w:pPr>
            <w:r>
              <w:t>2.加强日常节能宣传，重点办好节能宣传周活动，保障节能示范单位创建活动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节能宣传用品个数</w:t>
            </w:r>
          </w:p>
        </w:tc>
        <w:tc>
          <w:tcPr>
            <w:tcW w:w="2835" w:type="dxa"/>
            <w:vAlign w:val="center"/>
          </w:tcPr>
          <w:p>
            <w:pPr>
              <w:pStyle w:val="13"/>
            </w:pPr>
            <w:r>
              <w:t>节能宣传周节能条幅、展板、资料等物品个数</w:t>
            </w:r>
          </w:p>
        </w:tc>
        <w:tc>
          <w:tcPr>
            <w:tcW w:w="2551" w:type="dxa"/>
            <w:vAlign w:val="center"/>
          </w:tcPr>
          <w:p>
            <w:pPr>
              <w:pStyle w:val="13"/>
            </w:pPr>
            <w:r>
              <w:t>≥100个</w:t>
            </w:r>
          </w:p>
        </w:tc>
        <w:tc>
          <w:tcPr>
            <w:tcW w:w="2268" w:type="dxa"/>
            <w:vAlign w:val="center"/>
          </w:tcPr>
          <w:p>
            <w:pPr>
              <w:pStyle w:val="13"/>
            </w:pPr>
            <w:r>
              <w:t>根据工作职责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2835" w:type="dxa"/>
            <w:vAlign w:val="center"/>
          </w:tcPr>
          <w:p>
            <w:pPr>
              <w:pStyle w:val="13"/>
            </w:pPr>
            <w:r>
              <w:t>购置质量合格的数量占购置总数量的比率</w:t>
            </w:r>
          </w:p>
        </w:tc>
        <w:tc>
          <w:tcPr>
            <w:tcW w:w="2551" w:type="dxa"/>
            <w:vAlign w:val="center"/>
          </w:tcPr>
          <w:p>
            <w:pPr>
              <w:pStyle w:val="13"/>
            </w:pPr>
            <w:r>
              <w:t>100%</w:t>
            </w:r>
          </w:p>
        </w:tc>
        <w:tc>
          <w:tcPr>
            <w:tcW w:w="2268" w:type="dxa"/>
            <w:vAlign w:val="center"/>
          </w:tcPr>
          <w:p>
            <w:pPr>
              <w:pStyle w:val="13"/>
            </w:pPr>
            <w:r>
              <w:t>根据工作职责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2835" w:type="dxa"/>
            <w:vAlign w:val="center"/>
          </w:tcPr>
          <w:p>
            <w:pPr>
              <w:pStyle w:val="13"/>
            </w:pPr>
            <w:r>
              <w:t>根据督办卡完成时间与发放时间比</w:t>
            </w:r>
          </w:p>
        </w:tc>
        <w:tc>
          <w:tcPr>
            <w:tcW w:w="2551" w:type="dxa"/>
            <w:vAlign w:val="center"/>
          </w:tcPr>
          <w:p>
            <w:pPr>
              <w:pStyle w:val="13"/>
            </w:pPr>
            <w:r>
              <w:t>≥95%</w:t>
            </w:r>
          </w:p>
        </w:tc>
        <w:tc>
          <w:tcPr>
            <w:tcW w:w="2268" w:type="dxa"/>
            <w:vAlign w:val="center"/>
          </w:tcPr>
          <w:p>
            <w:pPr>
              <w:pStyle w:val="13"/>
            </w:pPr>
            <w:r>
              <w:t>根据工作职责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节能办年度办公资金（元）</w:t>
            </w:r>
          </w:p>
        </w:tc>
        <w:tc>
          <w:tcPr>
            <w:tcW w:w="2835" w:type="dxa"/>
            <w:vAlign w:val="center"/>
          </w:tcPr>
          <w:p>
            <w:pPr>
              <w:pStyle w:val="13"/>
            </w:pPr>
            <w:r>
              <w:t>节能办公室年度办公资金</w:t>
            </w:r>
          </w:p>
        </w:tc>
        <w:tc>
          <w:tcPr>
            <w:tcW w:w="2551" w:type="dxa"/>
            <w:vAlign w:val="center"/>
          </w:tcPr>
          <w:p>
            <w:pPr>
              <w:pStyle w:val="13"/>
            </w:pPr>
            <w:r>
              <w:t>控制在预算内</w:t>
            </w:r>
          </w:p>
        </w:tc>
        <w:tc>
          <w:tcPr>
            <w:tcW w:w="2268" w:type="dxa"/>
            <w:vAlign w:val="center"/>
          </w:tcPr>
          <w:p>
            <w:pPr>
              <w:pStyle w:val="13"/>
            </w:pPr>
            <w:r>
              <w:t>根据工作职责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促进生态文明建设，绿色发展</w:t>
            </w:r>
          </w:p>
        </w:tc>
        <w:tc>
          <w:tcPr>
            <w:tcW w:w="2835" w:type="dxa"/>
            <w:vAlign w:val="center"/>
          </w:tcPr>
          <w:p>
            <w:pPr>
              <w:pStyle w:val="13"/>
            </w:pPr>
            <w:r>
              <w:t>促进生态文明建设，绿色发展</w:t>
            </w:r>
          </w:p>
        </w:tc>
        <w:tc>
          <w:tcPr>
            <w:tcW w:w="2551" w:type="dxa"/>
            <w:vAlign w:val="center"/>
          </w:tcPr>
          <w:p>
            <w:pPr>
              <w:pStyle w:val="13"/>
            </w:pPr>
            <w:r>
              <w:t>促进生态文明建设，绿色发展</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公共机构节能意识有明显提高</w:t>
            </w:r>
          </w:p>
        </w:tc>
        <w:tc>
          <w:tcPr>
            <w:tcW w:w="2835" w:type="dxa"/>
            <w:vAlign w:val="center"/>
          </w:tcPr>
          <w:p>
            <w:pPr>
              <w:pStyle w:val="13"/>
            </w:pPr>
            <w:r>
              <w:t>公共机构人员节能意识有较大提高</w:t>
            </w:r>
          </w:p>
        </w:tc>
        <w:tc>
          <w:tcPr>
            <w:tcW w:w="2551" w:type="dxa"/>
            <w:vAlign w:val="center"/>
          </w:tcPr>
          <w:p>
            <w:pPr>
              <w:pStyle w:val="13"/>
            </w:pPr>
            <w:r>
              <w:t>节能意识有明显提高</w:t>
            </w:r>
          </w:p>
        </w:tc>
        <w:tc>
          <w:tcPr>
            <w:tcW w:w="2268" w:type="dxa"/>
            <w:vAlign w:val="center"/>
          </w:tcPr>
          <w:p>
            <w:pPr>
              <w:pStyle w:val="13"/>
            </w:pPr>
            <w:r>
              <w:t>根据相关部门的评价依据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节能观念逐步增强</w:t>
            </w:r>
          </w:p>
        </w:tc>
        <w:tc>
          <w:tcPr>
            <w:tcW w:w="2835" w:type="dxa"/>
            <w:vAlign w:val="center"/>
          </w:tcPr>
          <w:p>
            <w:pPr>
              <w:pStyle w:val="13"/>
            </w:pPr>
            <w:r>
              <w:t>公共机构人员节能观念逐步增强</w:t>
            </w:r>
          </w:p>
        </w:tc>
        <w:tc>
          <w:tcPr>
            <w:tcW w:w="2551" w:type="dxa"/>
            <w:vAlign w:val="center"/>
          </w:tcPr>
          <w:p>
            <w:pPr>
              <w:pStyle w:val="13"/>
            </w:pPr>
            <w:r>
              <w:t>节能意识逐步增强</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11、劳保用品及清洁用品项目绩效目标表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1.配备必要的电力用品及服务用品，达到电力服务安全第一的目标，质量第一的要求，速度第一的追求。</w:t>
            </w:r>
          </w:p>
          <w:p>
            <w:pPr>
              <w:pStyle w:val="13"/>
            </w:pPr>
            <w:r>
              <w:t>2.配备卫生保洁用品，保证机关的靓化、美化，保证机关大院无尘土、无纸屑、无树叶。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劳保、清洁用品使用人员所在办公区数量</w:t>
            </w:r>
          </w:p>
        </w:tc>
        <w:tc>
          <w:tcPr>
            <w:tcW w:w="2835" w:type="dxa"/>
            <w:vAlign w:val="center"/>
          </w:tcPr>
          <w:p>
            <w:pPr>
              <w:pStyle w:val="13"/>
            </w:pPr>
            <w:r>
              <w:t>劳保、清洁用品使用人员所在办公区数量</w:t>
            </w:r>
          </w:p>
        </w:tc>
        <w:tc>
          <w:tcPr>
            <w:tcW w:w="2551" w:type="dxa"/>
            <w:vAlign w:val="center"/>
          </w:tcPr>
          <w:p>
            <w:pPr>
              <w:pStyle w:val="13"/>
            </w:pPr>
            <w:r>
              <w:t>4个</w:t>
            </w:r>
          </w:p>
        </w:tc>
        <w:tc>
          <w:tcPr>
            <w:tcW w:w="2268" w:type="dxa"/>
            <w:vAlign w:val="center"/>
          </w:tcPr>
          <w:p>
            <w:pPr>
              <w:pStyle w:val="13"/>
            </w:pPr>
            <w:r>
              <w:t>根据检测情况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产品验收合格率</w:t>
            </w:r>
          </w:p>
        </w:tc>
        <w:tc>
          <w:tcPr>
            <w:tcW w:w="2835" w:type="dxa"/>
            <w:vAlign w:val="center"/>
          </w:tcPr>
          <w:p>
            <w:pPr>
              <w:pStyle w:val="13"/>
            </w:pPr>
            <w:r>
              <w:t>验收合格情况占总数比率</w:t>
            </w:r>
          </w:p>
        </w:tc>
        <w:tc>
          <w:tcPr>
            <w:tcW w:w="2551" w:type="dxa"/>
            <w:vAlign w:val="center"/>
          </w:tcPr>
          <w:p>
            <w:pPr>
              <w:pStyle w:val="13"/>
            </w:pPr>
            <w:r>
              <w:t>≥95%</w:t>
            </w:r>
          </w:p>
        </w:tc>
        <w:tc>
          <w:tcPr>
            <w:tcW w:w="2268" w:type="dxa"/>
            <w:vAlign w:val="center"/>
          </w:tcPr>
          <w:p>
            <w:pPr>
              <w:pStyle w:val="13"/>
            </w:pPr>
            <w:r>
              <w:t>根据购置产品质量检测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用品及时购置率</w:t>
            </w:r>
          </w:p>
        </w:tc>
        <w:tc>
          <w:tcPr>
            <w:tcW w:w="2835" w:type="dxa"/>
            <w:vAlign w:val="center"/>
          </w:tcPr>
          <w:p>
            <w:pPr>
              <w:pStyle w:val="13"/>
            </w:pPr>
            <w:r>
              <w:t>及时购置用品占应及时购置的比率</w:t>
            </w:r>
          </w:p>
        </w:tc>
        <w:tc>
          <w:tcPr>
            <w:tcW w:w="2551" w:type="dxa"/>
            <w:vAlign w:val="center"/>
          </w:tcPr>
          <w:p>
            <w:pPr>
              <w:pStyle w:val="13"/>
            </w:pPr>
            <w:r>
              <w:t>≥95%</w:t>
            </w:r>
          </w:p>
        </w:tc>
        <w:tc>
          <w:tcPr>
            <w:tcW w:w="2268" w:type="dxa"/>
            <w:vAlign w:val="center"/>
          </w:tcPr>
          <w:p>
            <w:pPr>
              <w:pStyle w:val="13"/>
            </w:pPr>
            <w:r>
              <w:t>根据购置计划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平均每月支付金额（元/月）</w:t>
            </w:r>
          </w:p>
        </w:tc>
        <w:tc>
          <w:tcPr>
            <w:tcW w:w="2835" w:type="dxa"/>
            <w:vAlign w:val="center"/>
          </w:tcPr>
          <w:p>
            <w:pPr>
              <w:pStyle w:val="13"/>
            </w:pPr>
            <w:r>
              <w:t>平均每月支付劳保和清洁用品的费用</w:t>
            </w:r>
          </w:p>
        </w:tc>
        <w:tc>
          <w:tcPr>
            <w:tcW w:w="2551" w:type="dxa"/>
            <w:vAlign w:val="center"/>
          </w:tcPr>
          <w:p>
            <w:pPr>
              <w:pStyle w:val="13"/>
            </w:pPr>
            <w:r>
              <w:t>≤4200元</w:t>
            </w:r>
          </w:p>
        </w:tc>
        <w:tc>
          <w:tcPr>
            <w:tcW w:w="2268" w:type="dxa"/>
            <w:vAlign w:val="center"/>
          </w:tcPr>
          <w:p>
            <w:pPr>
              <w:pStyle w:val="13"/>
            </w:pPr>
            <w:r>
              <w:t>根据支付凭证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保障劳动保障比率</w:t>
            </w:r>
          </w:p>
        </w:tc>
        <w:tc>
          <w:tcPr>
            <w:tcW w:w="2835" w:type="dxa"/>
            <w:vAlign w:val="center"/>
          </w:tcPr>
          <w:p>
            <w:pPr>
              <w:pStyle w:val="13"/>
            </w:pPr>
            <w:r>
              <w:t>劳动保障水平保障比率</w:t>
            </w:r>
          </w:p>
        </w:tc>
        <w:tc>
          <w:tcPr>
            <w:tcW w:w="2551" w:type="dxa"/>
            <w:vAlign w:val="center"/>
          </w:tcPr>
          <w:p>
            <w:pPr>
              <w:pStyle w:val="13"/>
            </w:pPr>
            <w:r>
              <w:t>≥95%</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服务水平有所提升</w:t>
            </w:r>
          </w:p>
        </w:tc>
        <w:tc>
          <w:tcPr>
            <w:tcW w:w="2268" w:type="dxa"/>
            <w:vAlign w:val="center"/>
          </w:tcPr>
          <w:p>
            <w:pPr>
              <w:pStyle w:val="13"/>
            </w:pPr>
            <w:r>
              <w:t>根据相关部门的评价依据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环境得到改善</w:t>
            </w:r>
          </w:p>
        </w:tc>
        <w:tc>
          <w:tcPr>
            <w:tcW w:w="2835" w:type="dxa"/>
            <w:vAlign w:val="center"/>
          </w:tcPr>
          <w:p>
            <w:pPr>
              <w:pStyle w:val="13"/>
            </w:pPr>
            <w:r>
              <w:t>环境得到改善，营造良好的办公氛围</w:t>
            </w:r>
          </w:p>
        </w:tc>
        <w:tc>
          <w:tcPr>
            <w:tcW w:w="2551" w:type="dxa"/>
            <w:vAlign w:val="center"/>
          </w:tcPr>
          <w:p>
            <w:pPr>
              <w:pStyle w:val="13"/>
            </w:pPr>
            <w:r>
              <w:t>环境有所改善</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12、视频会议室直播保障费用项目绩效目标表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1.保障第三行政办公区六楼直播会议室的正常运转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保障会议室正常运转个数</w:t>
            </w:r>
          </w:p>
        </w:tc>
        <w:tc>
          <w:tcPr>
            <w:tcW w:w="2835" w:type="dxa"/>
            <w:vAlign w:val="center"/>
          </w:tcPr>
          <w:p>
            <w:pPr>
              <w:pStyle w:val="13"/>
            </w:pPr>
            <w:r>
              <w:t>单位负责保障正常工作会议室的个数</w:t>
            </w:r>
          </w:p>
        </w:tc>
        <w:tc>
          <w:tcPr>
            <w:tcW w:w="2551" w:type="dxa"/>
            <w:vAlign w:val="center"/>
          </w:tcPr>
          <w:p>
            <w:pPr>
              <w:pStyle w:val="13"/>
            </w:pPr>
            <w:r>
              <w:t>1个</w:t>
            </w:r>
          </w:p>
        </w:tc>
        <w:tc>
          <w:tcPr>
            <w:tcW w:w="2268"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2835" w:type="dxa"/>
            <w:vAlign w:val="center"/>
          </w:tcPr>
          <w:p>
            <w:pPr>
              <w:pStyle w:val="13"/>
            </w:pPr>
            <w:r>
              <w:t>实际支付时间占应拨付时间的比率</w:t>
            </w:r>
          </w:p>
        </w:tc>
        <w:tc>
          <w:tcPr>
            <w:tcW w:w="2551" w:type="dxa"/>
            <w:vAlign w:val="center"/>
          </w:tcPr>
          <w:p>
            <w:pPr>
              <w:pStyle w:val="13"/>
            </w:pPr>
            <w:r>
              <w:t>100%</w:t>
            </w:r>
          </w:p>
        </w:tc>
        <w:tc>
          <w:tcPr>
            <w:tcW w:w="2268"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2835" w:type="dxa"/>
            <w:vAlign w:val="center"/>
          </w:tcPr>
          <w:p>
            <w:pPr>
              <w:pStyle w:val="13"/>
            </w:pPr>
            <w:r>
              <w:t>按照要求和计划完成工作在所有工作中的比例</w:t>
            </w:r>
          </w:p>
        </w:tc>
        <w:tc>
          <w:tcPr>
            <w:tcW w:w="2551" w:type="dxa"/>
            <w:vAlign w:val="center"/>
          </w:tcPr>
          <w:p>
            <w:pPr>
              <w:pStyle w:val="13"/>
            </w:pPr>
            <w:r>
              <w:t>≥95%</w:t>
            </w:r>
          </w:p>
        </w:tc>
        <w:tc>
          <w:tcPr>
            <w:tcW w:w="2268"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会议室正常使用成本（元）</w:t>
            </w:r>
          </w:p>
        </w:tc>
        <w:tc>
          <w:tcPr>
            <w:tcW w:w="2835" w:type="dxa"/>
            <w:vAlign w:val="center"/>
          </w:tcPr>
          <w:p>
            <w:pPr>
              <w:pStyle w:val="13"/>
            </w:pPr>
            <w:r>
              <w:t>会议室正常使用成本</w:t>
            </w:r>
          </w:p>
        </w:tc>
        <w:tc>
          <w:tcPr>
            <w:tcW w:w="2551" w:type="dxa"/>
            <w:vAlign w:val="center"/>
          </w:tcPr>
          <w:p>
            <w:pPr>
              <w:pStyle w:val="13"/>
            </w:pPr>
            <w:r>
              <w:t>49200元</w:t>
            </w:r>
          </w:p>
        </w:tc>
        <w:tc>
          <w:tcPr>
            <w:tcW w:w="2268" w:type="dxa"/>
            <w:vAlign w:val="center"/>
          </w:tcPr>
          <w:p>
            <w:pPr>
              <w:pStyle w:val="13"/>
            </w:pPr>
            <w:r>
              <w:t>根据缴费单据，合同要求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保障会议室设备正常使用</w:t>
            </w:r>
          </w:p>
        </w:tc>
        <w:tc>
          <w:tcPr>
            <w:tcW w:w="2835" w:type="dxa"/>
            <w:vAlign w:val="center"/>
          </w:tcPr>
          <w:p>
            <w:pPr>
              <w:pStyle w:val="13"/>
            </w:pPr>
            <w:r>
              <w:t>视频设备接收视频信号通畅率</w:t>
            </w:r>
          </w:p>
        </w:tc>
        <w:tc>
          <w:tcPr>
            <w:tcW w:w="2551" w:type="dxa"/>
            <w:vAlign w:val="center"/>
          </w:tcPr>
          <w:p>
            <w:pPr>
              <w:pStyle w:val="13"/>
            </w:pPr>
            <w:r>
              <w:t>≥95%</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隐患消除情况</w:t>
            </w:r>
          </w:p>
        </w:tc>
        <w:tc>
          <w:tcPr>
            <w:tcW w:w="2835" w:type="dxa"/>
            <w:vAlign w:val="center"/>
          </w:tcPr>
          <w:p>
            <w:pPr>
              <w:pStyle w:val="13"/>
            </w:pPr>
            <w:r>
              <w:t>通过维护改造，消除安全隐患的项数或情况</w:t>
            </w:r>
          </w:p>
        </w:tc>
        <w:tc>
          <w:tcPr>
            <w:tcW w:w="2551" w:type="dxa"/>
            <w:vAlign w:val="center"/>
          </w:tcPr>
          <w:p>
            <w:pPr>
              <w:pStyle w:val="13"/>
            </w:pPr>
            <w:r>
              <w:t>≥95%</w:t>
            </w:r>
          </w:p>
        </w:tc>
        <w:tc>
          <w:tcPr>
            <w:tcW w:w="2268" w:type="dxa"/>
            <w:vAlign w:val="center"/>
          </w:tcPr>
          <w:p>
            <w:pPr>
              <w:pStyle w:val="13"/>
            </w:pPr>
            <w:r>
              <w:t>对事故的处置情况的总结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保障视频会议室工作正常运转</w:t>
            </w:r>
          </w:p>
        </w:tc>
        <w:tc>
          <w:tcPr>
            <w:tcW w:w="2835" w:type="dxa"/>
            <w:vAlign w:val="center"/>
          </w:tcPr>
          <w:p>
            <w:pPr>
              <w:pStyle w:val="13"/>
            </w:pPr>
            <w:r>
              <w:t>保障视频会议室设备正常运转天数</w:t>
            </w:r>
          </w:p>
        </w:tc>
        <w:tc>
          <w:tcPr>
            <w:tcW w:w="2551" w:type="dxa"/>
            <w:vAlign w:val="center"/>
          </w:tcPr>
          <w:p>
            <w:pPr>
              <w:pStyle w:val="13"/>
            </w:pPr>
            <w:r>
              <w:t>365天</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13、县级周转房租赁费及物业费项目绩效目标表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1.保障周转房的水正常供应，不应拖欠水费而停水</w:t>
            </w:r>
          </w:p>
          <w:p>
            <w:pPr>
              <w:pStyle w:val="13"/>
            </w:pPr>
            <w:r>
              <w:t>2.平乡县机关事务管理局负责异地县领导的住房、生活、服务等日常工作，为了保障县级异地干部的住房，2008年购置一批县级领导周转房，2017年以来由于外地任职的县级领导增多，原来的周转房已经不能满足住房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周转房数量</w:t>
            </w:r>
          </w:p>
        </w:tc>
        <w:tc>
          <w:tcPr>
            <w:tcW w:w="2835" w:type="dxa"/>
            <w:vAlign w:val="center"/>
          </w:tcPr>
          <w:p>
            <w:pPr>
              <w:pStyle w:val="13"/>
            </w:pPr>
            <w:r>
              <w:t>保障领导生活住房数量</w:t>
            </w:r>
          </w:p>
        </w:tc>
        <w:tc>
          <w:tcPr>
            <w:tcW w:w="2551" w:type="dxa"/>
            <w:vAlign w:val="center"/>
          </w:tcPr>
          <w:p>
            <w:pPr>
              <w:pStyle w:val="13"/>
            </w:pPr>
            <w:r>
              <w:t>21套</w:t>
            </w:r>
          </w:p>
        </w:tc>
        <w:tc>
          <w:tcPr>
            <w:tcW w:w="2268" w:type="dxa"/>
            <w:vAlign w:val="center"/>
          </w:tcPr>
          <w:p>
            <w:pPr>
              <w:pStyle w:val="13"/>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保障工作执行率（%）</w:t>
            </w:r>
          </w:p>
        </w:tc>
        <w:tc>
          <w:tcPr>
            <w:tcW w:w="2835" w:type="dxa"/>
            <w:vAlign w:val="center"/>
          </w:tcPr>
          <w:p>
            <w:pPr>
              <w:pStyle w:val="13"/>
            </w:pPr>
            <w:r>
              <w:t>保障水电暖等供应天数与应供应天数的比例</w:t>
            </w:r>
          </w:p>
        </w:tc>
        <w:tc>
          <w:tcPr>
            <w:tcW w:w="2551" w:type="dxa"/>
            <w:vAlign w:val="center"/>
          </w:tcPr>
          <w:p>
            <w:pPr>
              <w:pStyle w:val="13"/>
            </w:pPr>
            <w:r>
              <w:t>≥95%</w:t>
            </w:r>
          </w:p>
        </w:tc>
        <w:tc>
          <w:tcPr>
            <w:tcW w:w="2268" w:type="dxa"/>
            <w:vAlign w:val="center"/>
          </w:tcPr>
          <w:p>
            <w:pPr>
              <w:pStyle w:val="13"/>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费用及时支付率</w:t>
            </w:r>
          </w:p>
        </w:tc>
        <w:tc>
          <w:tcPr>
            <w:tcW w:w="2835" w:type="dxa"/>
            <w:vAlign w:val="center"/>
          </w:tcPr>
          <w:p>
            <w:pPr>
              <w:pStyle w:val="13"/>
            </w:pPr>
            <w:r>
              <w:t>及时支付费用的比率</w:t>
            </w:r>
          </w:p>
        </w:tc>
        <w:tc>
          <w:tcPr>
            <w:tcW w:w="2551" w:type="dxa"/>
            <w:vAlign w:val="center"/>
          </w:tcPr>
          <w:p>
            <w:pPr>
              <w:pStyle w:val="13"/>
            </w:pPr>
            <w:r>
              <w:t>≥95%</w:t>
            </w:r>
          </w:p>
        </w:tc>
        <w:tc>
          <w:tcPr>
            <w:tcW w:w="2268" w:type="dxa"/>
            <w:vAlign w:val="center"/>
          </w:tcPr>
          <w:p>
            <w:pPr>
              <w:pStyle w:val="13"/>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周转房物业费</w:t>
            </w:r>
          </w:p>
        </w:tc>
        <w:tc>
          <w:tcPr>
            <w:tcW w:w="2835" w:type="dxa"/>
            <w:vAlign w:val="center"/>
          </w:tcPr>
          <w:p>
            <w:pPr>
              <w:pStyle w:val="13"/>
            </w:pPr>
            <w:r>
              <w:t>周转房每年物业费</w:t>
            </w:r>
          </w:p>
        </w:tc>
        <w:tc>
          <w:tcPr>
            <w:tcW w:w="2551" w:type="dxa"/>
            <w:vAlign w:val="center"/>
          </w:tcPr>
          <w:p>
            <w:pPr>
              <w:pStyle w:val="13"/>
            </w:pPr>
            <w:r>
              <w:t>5万元</w:t>
            </w:r>
          </w:p>
        </w:tc>
        <w:tc>
          <w:tcPr>
            <w:tcW w:w="2268" w:type="dxa"/>
            <w:vAlign w:val="center"/>
          </w:tcPr>
          <w:p>
            <w:pPr>
              <w:pStyle w:val="13"/>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周转房租赁费</w:t>
            </w:r>
          </w:p>
        </w:tc>
        <w:tc>
          <w:tcPr>
            <w:tcW w:w="2835" w:type="dxa"/>
            <w:vAlign w:val="center"/>
          </w:tcPr>
          <w:p>
            <w:pPr>
              <w:pStyle w:val="13"/>
            </w:pPr>
            <w:r>
              <w:t>周转房租赁费</w:t>
            </w:r>
          </w:p>
        </w:tc>
        <w:tc>
          <w:tcPr>
            <w:tcW w:w="2551" w:type="dxa"/>
            <w:vAlign w:val="center"/>
          </w:tcPr>
          <w:p>
            <w:pPr>
              <w:pStyle w:val="13"/>
            </w:pPr>
            <w:r>
              <w:t>5.4万元</w:t>
            </w:r>
          </w:p>
        </w:tc>
        <w:tc>
          <w:tcPr>
            <w:tcW w:w="2268" w:type="dxa"/>
            <w:vAlign w:val="center"/>
          </w:tcPr>
          <w:p>
            <w:pPr>
              <w:pStyle w:val="13"/>
            </w:pPr>
            <w:r>
              <w:t>根据物业合同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解决异地干部住房问题</w:t>
            </w:r>
          </w:p>
        </w:tc>
        <w:tc>
          <w:tcPr>
            <w:tcW w:w="2835" w:type="dxa"/>
            <w:vAlign w:val="center"/>
          </w:tcPr>
          <w:p>
            <w:pPr>
              <w:pStyle w:val="13"/>
            </w:pPr>
            <w:r>
              <w:t>解决异地干部住房问题</w:t>
            </w:r>
          </w:p>
        </w:tc>
        <w:tc>
          <w:tcPr>
            <w:tcW w:w="2551" w:type="dxa"/>
            <w:vAlign w:val="center"/>
          </w:tcPr>
          <w:p>
            <w:pPr>
              <w:pStyle w:val="13"/>
            </w:pPr>
            <w:r>
              <w:t>解决异地干部住房问题</w:t>
            </w:r>
          </w:p>
        </w:tc>
        <w:tc>
          <w:tcPr>
            <w:tcW w:w="2268" w:type="dxa"/>
            <w:vAlign w:val="center"/>
          </w:tcPr>
          <w:p>
            <w:pPr>
              <w:pStyle w:val="13"/>
            </w:pPr>
            <w:r>
              <w:t>根据日常使用情况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服务提升</w:t>
            </w:r>
          </w:p>
        </w:tc>
        <w:tc>
          <w:tcPr>
            <w:tcW w:w="2268" w:type="dxa"/>
            <w:vAlign w:val="center"/>
          </w:tcPr>
          <w:p>
            <w:pPr>
              <w:pStyle w:val="13"/>
            </w:pPr>
            <w:r>
              <w:t>根据相关部门的评价依据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完成周转房租赁及维护</w:t>
            </w:r>
          </w:p>
        </w:tc>
        <w:tc>
          <w:tcPr>
            <w:tcW w:w="2835" w:type="dxa"/>
            <w:vAlign w:val="center"/>
          </w:tcPr>
          <w:p>
            <w:pPr>
              <w:pStyle w:val="13"/>
            </w:pPr>
            <w:r>
              <w:t>完成周转房租赁及维护</w:t>
            </w:r>
          </w:p>
        </w:tc>
        <w:tc>
          <w:tcPr>
            <w:tcW w:w="2551" w:type="dxa"/>
            <w:vAlign w:val="center"/>
          </w:tcPr>
          <w:p>
            <w:pPr>
              <w:pStyle w:val="13"/>
            </w:pPr>
            <w:r>
              <w:t>正常保障</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14、政协机关用房维修绩效目标表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1.在政协办公区修建一处会议室，保障有关单位会议的正常开展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新增设备</w:t>
            </w:r>
          </w:p>
        </w:tc>
        <w:tc>
          <w:tcPr>
            <w:tcW w:w="2835" w:type="dxa"/>
            <w:vAlign w:val="center"/>
          </w:tcPr>
          <w:p>
            <w:pPr>
              <w:pStyle w:val="13"/>
            </w:pPr>
            <w:r>
              <w:t>新增led屏数量</w:t>
            </w:r>
          </w:p>
        </w:tc>
        <w:tc>
          <w:tcPr>
            <w:tcW w:w="2551" w:type="dxa"/>
            <w:vAlign w:val="center"/>
          </w:tcPr>
          <w:p>
            <w:pPr>
              <w:pStyle w:val="13"/>
            </w:pPr>
            <w:r>
              <w:t>1套</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新增空调设备数量</w:t>
            </w:r>
          </w:p>
        </w:tc>
        <w:tc>
          <w:tcPr>
            <w:tcW w:w="2835" w:type="dxa"/>
            <w:vAlign w:val="center"/>
          </w:tcPr>
          <w:p>
            <w:pPr>
              <w:pStyle w:val="13"/>
            </w:pPr>
            <w:r>
              <w:t>新增空调设备数量</w:t>
            </w:r>
          </w:p>
        </w:tc>
        <w:tc>
          <w:tcPr>
            <w:tcW w:w="2551" w:type="dxa"/>
            <w:vAlign w:val="center"/>
          </w:tcPr>
          <w:p>
            <w:pPr>
              <w:pStyle w:val="13"/>
            </w:pPr>
            <w:r>
              <w:t>4台</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2835" w:type="dxa"/>
            <w:vAlign w:val="center"/>
          </w:tcPr>
          <w:p>
            <w:pPr>
              <w:pStyle w:val="13"/>
            </w:pPr>
            <w:r>
              <w:t>工程质量合格率</w:t>
            </w:r>
          </w:p>
        </w:tc>
        <w:tc>
          <w:tcPr>
            <w:tcW w:w="2551" w:type="dxa"/>
            <w:vAlign w:val="center"/>
          </w:tcPr>
          <w:p>
            <w:pPr>
              <w:pStyle w:val="13"/>
            </w:pPr>
            <w:r>
              <w:t>≥95%</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2835" w:type="dxa"/>
            <w:vAlign w:val="center"/>
          </w:tcPr>
          <w:p>
            <w:pPr>
              <w:pStyle w:val="13"/>
            </w:pPr>
            <w:r>
              <w:t>工程完成及时率</w:t>
            </w:r>
          </w:p>
        </w:tc>
        <w:tc>
          <w:tcPr>
            <w:tcW w:w="2551" w:type="dxa"/>
            <w:vAlign w:val="center"/>
          </w:tcPr>
          <w:p>
            <w:pPr>
              <w:pStyle w:val="13"/>
            </w:pPr>
            <w:r>
              <w:t>≥95%</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人工总费用</w:t>
            </w:r>
          </w:p>
        </w:tc>
        <w:tc>
          <w:tcPr>
            <w:tcW w:w="2835" w:type="dxa"/>
            <w:vAlign w:val="center"/>
          </w:tcPr>
          <w:p>
            <w:pPr>
              <w:pStyle w:val="13"/>
            </w:pPr>
            <w:r>
              <w:t>人工费用</w:t>
            </w:r>
          </w:p>
        </w:tc>
        <w:tc>
          <w:tcPr>
            <w:tcW w:w="2551" w:type="dxa"/>
            <w:vAlign w:val="center"/>
          </w:tcPr>
          <w:p>
            <w:pPr>
              <w:pStyle w:val="13"/>
            </w:pPr>
            <w:r>
              <w:t>≤49000元</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材料费</w:t>
            </w:r>
          </w:p>
        </w:tc>
        <w:tc>
          <w:tcPr>
            <w:tcW w:w="2835" w:type="dxa"/>
            <w:vAlign w:val="center"/>
          </w:tcPr>
          <w:p>
            <w:pPr>
              <w:pStyle w:val="13"/>
            </w:pPr>
            <w:r>
              <w:t>材料费用</w:t>
            </w:r>
          </w:p>
        </w:tc>
        <w:tc>
          <w:tcPr>
            <w:tcW w:w="2551" w:type="dxa"/>
            <w:vAlign w:val="center"/>
          </w:tcPr>
          <w:p>
            <w:pPr>
              <w:pStyle w:val="13"/>
            </w:pPr>
            <w:r>
              <w:t>≤355000元</w:t>
            </w:r>
          </w:p>
        </w:tc>
        <w:tc>
          <w:tcPr>
            <w:tcW w:w="2268" w:type="dxa"/>
            <w:vAlign w:val="center"/>
          </w:tcPr>
          <w:p>
            <w:pPr>
              <w:pStyle w:val="13"/>
            </w:pPr>
            <w:r>
              <w:t>根据工程预算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公共服务水平提升情况</w:t>
            </w:r>
          </w:p>
        </w:tc>
        <w:tc>
          <w:tcPr>
            <w:tcW w:w="2835" w:type="dxa"/>
            <w:vAlign w:val="center"/>
          </w:tcPr>
          <w:p>
            <w:pPr>
              <w:pStyle w:val="13"/>
            </w:pPr>
            <w:r>
              <w:t>供应对公共服务水平的提升情况</w:t>
            </w:r>
          </w:p>
        </w:tc>
        <w:tc>
          <w:tcPr>
            <w:tcW w:w="2551" w:type="dxa"/>
            <w:vAlign w:val="center"/>
          </w:tcPr>
          <w:p>
            <w:pPr>
              <w:pStyle w:val="13"/>
            </w:pPr>
            <w:r>
              <w:t>≥95%</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保障会议室正常运转</w:t>
            </w:r>
          </w:p>
        </w:tc>
        <w:tc>
          <w:tcPr>
            <w:tcW w:w="2835" w:type="dxa"/>
            <w:vAlign w:val="center"/>
          </w:tcPr>
          <w:p>
            <w:pPr>
              <w:pStyle w:val="13"/>
            </w:pPr>
            <w:r>
              <w:t>保障会议室正常运转</w:t>
            </w:r>
          </w:p>
        </w:tc>
        <w:tc>
          <w:tcPr>
            <w:tcW w:w="2551" w:type="dxa"/>
            <w:vAlign w:val="center"/>
          </w:tcPr>
          <w:p>
            <w:pPr>
              <w:pStyle w:val="13"/>
            </w:pPr>
            <w:r>
              <w:t>正常保障</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工作环境改善情况</w:t>
            </w:r>
          </w:p>
        </w:tc>
        <w:tc>
          <w:tcPr>
            <w:tcW w:w="2835" w:type="dxa"/>
            <w:vAlign w:val="center"/>
          </w:tcPr>
          <w:p>
            <w:pPr>
              <w:pStyle w:val="13"/>
            </w:pPr>
            <w:r>
              <w:t>工作环境改善情况</w:t>
            </w:r>
          </w:p>
        </w:tc>
        <w:tc>
          <w:tcPr>
            <w:tcW w:w="2551" w:type="dxa"/>
            <w:vAlign w:val="center"/>
          </w:tcPr>
          <w:p>
            <w:pPr>
              <w:pStyle w:val="13"/>
            </w:pPr>
            <w:r>
              <w:t>明显改善</w:t>
            </w:r>
          </w:p>
        </w:tc>
        <w:tc>
          <w:tcPr>
            <w:tcW w:w="2268" w:type="dxa"/>
            <w:vAlign w:val="center"/>
          </w:tcPr>
          <w:p>
            <w:pPr>
              <w:pStyle w:val="13"/>
            </w:pPr>
            <w:r>
              <w:t>根据工作保障情况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w:t>
            </w:r>
          </w:p>
        </w:tc>
        <w:tc>
          <w:tcPr>
            <w:tcW w:w="2835" w:type="dxa"/>
            <w:vAlign w:val="center"/>
          </w:tcPr>
          <w:p>
            <w:pPr>
              <w:pStyle w:val="13"/>
            </w:pPr>
            <w:r>
              <w:t>调查中满意和较满意的人数占全部调查人数的比率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受益群体满意度</w:t>
            </w:r>
          </w:p>
        </w:tc>
        <w:tc>
          <w:tcPr>
            <w:tcW w:w="2835" w:type="dxa"/>
            <w:vAlign w:val="center"/>
          </w:tcPr>
          <w:p>
            <w:pPr>
              <w:pStyle w:val="13"/>
            </w:pPr>
            <w:r>
              <w:t>受益群体调查中，满意与较满意的人数占全部调查人数的比率</w:t>
            </w:r>
          </w:p>
        </w:tc>
        <w:tc>
          <w:tcPr>
            <w:tcW w:w="2551" w:type="dxa"/>
            <w:vAlign w:val="center"/>
          </w:tcPr>
          <w:p>
            <w:pPr>
              <w:pStyle w:val="13"/>
            </w:pPr>
            <w:r>
              <w:t>≥95%</w:t>
            </w:r>
          </w:p>
        </w:tc>
        <w:tc>
          <w:tcPr>
            <w:tcW w:w="2268" w:type="dxa"/>
            <w:vAlign w:val="center"/>
          </w:tcPr>
          <w:p>
            <w:pPr>
              <w:pStyle w:val="13"/>
            </w:pPr>
            <w:r>
              <w:t>根据反馈意见及建议</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2022年，平乡县机关事务管理局</w:t>
      </w:r>
      <w:r>
        <w:rPr>
          <w:rFonts w:hint="eastAsia" w:eastAsia="方正仿宋_GBK"/>
          <w:color w:val="000000"/>
          <w:sz w:val="28"/>
          <w:lang w:eastAsia="zh-CN"/>
        </w:rPr>
        <w:t>本级</w:t>
      </w:r>
      <w:r>
        <w:rPr>
          <w:rFonts w:eastAsia="方正仿宋_GBK"/>
          <w:color w:val="000000"/>
          <w:sz w:val="28"/>
        </w:rPr>
        <w:t>安排政府采购预算543.00万元。具体内容见下表。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430</w:t>
            </w:r>
            <w:r>
              <w:rPr>
                <w:rFonts w:hint="eastAsia"/>
                <w:lang w:val="en-US" w:eastAsia="zh-CN"/>
              </w:rPr>
              <w:t>001</w:t>
            </w:r>
            <w:r>
              <w:t>平乡县机关事务管理局</w:t>
            </w:r>
            <w:r>
              <w:rPr>
                <w:rFonts w:hint="eastAsia"/>
                <w:lang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543.00</w:t>
            </w:r>
          </w:p>
        </w:tc>
        <w:tc>
          <w:tcPr>
            <w:tcW w:w="964" w:type="dxa"/>
            <w:vAlign w:val="center"/>
          </w:tcPr>
          <w:p>
            <w:pPr>
              <w:pStyle w:val="16"/>
            </w:pPr>
            <w:r>
              <w:t>543.00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平乡县机关事务管理局本级小计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543.00</w:t>
            </w:r>
          </w:p>
        </w:tc>
        <w:tc>
          <w:tcPr>
            <w:tcW w:w="964" w:type="dxa"/>
            <w:vAlign w:val="center"/>
          </w:tcPr>
          <w:p>
            <w:pPr>
              <w:pStyle w:val="16"/>
            </w:pPr>
            <w:r>
              <w:t>543.00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第二行政区供暖改造项目yp</w:t>
            </w:r>
          </w:p>
        </w:tc>
        <w:tc>
          <w:tcPr>
            <w:tcW w:w="964" w:type="dxa"/>
            <w:vAlign w:val="center"/>
          </w:tcPr>
          <w:p>
            <w:pPr>
              <w:pStyle w:val="12"/>
            </w:pPr>
            <w:r>
              <w:t>145.00</w:t>
            </w:r>
          </w:p>
        </w:tc>
        <w:tc>
          <w:tcPr>
            <w:tcW w:w="1134" w:type="dxa"/>
            <w:vAlign w:val="center"/>
          </w:tcPr>
          <w:p>
            <w:pPr>
              <w:pStyle w:val="13"/>
            </w:pPr>
            <w:r>
              <w:t>供暖设备安装</w:t>
            </w:r>
          </w:p>
        </w:tc>
        <w:tc>
          <w:tcPr>
            <w:tcW w:w="1134" w:type="dxa"/>
            <w:vAlign w:val="center"/>
          </w:tcPr>
          <w:p>
            <w:pPr>
              <w:pStyle w:val="13"/>
            </w:pPr>
            <w:r>
              <w:t>B0605</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145.00</w:t>
            </w:r>
          </w:p>
        </w:tc>
        <w:tc>
          <w:tcPr>
            <w:tcW w:w="964" w:type="dxa"/>
            <w:vAlign w:val="center"/>
          </w:tcPr>
          <w:p>
            <w:pPr>
              <w:pStyle w:val="12"/>
            </w:pPr>
            <w:r>
              <w:t>145.00</w:t>
            </w:r>
          </w:p>
        </w:tc>
        <w:tc>
          <w:tcPr>
            <w:tcW w:w="964" w:type="dxa"/>
            <w:vAlign w:val="center"/>
          </w:tcPr>
          <w:p>
            <w:pPr>
              <w:pStyle w:val="12"/>
            </w:pPr>
            <w:r>
              <w:t>145.00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机关集中办公区物业费项目（运转保障）</w:t>
            </w:r>
          </w:p>
        </w:tc>
        <w:tc>
          <w:tcPr>
            <w:tcW w:w="964" w:type="dxa"/>
            <w:vAlign w:val="center"/>
          </w:tcPr>
          <w:p>
            <w:pPr>
              <w:pStyle w:val="12"/>
            </w:pPr>
            <w:r>
              <w:t>398.00</w:t>
            </w:r>
          </w:p>
        </w:tc>
        <w:tc>
          <w:tcPr>
            <w:tcW w:w="1134" w:type="dxa"/>
            <w:vAlign w:val="center"/>
          </w:tcPr>
          <w:p>
            <w:pPr>
              <w:pStyle w:val="13"/>
            </w:pPr>
            <w:r>
              <w:t>其他服务</w:t>
            </w:r>
          </w:p>
        </w:tc>
        <w:tc>
          <w:tcPr>
            <w:tcW w:w="1134" w:type="dxa"/>
            <w:vAlign w:val="center"/>
          </w:tcPr>
          <w:p>
            <w:pPr>
              <w:pStyle w:val="13"/>
            </w:pPr>
            <w:r>
              <w:t>C99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398.00</w:t>
            </w:r>
          </w:p>
        </w:tc>
        <w:tc>
          <w:tcPr>
            <w:tcW w:w="964" w:type="dxa"/>
            <w:vAlign w:val="center"/>
          </w:tcPr>
          <w:p>
            <w:pPr>
              <w:pStyle w:val="12"/>
            </w:pPr>
            <w:r>
              <w:t>398.00</w:t>
            </w:r>
          </w:p>
        </w:tc>
        <w:tc>
          <w:tcPr>
            <w:tcW w:w="964" w:type="dxa"/>
            <w:vAlign w:val="center"/>
          </w:tcPr>
          <w:p>
            <w:pPr>
              <w:pStyle w:val="12"/>
            </w:pPr>
            <w:r>
              <w:t>398.00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119.40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平乡县机关事务管理局</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lang w:val="en-US" w:eastAsia="zh-CN"/>
        </w:rPr>
        <w:t>1128.79</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430</w:t>
            </w:r>
            <w:r>
              <w:rPr>
                <w:rFonts w:hint="eastAsia"/>
                <w:lang w:val="en-US" w:eastAsia="zh-CN"/>
              </w:rPr>
              <w:t>001</w:t>
            </w:r>
            <w:r>
              <w:t>平乡县机关事务管理局</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1128.79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eastAsia" w:eastAsia="方正书宋_GBK"/>
                <w:lang w:eastAsia="zh-CN"/>
              </w:rPr>
            </w:pPr>
            <w:r>
              <w:t>229</w:t>
            </w:r>
            <w:r>
              <w:rPr>
                <w:rFonts w:hint="eastAsia"/>
                <w:lang w:val="en-US" w:eastAsia="zh-CN"/>
              </w:rPr>
              <w:t>3</w:t>
            </w:r>
          </w:p>
        </w:tc>
        <w:tc>
          <w:tcPr>
            <w:tcW w:w="2835" w:type="dxa"/>
            <w:vAlign w:val="center"/>
          </w:tcPr>
          <w:p>
            <w:pPr>
              <w:pStyle w:val="12"/>
              <w:rPr>
                <w:rFonts w:hint="eastAsia" w:eastAsia="方正书宋_GBK"/>
                <w:lang w:eastAsia="zh-CN"/>
              </w:rPr>
            </w:pPr>
            <w:r>
              <w:t>329.3</w:t>
            </w: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23</w:t>
            </w:r>
          </w:p>
        </w:tc>
        <w:tc>
          <w:tcPr>
            <w:tcW w:w="2835" w:type="dxa"/>
            <w:vAlign w:val="center"/>
          </w:tcPr>
          <w:p>
            <w:pPr>
              <w:pStyle w:val="12"/>
              <w:rPr>
                <w:rFonts w:hint="default" w:eastAsia="方正书宋_GBK"/>
                <w:lang w:val="en-US" w:eastAsia="zh-CN"/>
              </w:rPr>
            </w:pPr>
            <w:r>
              <w:t>2</w:t>
            </w:r>
            <w:r>
              <w:rPr>
                <w:rFonts w:hint="eastAsia"/>
                <w:lang w:val="en-US" w:eastAsia="zh-CN"/>
              </w:rPr>
              <w:t>41</w:t>
            </w:r>
            <w:r>
              <w:t>.</w:t>
            </w:r>
            <w:r>
              <w:rPr>
                <w:rFonts w:hint="eastAsia"/>
                <w:lang w:val="en-US" w:eastAsia="zh-CN"/>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eastAsia" w:eastAsia="方正书宋_GBK"/>
                <w:lang w:eastAsia="zh-CN"/>
              </w:rPr>
            </w:pPr>
            <w:r>
              <w:rPr>
                <w:rFonts w:hint="eastAsia"/>
                <w:lang w:val="en-US" w:eastAsia="zh-CN"/>
              </w:rPr>
              <w:t>2</w:t>
            </w:r>
          </w:p>
        </w:tc>
        <w:tc>
          <w:tcPr>
            <w:tcW w:w="2835" w:type="dxa"/>
            <w:vAlign w:val="center"/>
          </w:tcPr>
          <w:p>
            <w:pPr>
              <w:pStyle w:val="12"/>
              <w:rPr>
                <w:rFonts w:hint="default" w:eastAsia="方正书宋_GBK"/>
                <w:lang w:val="en-US" w:eastAsia="zh-CN"/>
              </w:rPr>
            </w:pPr>
            <w:r>
              <w:rPr>
                <w:rFonts w:hint="eastAsia"/>
                <w:lang w:val="en-US" w:eastAsia="zh-CN"/>
              </w:rPr>
              <w:t>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1568</w:t>
            </w:r>
          </w:p>
        </w:tc>
        <w:tc>
          <w:tcPr>
            <w:tcW w:w="2835" w:type="dxa"/>
            <w:vAlign w:val="center"/>
          </w:tcPr>
          <w:p>
            <w:pPr>
              <w:pStyle w:val="12"/>
              <w:rPr>
                <w:rFonts w:hint="default" w:eastAsia="方正书宋_GBK"/>
                <w:lang w:val="en-US" w:eastAsia="zh-CN"/>
              </w:rPr>
            </w:pPr>
            <w:r>
              <w:rPr>
                <w:rFonts w:hint="eastAsia"/>
                <w:lang w:val="en-US" w:eastAsia="zh-CN"/>
              </w:rPr>
              <w:t>490.88</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720"/>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2"/>
  </w:compat>
  <w:rsids>
    <w:rsidRoot w:val="00AB631D"/>
    <w:rsid w:val="0003008D"/>
    <w:rsid w:val="00221DA2"/>
    <w:rsid w:val="006B552B"/>
    <w:rsid w:val="00AB631D"/>
    <w:rsid w:val="00AC3AC1"/>
    <w:rsid w:val="00BC0C84"/>
    <w:rsid w:val="05685367"/>
    <w:rsid w:val="07755EEF"/>
    <w:rsid w:val="11A22056"/>
    <w:rsid w:val="36A93FA5"/>
    <w:rsid w:val="52996CC4"/>
    <w:rsid w:val="5DF64784"/>
    <w:rsid w:val="63716434"/>
    <w:rsid w:val="64CC64C2"/>
    <w:rsid w:val="6EEB39DC"/>
    <w:rsid w:val="6FBF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1" Target="../customXml/item4.xml" Type="http://schemas.openxmlformats.org/officeDocument/2006/relationships/customXml"/><Relationship Id="rId12" Target="../customXml/item5.xml" Type="http://schemas.openxmlformats.org/officeDocument/2006/relationships/customXml"/><Relationship Id="rId13" Target="../customXml/item6.xml" Type="http://schemas.openxmlformats.org/officeDocument/2006/relationships/customXml"/><Relationship Id="rId14" Target="../customXml/item7.xml" Type="http://schemas.openxmlformats.org/officeDocument/2006/relationships/customXml"/><Relationship Id="rId15" Target="../customXml/item8.xml" Type="http://schemas.openxmlformats.org/officeDocument/2006/relationships/customXml"/><Relationship Id="rId16" Target="../customXml/item9.xml" Type="http://schemas.openxmlformats.org/officeDocument/2006/relationships/customXml"/><Relationship Id="rId17" Target="../customXml/item10.xml" Type="http://schemas.openxmlformats.org/officeDocument/2006/relationships/customXml"/><Relationship Id="rId18" Target="../customXml/item11.xml" Type="http://schemas.openxmlformats.org/officeDocument/2006/relationships/customXml"/><Relationship Id="rId19" Target="../customXml/item12.xml" Type="http://schemas.openxmlformats.org/officeDocument/2006/relationships/customXml"/><Relationship Id="rId2" Target="settings.xml" Type="http://schemas.openxmlformats.org/officeDocument/2006/relationships/settings"/><Relationship Id="rId20" Target="../customXml/item13.xml" Type="http://schemas.openxmlformats.org/officeDocument/2006/relationships/customXml"/><Relationship Id="rId21" Target="../customXml/item14.xml" Type="http://schemas.openxmlformats.org/officeDocument/2006/relationships/customXml"/><Relationship Id="rId22" Target="../customXml/item15.xml" Type="http://schemas.openxmlformats.org/officeDocument/2006/relationships/customXml"/><Relationship Id="rId23" Target="../customXml/item16.xml" Type="http://schemas.openxmlformats.org/officeDocument/2006/relationships/customXml"/><Relationship Id="rId24" Target="../customXml/item17.xml" Type="http://schemas.openxmlformats.org/officeDocument/2006/relationships/customXml"/><Relationship Id="rId25" Target="../customXml/item18.xml" Type="http://schemas.openxmlformats.org/officeDocument/2006/relationships/customXml"/><Relationship Id="rId26" Target="../customXml/item19.xml" Type="http://schemas.openxmlformats.org/officeDocument/2006/relationships/customXml"/><Relationship Id="rId27" Target="../customXml/item20.xml" Type="http://schemas.openxmlformats.org/officeDocument/2006/relationships/customXml"/><Relationship Id="rId28" Target="../customXml/item21.xml" Type="http://schemas.openxmlformats.org/officeDocument/2006/relationships/customXml"/><Relationship Id="rId29" Target="../customXml/item22.xml" Type="http://schemas.openxmlformats.org/officeDocument/2006/relationships/customXml"/><Relationship Id="rId3" Target="footer1.xml" Type="http://schemas.openxmlformats.org/officeDocument/2006/relationships/footer"/><Relationship Id="rId30" Target="../customXml/item23.xml" Type="http://schemas.openxmlformats.org/officeDocument/2006/relationships/customXml"/><Relationship Id="rId31" Target="../customXml/item24.xml" Type="http://schemas.openxmlformats.org/officeDocument/2006/relationships/customXml"/><Relationship Id="rId32" Target="../customXml/item25.xml" Type="http://schemas.openxmlformats.org/officeDocument/2006/relationships/customXml"/><Relationship Id="rId33" Target="../customXml/item26.xml" Type="http://schemas.openxmlformats.org/officeDocument/2006/relationships/customXml"/><Relationship Id="rId34" Target="../customXml/item27.xml" Type="http://schemas.openxmlformats.org/officeDocument/2006/relationships/customXml"/><Relationship Id="rId35" Target="../customXml/item28.xml" Type="http://schemas.openxmlformats.org/officeDocument/2006/relationships/customXml"/><Relationship Id="rId36" Target="../customXml/item29.xml" Type="http://schemas.openxmlformats.org/officeDocument/2006/relationships/customXml"/><Relationship Id="rId37" Target="../customXml/item30.xml" Type="http://schemas.openxmlformats.org/officeDocument/2006/relationships/customXml"/><Relationship Id="rId38" Target="../customXml/item31.xml" Type="http://schemas.openxmlformats.org/officeDocument/2006/relationships/customXml"/><Relationship Id="rId39" Target="../customXml/item32.xml" Type="http://schemas.openxmlformats.org/officeDocument/2006/relationships/customXml"/><Relationship Id="rId4" Target="footer2.xml" Type="http://schemas.openxmlformats.org/officeDocument/2006/relationships/footer"/><Relationship Id="rId40" Target="../customXml/item33.xml" Type="http://schemas.openxmlformats.org/officeDocument/2006/relationships/customXml"/><Relationship Id="rId41" Target="../customXml/item34.xml" Type="http://schemas.openxmlformats.org/officeDocument/2006/relationships/customXml"/><Relationship Id="rId42" Target="../customXml/item35.xml" Type="http://schemas.openxmlformats.org/officeDocument/2006/relationships/customXml"/><Relationship Id="rId43" Target="../customXml/item36.xml" Type="http://schemas.openxmlformats.org/officeDocument/2006/relationships/customXml"/><Relationship Id="rId44" Target="../customXml/item37.xml" Type="http://schemas.openxmlformats.org/officeDocument/2006/relationships/customXml"/><Relationship Id="rId45" Target="../customXml/item38.xml" Type="http://schemas.openxmlformats.org/officeDocument/2006/relationships/customXml"/><Relationship Id="rId46" Target="../customXml/item39.xml" Type="http://schemas.openxmlformats.org/officeDocument/2006/relationships/customXml"/><Relationship Id="rId47" Target="../customXml/item40.xml" Type="http://schemas.openxmlformats.org/officeDocument/2006/relationships/customXml"/><Relationship Id="rId48" Target="../customXml/item41.xml" Type="http://schemas.openxmlformats.org/officeDocument/2006/relationships/customXml"/><Relationship Id="rId49" Target="../customXml/item42.xml" Type="http://schemas.openxmlformats.org/officeDocument/2006/relationships/customXml"/><Relationship Id="rId5" Target="footer3.xml" Type="http://schemas.openxmlformats.org/officeDocument/2006/relationships/footer"/><Relationship Id="rId50" Target="../customXml/item43.xml" Type="http://schemas.openxmlformats.org/officeDocument/2006/relationships/customXml"/><Relationship Id="rId51" Target="../customXml/item44.xml" Type="http://schemas.openxmlformats.org/officeDocument/2006/relationships/customXml"/><Relationship Id="rId52" Target="../customXml/item45.xml" Type="http://schemas.openxmlformats.org/officeDocument/2006/relationships/customXml"/><Relationship Id="rId53" Target="../customXml/item46.xml" Type="http://schemas.openxmlformats.org/officeDocument/2006/relationships/customXml"/><Relationship Id="rId54" Target="../customXml/item47.xml" Type="http://schemas.openxmlformats.org/officeDocument/2006/relationships/customXml"/><Relationship Id="rId55" Target="../customXml/item48.xml" Type="http://schemas.openxmlformats.org/officeDocument/2006/relationships/customXml"/><Relationship Id="rId56" Target="../customXml/item49.xml" Type="http://schemas.openxmlformats.org/officeDocument/2006/relationships/customXml"/><Relationship Id="rId57" Target="../customXml/item50.xml" Type="http://schemas.openxmlformats.org/officeDocument/2006/relationships/customXml"/><Relationship Id="rId58" Target="../customXml/item51.xml" Type="http://schemas.openxmlformats.org/officeDocument/2006/relationships/customXml"/><Relationship Id="rId59" Target="../customXml/item52.xml" Type="http://schemas.openxmlformats.org/officeDocument/2006/relationships/customXml"/><Relationship Id="rId6" Target="footer4.xml" Type="http://schemas.openxmlformats.org/officeDocument/2006/relationships/footer"/><Relationship Id="rId60" Target="../customXml/item53.xml" Type="http://schemas.openxmlformats.org/officeDocument/2006/relationships/customXml"/><Relationship Id="rId61" Target="../customXml/item54.xml" Type="http://schemas.openxmlformats.org/officeDocument/2006/relationships/customXml"/><Relationship Id="rId62" Target="../customXml/item55.xml" Type="http://schemas.openxmlformats.org/officeDocument/2006/relationships/customXml"/><Relationship Id="rId63" Target="../customXml/item56.xml" Type="http://schemas.openxmlformats.org/officeDocument/2006/relationships/customXml"/><Relationship Id="rId64" Target="../customXml/item57.xml" Type="http://schemas.openxmlformats.org/officeDocument/2006/relationships/customXml"/><Relationship Id="rId65" Target="../customXml/item58.xml" Type="http://schemas.openxmlformats.org/officeDocument/2006/relationships/customXml"/><Relationship Id="rId66" Target="../customXml/item59.xml" Type="http://schemas.openxmlformats.org/officeDocument/2006/relationships/customXml"/><Relationship Id="rId67" Target="../customXml/item60.xml" Type="http://schemas.openxmlformats.org/officeDocument/2006/relationships/customXml"/><Relationship Id="rId68" Target="../customXml/item61.xml" Type="http://schemas.openxmlformats.org/officeDocument/2006/relationships/customXml"/><Relationship Id="rId69" Target="../customXml/item62.xml" Type="http://schemas.openxmlformats.org/officeDocument/2006/relationships/customXml"/><Relationship Id="rId7" Target="theme/theme1.xml" Type="http://schemas.openxmlformats.org/officeDocument/2006/relationships/theme"/><Relationship Id="rId70" Target="../customXml/item63.xml" Type="http://schemas.openxmlformats.org/officeDocument/2006/relationships/customXml"/><Relationship Id="rId71" Target="../customXml/item64.xml" Type="http://schemas.openxmlformats.org/officeDocument/2006/relationships/customXml"/><Relationship Id="rId72" Target="../customXml/item65.xml" Type="http://schemas.openxmlformats.org/officeDocument/2006/relationships/customXml"/><Relationship Id="rId73" Target="../customXml/item66.xml" Type="http://schemas.openxmlformats.org/officeDocument/2006/relationships/customXml"/><Relationship Id="rId74" Target="../customXml/item67.xml" Type="http://schemas.openxmlformats.org/officeDocument/2006/relationships/customXml"/><Relationship Id="rId75" Target="fontTable.xml" Type="http://schemas.openxmlformats.org/officeDocument/2006/relationships/fontTabl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2022-03-04T15:07:59Z</dcterms:created>
  <dcterms:modified xsi:type="dcterms:W3CDTF">2022-03-04T07:07:59Z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2022-03-04T15:07:50Z</dcterms:created>
  <dcterms:modified xsi:type="dcterms:W3CDTF">2022-03-04T07:07:50Z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2022-03-04T15:07:56Z</dcterms:created>
  <dcterms:modified xsi:type="dcterms:W3CDTF">2022-03-04T07:07:56Z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2022-03-04T15:07:53Z</dcterms:created>
  <dcterms:modified xsi:type="dcterms:W3CDTF">2022-03-04T07:07:53Z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2022-03-04T15:07:58Z</dcterms:created>
  <dcterms:modified xsi:type="dcterms:W3CDTF">2022-03-04T07:07:58Z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2022-03-04T15:07:57Z</dcterms:created>
  <dcterms:modified xsi:type="dcterms:W3CDTF">2022-03-04T07:07:57Z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2022-03-04T15:07:51Z</dcterms:created>
  <dcterms:modified xsi:type="dcterms:W3CDTF">2022-03-04T07:07:51Z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2022-03-04T15:07:52Z</dcterms:created>
  <dcterms:modified xsi:type="dcterms:W3CDTF">2022-03-04T07:07:52Z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E0F39C6-945D-46A3-945C-1EA75F2B55F3}">
  <ds:schemaRefs/>
</ds:datastoreItem>
</file>

<file path=customXml/itemProps11.xml><?xml version="1.0" encoding="utf-8"?>
<ds:datastoreItem xmlns:ds="http://schemas.openxmlformats.org/officeDocument/2006/customXml" ds:itemID="{B6E8D372-80E0-41FC-81D5-E9A3AAD53EB4}">
  <ds:schemaRefs/>
</ds:datastoreItem>
</file>

<file path=customXml/itemProps12.xml><?xml version="1.0" encoding="utf-8"?>
<ds:datastoreItem xmlns:ds="http://schemas.openxmlformats.org/officeDocument/2006/customXml" ds:itemID="{30ED60F6-9383-4959-A7B9-1DD951F7228B}">
  <ds:schemaRefs/>
</ds:datastoreItem>
</file>

<file path=customXml/itemProps13.xml><?xml version="1.0" encoding="utf-8"?>
<ds:datastoreItem xmlns:ds="http://schemas.openxmlformats.org/officeDocument/2006/customXml" ds:itemID="{DCF40E51-FB55-4316-8861-C787D4D67D92}">
  <ds:schemaRefs/>
</ds:datastoreItem>
</file>

<file path=customXml/itemProps14.xml><?xml version="1.0" encoding="utf-8"?>
<ds:datastoreItem xmlns:ds="http://schemas.openxmlformats.org/officeDocument/2006/customXml" ds:itemID="{917D01D5-2B1D-4CB1-9F1D-23F02D6EA2EA}">
  <ds:schemaRefs/>
</ds:datastoreItem>
</file>

<file path=customXml/itemProps15.xml><?xml version="1.0" encoding="utf-8"?>
<ds:datastoreItem xmlns:ds="http://schemas.openxmlformats.org/officeDocument/2006/customXml" ds:itemID="{6DFFF12E-022E-4909-BA3A-80FF08D8749C}">
  <ds:schemaRefs/>
</ds:datastoreItem>
</file>

<file path=customXml/itemProps16.xml><?xml version="1.0" encoding="utf-8"?>
<ds:datastoreItem xmlns:ds="http://schemas.openxmlformats.org/officeDocument/2006/customXml" ds:itemID="{C658B685-50D1-45D2-99B4-DDF834AC2F78}">
  <ds:schemaRefs/>
</ds:datastoreItem>
</file>

<file path=customXml/itemProps17.xml><?xml version="1.0" encoding="utf-8"?>
<ds:datastoreItem xmlns:ds="http://schemas.openxmlformats.org/officeDocument/2006/customXml" ds:itemID="{7190B72D-AC06-4A48-95CD-3EADD5922C11}">
  <ds:schemaRefs/>
</ds:datastoreItem>
</file>

<file path=customXml/itemProps18.xml><?xml version="1.0" encoding="utf-8"?>
<ds:datastoreItem xmlns:ds="http://schemas.openxmlformats.org/officeDocument/2006/customXml" ds:itemID="{4F4F0536-9287-4FAD-B547-ADD75C4007C7}">
  <ds:schemaRefs/>
</ds:datastoreItem>
</file>

<file path=customXml/itemProps19.xml><?xml version="1.0" encoding="utf-8"?>
<ds:datastoreItem xmlns:ds="http://schemas.openxmlformats.org/officeDocument/2006/customXml" ds:itemID="{34986F23-A56E-45C8-99BA-9B18814F8DA5}">
  <ds:schemaRefs/>
</ds:datastoreItem>
</file>

<file path=customXml/itemProps2.xml><?xml version="1.0" encoding="utf-8"?>
<ds:datastoreItem xmlns:ds="http://schemas.openxmlformats.org/officeDocument/2006/customXml" ds:itemID="{26E09337-2F80-4418-8D1E-36F2BB55E4A2}">
  <ds:schemaRefs/>
</ds:datastoreItem>
</file>

<file path=customXml/itemProps20.xml><?xml version="1.0" encoding="utf-8"?>
<ds:datastoreItem xmlns:ds="http://schemas.openxmlformats.org/officeDocument/2006/customXml" ds:itemID="{E762AA1F-47DB-453F-A6AC-EC21B90113D1}">
  <ds:schemaRefs/>
</ds:datastoreItem>
</file>

<file path=customXml/itemProps21.xml><?xml version="1.0" encoding="utf-8"?>
<ds:datastoreItem xmlns:ds="http://schemas.openxmlformats.org/officeDocument/2006/customXml" ds:itemID="{421303E3-C0D9-45B1-9696-D93CC6AE7739}">
  <ds:schemaRefs/>
</ds:datastoreItem>
</file>

<file path=customXml/itemProps22.xml><?xml version="1.0" encoding="utf-8"?>
<ds:datastoreItem xmlns:ds="http://schemas.openxmlformats.org/officeDocument/2006/customXml" ds:itemID="{794E05AA-F849-4CAF-A4B4-237B8AECBD7D}">
  <ds:schemaRefs/>
</ds:datastoreItem>
</file>

<file path=customXml/itemProps23.xml><?xml version="1.0" encoding="utf-8"?>
<ds:datastoreItem xmlns:ds="http://schemas.openxmlformats.org/officeDocument/2006/customXml" ds:itemID="{4AE516BF-82A6-4CFE-A08E-1A6A14049FCA}">
  <ds:schemaRefs/>
</ds:datastoreItem>
</file>

<file path=customXml/itemProps24.xml><?xml version="1.0" encoding="utf-8"?>
<ds:datastoreItem xmlns:ds="http://schemas.openxmlformats.org/officeDocument/2006/customXml" ds:itemID="{D4316305-BF35-433A-951D-7363E999F765}">
  <ds:schemaRefs/>
</ds:datastoreItem>
</file>

<file path=customXml/itemProps25.xml><?xml version="1.0" encoding="utf-8"?>
<ds:datastoreItem xmlns:ds="http://schemas.openxmlformats.org/officeDocument/2006/customXml" ds:itemID="{72BD28C4-882F-454F-A100-9C3F79DB8607}">
  <ds:schemaRefs/>
</ds:datastoreItem>
</file>

<file path=customXml/itemProps26.xml><?xml version="1.0" encoding="utf-8"?>
<ds:datastoreItem xmlns:ds="http://schemas.openxmlformats.org/officeDocument/2006/customXml" ds:itemID="{5B90F235-C7A9-4627-B552-627509F26AD3}">
  <ds:schemaRefs/>
</ds:datastoreItem>
</file>

<file path=customXml/itemProps27.xml><?xml version="1.0" encoding="utf-8"?>
<ds:datastoreItem xmlns:ds="http://schemas.openxmlformats.org/officeDocument/2006/customXml" ds:itemID="{1014C23B-E9A6-4078-B9F2-06DAE31AC935}">
  <ds:schemaRefs/>
</ds:datastoreItem>
</file>

<file path=customXml/itemProps28.xml><?xml version="1.0" encoding="utf-8"?>
<ds:datastoreItem xmlns:ds="http://schemas.openxmlformats.org/officeDocument/2006/customXml" ds:itemID="{C1684CA2-08DC-421D-8747-6D87AE62AFE2}">
  <ds:schemaRefs/>
</ds:datastoreItem>
</file>

<file path=customXml/itemProps29.xml><?xml version="1.0" encoding="utf-8"?>
<ds:datastoreItem xmlns:ds="http://schemas.openxmlformats.org/officeDocument/2006/customXml" ds:itemID="{4144E97A-4F28-4FEC-8907-0784C3DF3CEF}">
  <ds:schemaRefs/>
</ds:datastoreItem>
</file>

<file path=customXml/itemProps3.xml><?xml version="1.0" encoding="utf-8"?>
<ds:datastoreItem xmlns:ds="http://schemas.openxmlformats.org/officeDocument/2006/customXml" ds:itemID="{23441DC9-6C59-4B77-AEB6-1BE1739ED87F}">
  <ds:schemaRefs/>
</ds:datastoreItem>
</file>

<file path=customXml/itemProps30.xml><?xml version="1.0" encoding="utf-8"?>
<ds:datastoreItem xmlns:ds="http://schemas.openxmlformats.org/officeDocument/2006/customXml" ds:itemID="{D86A230C-982F-4090-8D20-21A786F4F877}">
  <ds:schemaRefs/>
</ds:datastoreItem>
</file>

<file path=customXml/itemProps31.xml><?xml version="1.0" encoding="utf-8"?>
<ds:datastoreItem xmlns:ds="http://schemas.openxmlformats.org/officeDocument/2006/customXml" ds:itemID="{A8CE9620-CD16-4BD0-BB5A-A3B47CC2B231}">
  <ds:schemaRefs/>
</ds:datastoreItem>
</file>

<file path=customXml/itemProps32.xml><?xml version="1.0" encoding="utf-8"?>
<ds:datastoreItem xmlns:ds="http://schemas.openxmlformats.org/officeDocument/2006/customXml" ds:itemID="{A45381A6-B409-4712-81D6-158774CD5770}">
  <ds:schemaRefs/>
</ds:datastoreItem>
</file>

<file path=customXml/itemProps33.xml><?xml version="1.0" encoding="utf-8"?>
<ds:datastoreItem xmlns:ds="http://schemas.openxmlformats.org/officeDocument/2006/customXml" ds:itemID="{BC6D0825-BD41-4BD8-81ED-98A31FD5AE31}">
  <ds:schemaRefs/>
</ds:datastoreItem>
</file>

<file path=customXml/itemProps34.xml><?xml version="1.0" encoding="utf-8"?>
<ds:datastoreItem xmlns:ds="http://schemas.openxmlformats.org/officeDocument/2006/customXml" ds:itemID="{B1E57911-7D93-46FA-9C8B-56112CC9E0B2}">
  <ds:schemaRefs/>
</ds:datastoreItem>
</file>

<file path=customXml/itemProps35.xml><?xml version="1.0" encoding="utf-8"?>
<ds:datastoreItem xmlns:ds="http://schemas.openxmlformats.org/officeDocument/2006/customXml" ds:itemID="{F190E4A4-5D9F-41E6-9AAE-70F40282B641}">
  <ds:schemaRefs/>
</ds:datastoreItem>
</file>

<file path=customXml/itemProps36.xml><?xml version="1.0" encoding="utf-8"?>
<ds:datastoreItem xmlns:ds="http://schemas.openxmlformats.org/officeDocument/2006/customXml" ds:itemID="{BB4EC913-9B2C-4317-BBF5-EDBAEF723D5D}">
  <ds:schemaRefs/>
</ds:datastoreItem>
</file>

<file path=customXml/itemProps37.xml><?xml version="1.0" encoding="utf-8"?>
<ds:datastoreItem xmlns:ds="http://schemas.openxmlformats.org/officeDocument/2006/customXml" ds:itemID="{062DCEA2-7BDD-4BE5-A0E4-E501665B97D8}">
  <ds:schemaRefs/>
</ds:datastoreItem>
</file>

<file path=customXml/itemProps38.xml><?xml version="1.0" encoding="utf-8"?>
<ds:datastoreItem xmlns:ds="http://schemas.openxmlformats.org/officeDocument/2006/customXml" ds:itemID="{0D7E4C54-452F-400B-A26F-09B6284E990C}">
  <ds:schemaRefs/>
</ds:datastoreItem>
</file>

<file path=customXml/itemProps39.xml><?xml version="1.0" encoding="utf-8"?>
<ds:datastoreItem xmlns:ds="http://schemas.openxmlformats.org/officeDocument/2006/customXml" ds:itemID="{69670146-8796-486D-832B-0C469EF11120}">
  <ds:schemaRefs/>
</ds:datastoreItem>
</file>

<file path=customXml/itemProps4.xml><?xml version="1.0" encoding="utf-8"?>
<ds:datastoreItem xmlns:ds="http://schemas.openxmlformats.org/officeDocument/2006/customXml" ds:itemID="{A2454FE8-947F-4628-B2D6-5F8F9084462D}">
  <ds:schemaRefs/>
</ds:datastoreItem>
</file>

<file path=customXml/itemProps40.xml><?xml version="1.0" encoding="utf-8"?>
<ds:datastoreItem xmlns:ds="http://schemas.openxmlformats.org/officeDocument/2006/customXml" ds:itemID="{C9A583C8-9492-47C5-B0A6-FDBE5E0E8CB1}">
  <ds:schemaRefs/>
</ds:datastoreItem>
</file>

<file path=customXml/itemProps41.xml><?xml version="1.0" encoding="utf-8"?>
<ds:datastoreItem xmlns:ds="http://schemas.openxmlformats.org/officeDocument/2006/customXml" ds:itemID="{D1310CE6-C9BA-4724-B6F6-0CC7FEA1566F}">
  <ds:schemaRefs/>
</ds:datastoreItem>
</file>

<file path=customXml/itemProps42.xml><?xml version="1.0" encoding="utf-8"?>
<ds:datastoreItem xmlns:ds="http://schemas.openxmlformats.org/officeDocument/2006/customXml" ds:itemID="{417729CD-9A91-4446-891B-BE23FB42B636}">
  <ds:schemaRefs/>
</ds:datastoreItem>
</file>

<file path=customXml/itemProps43.xml><?xml version="1.0" encoding="utf-8"?>
<ds:datastoreItem xmlns:ds="http://schemas.openxmlformats.org/officeDocument/2006/customXml" ds:itemID="{F5A41AAC-82CC-4C61-8D3F-35B4A99E2879}">
  <ds:schemaRefs/>
</ds:datastoreItem>
</file>

<file path=customXml/itemProps44.xml><?xml version="1.0" encoding="utf-8"?>
<ds:datastoreItem xmlns:ds="http://schemas.openxmlformats.org/officeDocument/2006/customXml" ds:itemID="{0AA0E6D5-7DC8-4B62-B71C-473197A9E44B}">
  <ds:schemaRefs/>
</ds:datastoreItem>
</file>

<file path=customXml/itemProps45.xml><?xml version="1.0" encoding="utf-8"?>
<ds:datastoreItem xmlns:ds="http://schemas.openxmlformats.org/officeDocument/2006/customXml" ds:itemID="{0700A3C3-12AB-4C83-A10F-E88A08E8A5BE}">
  <ds:schemaRefs/>
</ds:datastoreItem>
</file>

<file path=customXml/itemProps46.xml><?xml version="1.0" encoding="utf-8"?>
<ds:datastoreItem xmlns:ds="http://schemas.openxmlformats.org/officeDocument/2006/customXml" ds:itemID="{6366DC93-2887-458F-AD8B-B2B6A3F32210}">
  <ds:schemaRefs/>
</ds:datastoreItem>
</file>

<file path=customXml/itemProps47.xml><?xml version="1.0" encoding="utf-8"?>
<ds:datastoreItem xmlns:ds="http://schemas.openxmlformats.org/officeDocument/2006/customXml" ds:itemID="{B990B1B8-B783-48CF-A372-A5CD624F8E55}">
  <ds:schemaRefs/>
</ds:datastoreItem>
</file>

<file path=customXml/itemProps48.xml><?xml version="1.0" encoding="utf-8"?>
<ds:datastoreItem xmlns:ds="http://schemas.openxmlformats.org/officeDocument/2006/customXml" ds:itemID="{2A0F444B-70E4-4B04-8A87-48FE4299A899}">
  <ds:schemaRefs/>
</ds:datastoreItem>
</file>

<file path=customXml/itemProps49.xml><?xml version="1.0" encoding="utf-8"?>
<ds:datastoreItem xmlns:ds="http://schemas.openxmlformats.org/officeDocument/2006/customXml" ds:itemID="{2573048F-CA9F-4A33-B784-E50CDFF3CAA5}">
  <ds:schemaRefs/>
</ds:datastoreItem>
</file>

<file path=customXml/itemProps5.xml><?xml version="1.0" encoding="utf-8"?>
<ds:datastoreItem xmlns:ds="http://schemas.openxmlformats.org/officeDocument/2006/customXml" ds:itemID="{7D1F1DE8-8276-45D6-A323-274021E6EEDA}">
  <ds:schemaRefs/>
</ds:datastoreItem>
</file>

<file path=customXml/itemProps50.xml><?xml version="1.0" encoding="utf-8"?>
<ds:datastoreItem xmlns:ds="http://schemas.openxmlformats.org/officeDocument/2006/customXml" ds:itemID="{F0DCDC7C-38E2-46E3-A3F9-CB39A7CED591}">
  <ds:schemaRefs/>
</ds:datastoreItem>
</file>

<file path=customXml/itemProps51.xml><?xml version="1.0" encoding="utf-8"?>
<ds:datastoreItem xmlns:ds="http://schemas.openxmlformats.org/officeDocument/2006/customXml" ds:itemID="{B8755B20-A109-45E6-82E6-D12C9C423A82}">
  <ds:schemaRefs/>
</ds:datastoreItem>
</file>

<file path=customXml/itemProps52.xml><?xml version="1.0" encoding="utf-8"?>
<ds:datastoreItem xmlns:ds="http://schemas.openxmlformats.org/officeDocument/2006/customXml" ds:itemID="{11C68EDF-6121-4BCF-9CB7-9E48B1E9C4AE}">
  <ds:schemaRefs/>
</ds:datastoreItem>
</file>

<file path=customXml/itemProps53.xml><?xml version="1.0" encoding="utf-8"?>
<ds:datastoreItem xmlns:ds="http://schemas.openxmlformats.org/officeDocument/2006/customXml" ds:itemID="{26CAEDF2-E4C8-4A54-847C-2B0D100D5FA3}">
  <ds:schemaRefs/>
</ds:datastoreItem>
</file>

<file path=customXml/itemProps54.xml><?xml version="1.0" encoding="utf-8"?>
<ds:datastoreItem xmlns:ds="http://schemas.openxmlformats.org/officeDocument/2006/customXml" ds:itemID="{9742FCF2-F0A1-4885-B509-8086F924B00B}">
  <ds:schemaRefs/>
</ds:datastoreItem>
</file>

<file path=customXml/itemProps55.xml><?xml version="1.0" encoding="utf-8"?>
<ds:datastoreItem xmlns:ds="http://schemas.openxmlformats.org/officeDocument/2006/customXml" ds:itemID="{E25A7317-15A9-49FA-8D4A-AAF9B9D278BA}">
  <ds:schemaRefs/>
</ds:datastoreItem>
</file>

<file path=customXml/itemProps56.xml><?xml version="1.0" encoding="utf-8"?>
<ds:datastoreItem xmlns:ds="http://schemas.openxmlformats.org/officeDocument/2006/customXml" ds:itemID="{244BA0E0-CF6E-4E05-8EF1-13296126CAE3}">
  <ds:schemaRefs/>
</ds:datastoreItem>
</file>

<file path=customXml/itemProps57.xml><?xml version="1.0" encoding="utf-8"?>
<ds:datastoreItem xmlns:ds="http://schemas.openxmlformats.org/officeDocument/2006/customXml" ds:itemID="{68A83B73-3146-4127-832D-B6EC0A359311}">
  <ds:schemaRefs/>
</ds:datastoreItem>
</file>

<file path=customXml/itemProps58.xml><?xml version="1.0" encoding="utf-8"?>
<ds:datastoreItem xmlns:ds="http://schemas.openxmlformats.org/officeDocument/2006/customXml" ds:itemID="{EBADC55D-4E28-40A2-A3AA-DB0FD280B5B0}">
  <ds:schemaRefs/>
</ds:datastoreItem>
</file>

<file path=customXml/itemProps59.xml><?xml version="1.0" encoding="utf-8"?>
<ds:datastoreItem xmlns:ds="http://schemas.openxmlformats.org/officeDocument/2006/customXml" ds:itemID="{6299B645-9A62-4BD9-824E-87DA1BE60A33}">
  <ds:schemaRefs/>
</ds:datastoreItem>
</file>

<file path=customXml/itemProps6.xml><?xml version="1.0" encoding="utf-8"?>
<ds:datastoreItem xmlns:ds="http://schemas.openxmlformats.org/officeDocument/2006/customXml" ds:itemID="{3820D287-C7E7-4609-A2DA-042E54FAC1D4}">
  <ds:schemaRefs/>
</ds:datastoreItem>
</file>

<file path=customXml/itemProps60.xml><?xml version="1.0" encoding="utf-8"?>
<ds:datastoreItem xmlns:ds="http://schemas.openxmlformats.org/officeDocument/2006/customXml" ds:itemID="{F324E982-DA9E-482C-8DF0-B98CA08D835F}">
  <ds:schemaRefs/>
</ds:datastoreItem>
</file>

<file path=customXml/itemProps61.xml><?xml version="1.0" encoding="utf-8"?>
<ds:datastoreItem xmlns:ds="http://schemas.openxmlformats.org/officeDocument/2006/customXml" ds:itemID="{DE14ED75-FBEF-461D-8490-BF126376727E}">
  <ds:schemaRefs/>
</ds:datastoreItem>
</file>

<file path=customXml/itemProps62.xml><?xml version="1.0" encoding="utf-8"?>
<ds:datastoreItem xmlns:ds="http://schemas.openxmlformats.org/officeDocument/2006/customXml" ds:itemID="{ACC5A505-B572-4784-9406-8E5026F66ACE}">
  <ds:schemaRefs/>
</ds:datastoreItem>
</file>

<file path=customXml/itemProps63.xml><?xml version="1.0" encoding="utf-8"?>
<ds:datastoreItem xmlns:ds="http://schemas.openxmlformats.org/officeDocument/2006/customXml" ds:itemID="{74550F53-2211-4F0D-BC5E-1CAE2F02BE5A}">
  <ds:schemaRefs/>
</ds:datastoreItem>
</file>

<file path=customXml/itemProps64.xml><?xml version="1.0" encoding="utf-8"?>
<ds:datastoreItem xmlns:ds="http://schemas.openxmlformats.org/officeDocument/2006/customXml" ds:itemID="{14D5E03E-95B1-4419-B1FF-C7B72DFBD5C9}">
  <ds:schemaRefs/>
</ds:datastoreItem>
</file>

<file path=customXml/itemProps65.xml><?xml version="1.0" encoding="utf-8"?>
<ds:datastoreItem xmlns:ds="http://schemas.openxmlformats.org/officeDocument/2006/customXml" ds:itemID="{8A84EC23-7BCB-49DB-938D-7B7FC616FD45}">
  <ds:schemaRefs/>
</ds:datastoreItem>
</file>

<file path=customXml/itemProps66.xml><?xml version="1.0" encoding="utf-8"?>
<ds:datastoreItem xmlns:ds="http://schemas.openxmlformats.org/officeDocument/2006/customXml" ds:itemID="{ECC95D6E-C39B-4847-B622-6A87061F2522}">
  <ds:schemaRefs/>
</ds:datastoreItem>
</file>

<file path=customXml/itemProps67.xml><?xml version="1.0" encoding="utf-8"?>
<ds:datastoreItem xmlns:ds="http://schemas.openxmlformats.org/officeDocument/2006/customXml" ds:itemID="{E24D5C37-8B88-48EA-899C-6301608D778F}">
  <ds:schemaRefs/>
</ds:datastoreItem>
</file>

<file path=customXml/itemProps7.xml><?xml version="1.0" encoding="utf-8"?>
<ds:datastoreItem xmlns:ds="http://schemas.openxmlformats.org/officeDocument/2006/customXml" ds:itemID="{6D0C91B3-11D4-4226-A9A3-738A5508C04F}">
  <ds:schemaRefs/>
</ds:datastoreItem>
</file>

<file path=customXml/itemProps8.xml><?xml version="1.0" encoding="utf-8"?>
<ds:datastoreItem xmlns:ds="http://schemas.openxmlformats.org/officeDocument/2006/customXml" ds:itemID="{F387195C-F335-4A92-9EF1-D43C4A6C4144}">
  <ds:schemaRefs/>
</ds:datastoreItem>
</file>

<file path=customXml/itemProps9.xml><?xml version="1.0" encoding="utf-8"?>
<ds:datastoreItem xmlns:ds="http://schemas.openxmlformats.org/officeDocument/2006/customXml" ds:itemID="{0CED4176-B5B6-4364-AC74-B886FD674B98}">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3175</Words>
  <Characters>18099</Characters>
  <Lines>150</Lines>
  <Paragraphs>42</Paragraphs>
  <TotalTime>0</TotalTime>
  <ScaleCrop>false</ScaleCrop>
  <LinksUpToDate>false</LinksUpToDate>
  <CharactersWithSpaces>21232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2022-03-04T07:33:00Z</dcterms:created>
  <dc:creator>Administrator</dc:creator>
  <cp:lastModifiedBy>Administrator</cp:lastModifiedBy>
  <dcterms:modified xsi:type="dcterms:W3CDTF">2023-09-06T08:17:48Z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FD3745DC71EA465AA3C868D1DA6E1C39</vt:lpwstr>
  </property>
</Properties>
</file>