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平乡县人民政府办公室所属单位</w:t>
      </w:r>
      <w:r>
        <w:rPr>
          <w:rFonts w:hint="eastAsia" w:ascii="黑体" w:hAnsi="黑体" w:eastAsia="黑体" w:cs="黑体"/>
          <w:b/>
          <w:color w:val="000000"/>
          <w:sz w:val="44"/>
          <w:lang w:val="en-US" w:eastAsia="zh-CN"/>
        </w:rPr>
        <w:t>2023年单位</w:t>
      </w:r>
      <w:bookmarkStart w:id="2" w:name="_GoBack"/>
      <w:bookmarkEnd w:id="2"/>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一、平乡县人民政府办公室本级收支预算</w:t>
      </w:r>
      <w:r>
        <w:tab/>
      </w:r>
      <w:r>
        <w:fldChar w:fldCharType="begin"/>
      </w:r>
      <w:r>
        <w:instrText xml:space="preserve">PAGEREF _Toc_4_4_0000000019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二、平乡县大数据发展中心收支预算</w:t>
      </w:r>
      <w:r>
        <w:tab/>
      </w:r>
      <w:r>
        <w:fldChar w:fldCharType="begin"/>
      </w:r>
      <w:r>
        <w:instrText xml:space="preserve">PAGEREF _Toc_4_4_0000000020 \h</w:instrText>
      </w:r>
      <w:r>
        <w:fldChar w:fldCharType="separate"/>
      </w:r>
      <w:r>
        <w:t>64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一、平乡县人民政府办公室本级收支预算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434001平乡县人民政府办公室本级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973.39</w:t>
            </w:r>
          </w:p>
        </w:tc>
        <w:tc>
          <w:tcPr>
            <w:tcW w:w="4535" w:type="dxa"/>
            <w:vAlign w:val="center"/>
          </w:tcPr>
          <w:p>
            <w:pPr>
              <w:pStyle w:val="14"/>
            </w:pPr>
            <w:r>
              <w:t>一、一般公共服务支出</w:t>
            </w:r>
          </w:p>
        </w:tc>
        <w:tc>
          <w:tcPr>
            <w:tcW w:w="2126" w:type="dxa"/>
            <w:vAlign w:val="center"/>
          </w:tcPr>
          <w:p>
            <w:pPr>
              <w:pStyle w:val="13"/>
            </w:pPr>
            <w:r>
              <w:t>973.39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973.39</w:t>
            </w:r>
          </w:p>
        </w:tc>
        <w:tc>
          <w:tcPr>
            <w:tcW w:w="4535" w:type="dxa"/>
            <w:vAlign w:val="center"/>
          </w:tcPr>
          <w:p>
            <w:pPr>
              <w:pStyle w:val="16"/>
            </w:pPr>
            <w:r>
              <w:t>本年支出合计</w:t>
            </w:r>
          </w:p>
        </w:tc>
        <w:tc>
          <w:tcPr>
            <w:tcW w:w="2126" w:type="dxa"/>
            <w:vAlign w:val="center"/>
          </w:tcPr>
          <w:p>
            <w:pPr>
              <w:pStyle w:val="17"/>
            </w:pPr>
            <w:r>
              <w:t>973.39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973.39</w:t>
            </w:r>
          </w:p>
        </w:tc>
        <w:tc>
          <w:tcPr>
            <w:tcW w:w="4535" w:type="dxa"/>
            <w:vAlign w:val="center"/>
          </w:tcPr>
          <w:p>
            <w:pPr>
              <w:pStyle w:val="16"/>
            </w:pPr>
            <w:r>
              <w:t>支出总计</w:t>
            </w:r>
          </w:p>
        </w:tc>
        <w:tc>
          <w:tcPr>
            <w:tcW w:w="2126" w:type="dxa"/>
            <w:vAlign w:val="center"/>
          </w:tcPr>
          <w:p>
            <w:pPr>
              <w:pStyle w:val="17"/>
            </w:pPr>
            <w:r>
              <w:t>973.39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434001平乡县人民政府办公室本级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973.39</w:t>
            </w:r>
          </w:p>
        </w:tc>
        <w:tc>
          <w:tcPr>
            <w:tcW w:w="1134" w:type="dxa"/>
            <w:vAlign w:val="center"/>
          </w:tcPr>
          <w:p>
            <w:pPr>
              <w:pStyle w:val="17"/>
            </w:pPr>
            <w:r>
              <w:t>973.39</w:t>
            </w:r>
          </w:p>
        </w:tc>
        <w:tc>
          <w:tcPr>
            <w:tcW w:w="1134" w:type="dxa"/>
            <w:vAlign w:val="center"/>
          </w:tcPr>
          <w:p>
            <w:pPr>
              <w:pStyle w:val="17"/>
            </w:pPr>
            <w:r>
              <w:t>973.39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973.39</w:t>
            </w:r>
          </w:p>
        </w:tc>
        <w:tc>
          <w:tcPr>
            <w:tcW w:w="1134" w:type="dxa"/>
            <w:vAlign w:val="center"/>
          </w:tcPr>
          <w:p>
            <w:pPr>
              <w:pStyle w:val="13"/>
            </w:pPr>
            <w:r>
              <w:t>973.39</w:t>
            </w:r>
          </w:p>
        </w:tc>
        <w:tc>
          <w:tcPr>
            <w:tcW w:w="1134" w:type="dxa"/>
            <w:vAlign w:val="center"/>
          </w:tcPr>
          <w:p>
            <w:pPr>
              <w:pStyle w:val="13"/>
            </w:pPr>
            <w:r>
              <w:t>973.39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931.39</w:t>
            </w:r>
          </w:p>
        </w:tc>
        <w:tc>
          <w:tcPr>
            <w:tcW w:w="1134" w:type="dxa"/>
            <w:vAlign w:val="center"/>
          </w:tcPr>
          <w:p>
            <w:pPr>
              <w:pStyle w:val="13"/>
            </w:pPr>
            <w:r>
              <w:t>931.39</w:t>
            </w:r>
          </w:p>
        </w:tc>
        <w:tc>
          <w:tcPr>
            <w:tcW w:w="1134" w:type="dxa"/>
            <w:vAlign w:val="center"/>
          </w:tcPr>
          <w:p>
            <w:pPr>
              <w:pStyle w:val="13"/>
            </w:pPr>
            <w:r>
              <w:t>931.39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512.38</w:t>
            </w:r>
          </w:p>
        </w:tc>
        <w:tc>
          <w:tcPr>
            <w:tcW w:w="1134" w:type="dxa"/>
            <w:vAlign w:val="center"/>
          </w:tcPr>
          <w:p>
            <w:pPr>
              <w:pStyle w:val="13"/>
            </w:pPr>
            <w:r>
              <w:t>512.38</w:t>
            </w:r>
          </w:p>
        </w:tc>
        <w:tc>
          <w:tcPr>
            <w:tcW w:w="1134" w:type="dxa"/>
            <w:vAlign w:val="center"/>
          </w:tcPr>
          <w:p>
            <w:pPr>
              <w:pStyle w:val="13"/>
            </w:pPr>
            <w:r>
              <w:t>512.38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419.01</w:t>
            </w:r>
          </w:p>
        </w:tc>
        <w:tc>
          <w:tcPr>
            <w:tcW w:w="1134" w:type="dxa"/>
            <w:vAlign w:val="center"/>
          </w:tcPr>
          <w:p>
            <w:pPr>
              <w:pStyle w:val="13"/>
            </w:pPr>
            <w:r>
              <w:t>419.01</w:t>
            </w:r>
          </w:p>
        </w:tc>
        <w:tc>
          <w:tcPr>
            <w:tcW w:w="1134" w:type="dxa"/>
            <w:vAlign w:val="center"/>
          </w:tcPr>
          <w:p>
            <w:pPr>
              <w:pStyle w:val="13"/>
            </w:pPr>
            <w:r>
              <w:t>419.01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434001平乡县人民政府办公室本级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973.39</w:t>
            </w:r>
          </w:p>
        </w:tc>
        <w:tc>
          <w:tcPr>
            <w:tcW w:w="1361" w:type="dxa"/>
            <w:vAlign w:val="center"/>
          </w:tcPr>
          <w:p>
            <w:pPr>
              <w:pStyle w:val="17"/>
            </w:pPr>
            <w:r>
              <w:t>554.38</w:t>
            </w:r>
          </w:p>
        </w:tc>
        <w:tc>
          <w:tcPr>
            <w:tcW w:w="1361" w:type="dxa"/>
            <w:vAlign w:val="center"/>
          </w:tcPr>
          <w:p>
            <w:pPr>
              <w:pStyle w:val="17"/>
            </w:pPr>
            <w:r>
              <w:t>419.01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973.39</w:t>
            </w:r>
          </w:p>
        </w:tc>
        <w:tc>
          <w:tcPr>
            <w:tcW w:w="1361" w:type="dxa"/>
            <w:vAlign w:val="center"/>
          </w:tcPr>
          <w:p>
            <w:pPr>
              <w:pStyle w:val="13"/>
            </w:pPr>
            <w:r>
              <w:t>554.38</w:t>
            </w:r>
          </w:p>
        </w:tc>
        <w:tc>
          <w:tcPr>
            <w:tcW w:w="1361" w:type="dxa"/>
            <w:vAlign w:val="center"/>
          </w:tcPr>
          <w:p>
            <w:pPr>
              <w:pStyle w:val="13"/>
            </w:pPr>
            <w:r>
              <w:t>419.01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931.39</w:t>
            </w:r>
          </w:p>
        </w:tc>
        <w:tc>
          <w:tcPr>
            <w:tcW w:w="1361" w:type="dxa"/>
            <w:vAlign w:val="center"/>
          </w:tcPr>
          <w:p>
            <w:pPr>
              <w:pStyle w:val="13"/>
            </w:pPr>
            <w:r>
              <w:t>512.38</w:t>
            </w:r>
          </w:p>
        </w:tc>
        <w:tc>
          <w:tcPr>
            <w:tcW w:w="1361" w:type="dxa"/>
            <w:vAlign w:val="center"/>
          </w:tcPr>
          <w:p>
            <w:pPr>
              <w:pStyle w:val="13"/>
            </w:pPr>
            <w:r>
              <w:t>419.01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512.38</w:t>
            </w:r>
          </w:p>
        </w:tc>
        <w:tc>
          <w:tcPr>
            <w:tcW w:w="1361" w:type="dxa"/>
            <w:vAlign w:val="center"/>
          </w:tcPr>
          <w:p>
            <w:pPr>
              <w:pStyle w:val="13"/>
            </w:pPr>
            <w:r>
              <w:t>512.38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419.01</w:t>
            </w:r>
          </w:p>
        </w:tc>
        <w:tc>
          <w:tcPr>
            <w:tcW w:w="1361" w:type="dxa"/>
            <w:vAlign w:val="center"/>
          </w:tcPr>
          <w:p>
            <w:pPr>
              <w:pStyle w:val="13"/>
            </w:pPr>
          </w:p>
        </w:tc>
        <w:tc>
          <w:tcPr>
            <w:tcW w:w="1361" w:type="dxa"/>
            <w:vAlign w:val="center"/>
          </w:tcPr>
          <w:p>
            <w:pPr>
              <w:pStyle w:val="13"/>
            </w:pPr>
            <w:r>
              <w:t>419.01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434001平乡县人民政府办公室本级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973.39</w:t>
            </w:r>
          </w:p>
        </w:tc>
        <w:tc>
          <w:tcPr>
            <w:tcW w:w="3402" w:type="dxa"/>
            <w:vAlign w:val="center"/>
          </w:tcPr>
          <w:p>
            <w:pPr>
              <w:pStyle w:val="14"/>
            </w:pPr>
            <w:r>
              <w:t>一、一般公共服务支出</w:t>
            </w:r>
          </w:p>
        </w:tc>
        <w:tc>
          <w:tcPr>
            <w:tcW w:w="1474" w:type="dxa"/>
            <w:vAlign w:val="center"/>
          </w:tcPr>
          <w:p>
            <w:pPr>
              <w:pStyle w:val="13"/>
            </w:pPr>
            <w:r>
              <w:t>973.39</w:t>
            </w:r>
          </w:p>
        </w:tc>
        <w:tc>
          <w:tcPr>
            <w:tcW w:w="1474" w:type="dxa"/>
            <w:vAlign w:val="center"/>
          </w:tcPr>
          <w:p>
            <w:pPr>
              <w:pStyle w:val="13"/>
            </w:pPr>
            <w:r>
              <w:t>973.39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973.39</w:t>
            </w:r>
          </w:p>
        </w:tc>
        <w:tc>
          <w:tcPr>
            <w:tcW w:w="3402" w:type="dxa"/>
            <w:vAlign w:val="center"/>
          </w:tcPr>
          <w:p>
            <w:pPr>
              <w:pStyle w:val="16"/>
            </w:pPr>
            <w:r>
              <w:t>本年支出合计</w:t>
            </w:r>
          </w:p>
        </w:tc>
        <w:tc>
          <w:tcPr>
            <w:tcW w:w="1474" w:type="dxa"/>
            <w:vAlign w:val="center"/>
          </w:tcPr>
          <w:p>
            <w:pPr>
              <w:pStyle w:val="17"/>
            </w:pPr>
            <w:r>
              <w:t>973.39</w:t>
            </w:r>
          </w:p>
        </w:tc>
        <w:tc>
          <w:tcPr>
            <w:tcW w:w="1474" w:type="dxa"/>
            <w:vAlign w:val="center"/>
          </w:tcPr>
          <w:p>
            <w:pPr>
              <w:pStyle w:val="17"/>
            </w:pPr>
            <w:r>
              <w:t>973.39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973.39</w:t>
            </w:r>
          </w:p>
        </w:tc>
        <w:tc>
          <w:tcPr>
            <w:tcW w:w="3402" w:type="dxa"/>
            <w:vAlign w:val="center"/>
          </w:tcPr>
          <w:p>
            <w:pPr>
              <w:pStyle w:val="16"/>
            </w:pPr>
            <w:r>
              <w:t>支出总计</w:t>
            </w:r>
          </w:p>
        </w:tc>
        <w:tc>
          <w:tcPr>
            <w:tcW w:w="1474" w:type="dxa"/>
            <w:vAlign w:val="center"/>
          </w:tcPr>
          <w:p>
            <w:pPr>
              <w:pStyle w:val="17"/>
            </w:pPr>
            <w:r>
              <w:t>973.39</w:t>
            </w:r>
          </w:p>
        </w:tc>
        <w:tc>
          <w:tcPr>
            <w:tcW w:w="1474" w:type="dxa"/>
            <w:vAlign w:val="center"/>
          </w:tcPr>
          <w:p>
            <w:pPr>
              <w:pStyle w:val="17"/>
            </w:pPr>
            <w:r>
              <w:t>973.39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434001平乡县人民政府办公室本级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973.39</w:t>
            </w:r>
          </w:p>
        </w:tc>
        <w:tc>
          <w:tcPr>
            <w:tcW w:w="2551" w:type="dxa"/>
            <w:vAlign w:val="center"/>
          </w:tcPr>
          <w:p>
            <w:pPr>
              <w:pStyle w:val="17"/>
            </w:pPr>
            <w:r>
              <w:t>554.38</w:t>
            </w:r>
          </w:p>
        </w:tc>
        <w:tc>
          <w:tcPr>
            <w:tcW w:w="2551" w:type="dxa"/>
            <w:vAlign w:val="center"/>
          </w:tcPr>
          <w:p>
            <w:pPr>
              <w:pStyle w:val="17"/>
            </w:pPr>
            <w:r>
              <w:t>419.01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973.39</w:t>
            </w:r>
          </w:p>
        </w:tc>
        <w:tc>
          <w:tcPr>
            <w:tcW w:w="2551" w:type="dxa"/>
            <w:vAlign w:val="center"/>
          </w:tcPr>
          <w:p>
            <w:pPr>
              <w:pStyle w:val="13"/>
            </w:pPr>
            <w:r>
              <w:t>554.38</w:t>
            </w:r>
          </w:p>
        </w:tc>
        <w:tc>
          <w:tcPr>
            <w:tcW w:w="2551" w:type="dxa"/>
            <w:vAlign w:val="center"/>
          </w:tcPr>
          <w:p>
            <w:pPr>
              <w:pStyle w:val="13"/>
            </w:pPr>
            <w:r>
              <w:t>419.01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931.39</w:t>
            </w:r>
          </w:p>
        </w:tc>
        <w:tc>
          <w:tcPr>
            <w:tcW w:w="2551" w:type="dxa"/>
            <w:vAlign w:val="center"/>
          </w:tcPr>
          <w:p>
            <w:pPr>
              <w:pStyle w:val="13"/>
            </w:pPr>
            <w:r>
              <w:t>512.38</w:t>
            </w:r>
          </w:p>
        </w:tc>
        <w:tc>
          <w:tcPr>
            <w:tcW w:w="2551" w:type="dxa"/>
            <w:vAlign w:val="center"/>
          </w:tcPr>
          <w:p>
            <w:pPr>
              <w:pStyle w:val="13"/>
            </w:pPr>
            <w:r>
              <w:t>419.01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512.38</w:t>
            </w:r>
          </w:p>
        </w:tc>
        <w:tc>
          <w:tcPr>
            <w:tcW w:w="2551" w:type="dxa"/>
            <w:vAlign w:val="center"/>
          </w:tcPr>
          <w:p>
            <w:pPr>
              <w:pStyle w:val="13"/>
            </w:pPr>
            <w:r>
              <w:t>512.38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419.01</w:t>
            </w:r>
          </w:p>
        </w:tc>
        <w:tc>
          <w:tcPr>
            <w:tcW w:w="2551" w:type="dxa"/>
            <w:vAlign w:val="center"/>
          </w:tcPr>
          <w:p>
            <w:pPr>
              <w:pStyle w:val="13"/>
            </w:pPr>
          </w:p>
        </w:tc>
        <w:tc>
          <w:tcPr>
            <w:tcW w:w="2551" w:type="dxa"/>
            <w:vAlign w:val="center"/>
          </w:tcPr>
          <w:p>
            <w:pPr>
              <w:pStyle w:val="13"/>
            </w:pPr>
            <w:r>
              <w:t>419.01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434001平乡县人民政府办公室本级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554.38</w:t>
            </w:r>
          </w:p>
        </w:tc>
        <w:tc>
          <w:tcPr>
            <w:tcW w:w="2551" w:type="dxa"/>
            <w:vAlign w:val="center"/>
          </w:tcPr>
          <w:p>
            <w:pPr>
              <w:pStyle w:val="17"/>
            </w:pPr>
            <w:r>
              <w:t>518.90</w:t>
            </w:r>
          </w:p>
        </w:tc>
        <w:tc>
          <w:tcPr>
            <w:tcW w:w="2551" w:type="dxa"/>
            <w:vAlign w:val="center"/>
          </w:tcPr>
          <w:p>
            <w:pPr>
              <w:pStyle w:val="17"/>
            </w:pPr>
            <w:r>
              <w:t>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501.00</w:t>
            </w:r>
          </w:p>
        </w:tc>
        <w:tc>
          <w:tcPr>
            <w:tcW w:w="2551" w:type="dxa"/>
            <w:vAlign w:val="center"/>
          </w:tcPr>
          <w:p>
            <w:pPr>
              <w:pStyle w:val="13"/>
            </w:pPr>
            <w:r>
              <w:t>501.00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320.00</w:t>
            </w:r>
          </w:p>
        </w:tc>
        <w:tc>
          <w:tcPr>
            <w:tcW w:w="2551" w:type="dxa"/>
            <w:vAlign w:val="center"/>
          </w:tcPr>
          <w:p>
            <w:pPr>
              <w:pStyle w:val="13"/>
            </w:pPr>
            <w:r>
              <w:t>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12.30</w:t>
            </w:r>
          </w:p>
        </w:tc>
        <w:tc>
          <w:tcPr>
            <w:tcW w:w="2551" w:type="dxa"/>
            <w:vAlign w:val="center"/>
          </w:tcPr>
          <w:p>
            <w:pPr>
              <w:pStyle w:val="13"/>
            </w:pPr>
            <w:r>
              <w:t>12.30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34.20</w:t>
            </w:r>
          </w:p>
        </w:tc>
        <w:tc>
          <w:tcPr>
            <w:tcW w:w="2551" w:type="dxa"/>
            <w:vAlign w:val="center"/>
          </w:tcPr>
          <w:p>
            <w:pPr>
              <w:pStyle w:val="13"/>
            </w:pPr>
            <w:r>
              <w:t>34.20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40.00</w:t>
            </w:r>
          </w:p>
        </w:tc>
        <w:tc>
          <w:tcPr>
            <w:tcW w:w="2551" w:type="dxa"/>
            <w:vAlign w:val="center"/>
          </w:tcPr>
          <w:p>
            <w:pPr>
              <w:pStyle w:val="13"/>
            </w:pPr>
            <w:r>
              <w:t>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35.48</w:t>
            </w:r>
          </w:p>
        </w:tc>
        <w:tc>
          <w:tcPr>
            <w:tcW w:w="2551" w:type="dxa"/>
            <w:vAlign w:val="center"/>
          </w:tcPr>
          <w:p>
            <w:pPr>
              <w:pStyle w:val="13"/>
            </w:pPr>
          </w:p>
        </w:tc>
        <w:tc>
          <w:tcPr>
            <w:tcW w:w="2551" w:type="dxa"/>
            <w:vAlign w:val="center"/>
          </w:tcPr>
          <w:p>
            <w:pPr>
              <w:pStyle w:val="13"/>
            </w:pPr>
            <w:r>
              <w:t>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3.40</w:t>
            </w:r>
          </w:p>
        </w:tc>
        <w:tc>
          <w:tcPr>
            <w:tcW w:w="2551" w:type="dxa"/>
            <w:vAlign w:val="center"/>
          </w:tcPr>
          <w:p>
            <w:pPr>
              <w:pStyle w:val="13"/>
            </w:pPr>
          </w:p>
        </w:tc>
        <w:tc>
          <w:tcPr>
            <w:tcW w:w="2551" w:type="dxa"/>
            <w:vAlign w:val="center"/>
          </w:tcPr>
          <w:p>
            <w:pPr>
              <w:pStyle w:val="13"/>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0.94</w:t>
            </w:r>
          </w:p>
        </w:tc>
        <w:tc>
          <w:tcPr>
            <w:tcW w:w="2551" w:type="dxa"/>
            <w:vAlign w:val="center"/>
          </w:tcPr>
          <w:p>
            <w:pPr>
              <w:pStyle w:val="13"/>
            </w:pPr>
          </w:p>
        </w:tc>
        <w:tc>
          <w:tcPr>
            <w:tcW w:w="2551"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0.94</w:t>
            </w:r>
          </w:p>
        </w:tc>
        <w:tc>
          <w:tcPr>
            <w:tcW w:w="2551" w:type="dxa"/>
            <w:vAlign w:val="center"/>
          </w:tcPr>
          <w:p>
            <w:pPr>
              <w:pStyle w:val="13"/>
            </w:pPr>
          </w:p>
        </w:tc>
        <w:tc>
          <w:tcPr>
            <w:tcW w:w="2551"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24.00</w:t>
            </w:r>
          </w:p>
        </w:tc>
        <w:tc>
          <w:tcPr>
            <w:tcW w:w="2551" w:type="dxa"/>
            <w:vAlign w:val="center"/>
          </w:tcPr>
          <w:p>
            <w:pPr>
              <w:pStyle w:val="13"/>
            </w:pPr>
          </w:p>
        </w:tc>
        <w:tc>
          <w:tcPr>
            <w:tcW w:w="2551"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17.90</w:t>
            </w:r>
          </w:p>
        </w:tc>
        <w:tc>
          <w:tcPr>
            <w:tcW w:w="2551" w:type="dxa"/>
            <w:vAlign w:val="center"/>
          </w:tcPr>
          <w:p>
            <w:pPr>
              <w:pStyle w:val="13"/>
            </w:pPr>
            <w:r>
              <w:t>17.90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11.90</w:t>
            </w:r>
          </w:p>
        </w:tc>
        <w:tc>
          <w:tcPr>
            <w:tcW w:w="2551" w:type="dxa"/>
            <w:vAlign w:val="center"/>
          </w:tcPr>
          <w:p>
            <w:pPr>
              <w:pStyle w:val="13"/>
            </w:pPr>
            <w:r>
              <w:t>11.90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434001平乡县人民政府办公室本级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310" w:firstLineChars="11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434001平乡县人民政府办公室本级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434001平乡县人民政府办公室本级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26.00</w:t>
            </w:r>
          </w:p>
        </w:tc>
        <w:tc>
          <w:tcPr>
            <w:tcW w:w="2381" w:type="dxa"/>
            <w:vAlign w:val="center"/>
          </w:tcPr>
          <w:p>
            <w:pPr>
              <w:pStyle w:val="17"/>
              <w:rPr>
                <w:rFonts w:hint="default" w:eastAsia="方正书宋_GBK"/>
                <w:lang w:val="en-US" w:eastAsia="zh-CN"/>
              </w:rPr>
            </w:pPr>
            <w:r>
              <w:rPr>
                <w:rFonts w:hint="eastAsia"/>
                <w:lang w:val="en-US" w:eastAsia="zh-CN"/>
              </w:rPr>
              <w:t>26.00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26.00</w:t>
            </w:r>
          </w:p>
        </w:tc>
        <w:tc>
          <w:tcPr>
            <w:tcW w:w="2381" w:type="dxa"/>
            <w:vAlign w:val="center"/>
          </w:tcPr>
          <w:p>
            <w:pPr>
              <w:pStyle w:val="13"/>
              <w:rPr>
                <w:rFonts w:hint="default" w:eastAsia="方正书宋_GBK"/>
                <w:lang w:val="en-US" w:eastAsia="zh-CN"/>
              </w:rPr>
            </w:pPr>
            <w:r>
              <w:rPr>
                <w:rFonts w:hint="eastAsia"/>
                <w:lang w:val="en-US" w:eastAsia="zh-CN"/>
              </w:rPr>
              <w:t>26.00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20.00</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平乡县人民政府办公室本级2023年单位预算信息公开情况说明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按照《预算法》、《地方预决算公开操作规程》和《关于进一步推进预算公开工作的实施意见》规定，现将平乡县人民政府办公室本级2023年单位预算公开如下：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协助县政府领导组织起草或审核上报市政府、市政府办公室和致函市政府各部门的公文，以及以县政府、县政府办公室名义发布的公文；负责县政府、县政府办公室日常公文办理，包括省政府、省政府办公厅和市政府、市政府办公室及市政府各部门来文办理，县政府各部门、各乡镇（街道）政府来文办理。</w:t>
      </w:r>
    </w:p>
    <w:p>
      <w:pPr>
        <w:pStyle w:val="27"/>
      </w:pPr>
      <w:r>
        <w:t>（二）负责县政府领导活动的组织和协调工作；负责县政府会议的准备和服务工作，协助县政府领导组织落实会议决定事项。</w:t>
      </w:r>
    </w:p>
    <w:p>
      <w:pPr>
        <w:pStyle w:val="27"/>
      </w:pPr>
      <w:r>
        <w:t>（三）研究县政府各部门和各乡镇（街道）政府请示县政府的事项，提出审核意见，报县政府领导审批。</w:t>
      </w:r>
    </w:p>
    <w:p>
      <w:pPr>
        <w:pStyle w:val="27"/>
      </w:pPr>
      <w:r>
        <w:t>（四）根据县政府领导的批示，对县政府各部门间出现的争议问题提出处理意见，报县政府领导决定。</w:t>
      </w:r>
    </w:p>
    <w:p>
      <w:pPr>
        <w:pStyle w:val="27"/>
      </w:pPr>
      <w:r>
        <w:t>（五）组织起草县政府领导重要讲话及其他重要文稿。</w:t>
      </w:r>
    </w:p>
    <w:p>
      <w:pPr>
        <w:pStyle w:val="27"/>
      </w:pPr>
      <w:r>
        <w:t>（六）督促检查县政府各部门、各乡镇（街道）政府对市政府和县政府决定事项及市政府和县政府领导重要批示的执行落实情况并跟踪调研，及时向县政府领导报告。</w:t>
      </w:r>
    </w:p>
    <w:p>
      <w:pPr>
        <w:pStyle w:val="27"/>
      </w:pPr>
      <w:r>
        <w:t>（七）组织承办人大代表建议和政协提案工作。</w:t>
      </w:r>
    </w:p>
    <w:p>
      <w:pPr>
        <w:pStyle w:val="27"/>
      </w:pPr>
      <w:r>
        <w:t>（八）负责承办县政府提请县人大常委会任免议案和提请县政府任免人员的行政任免有关手续；负责承办县政府任命工作人员的宪法宣誓工作。</w:t>
      </w:r>
    </w:p>
    <w:p>
      <w:pPr>
        <w:pStyle w:val="27"/>
      </w:pPr>
      <w:r>
        <w:t>（九）负责县政府值班工作，及时报告重要情况，传达和督促落实县政府领导工作要求。</w:t>
      </w:r>
    </w:p>
    <w:p>
      <w:pPr>
        <w:pStyle w:val="27"/>
      </w:pPr>
      <w:r>
        <w:t>（十）根据县政府工作部署和县政府领导要求，组织专题调研，及时反映情况，提出建议。</w:t>
      </w:r>
    </w:p>
    <w:p>
      <w:pPr>
        <w:pStyle w:val="27"/>
      </w:pPr>
      <w:r>
        <w:t>（十一）负责推进、指导、协调、监督、考核评估全县政务公开和政府信息公开工作。</w:t>
      </w:r>
    </w:p>
    <w:p>
      <w:pPr>
        <w:pStyle w:val="27"/>
      </w:pPr>
      <w:r>
        <w:t>（十二）负责政务信息（包括舆情信息）服务工作。</w:t>
      </w:r>
    </w:p>
    <w:p>
      <w:pPr>
        <w:pStyle w:val="27"/>
      </w:pPr>
      <w:r>
        <w:t>（十三）协同有关部门统筹协调县政府新闻宣传、舆情回应等工作。</w:t>
      </w:r>
    </w:p>
    <w:p>
      <w:pPr>
        <w:pStyle w:val="27"/>
      </w:pPr>
      <w:r>
        <w:t>（十四）负责全县政府系统电子政务工作。</w:t>
      </w:r>
    </w:p>
    <w:p>
      <w:pPr>
        <w:pStyle w:val="27"/>
      </w:pPr>
      <w:r>
        <w:t>（十五）负责县政府公务接待工作；做好县政府办公室有关行政事务工作；</w:t>
      </w:r>
    </w:p>
    <w:p>
      <w:pPr>
        <w:pStyle w:val="27"/>
      </w:pPr>
      <w:r>
        <w:t>（十六）根据县委、县政府工作部署，承担或参与重要政策的调查研究工作。根据县政府工作部署，单独或组织、协同有关方面起草、修改县政府有关重要文件、报告、讲话。负责县《政府工作报告》的起草与组织协调工作。对我县改革开放和经济社会发展中重大问题进行调查研究，提出政策性建议。组织各乡镇（街道）政府和县政府各部门围绕县委、县政府确定的重要课题协作攻关。对县内外经济形势跟踪研究，收集、分析、整理、研判和报送经济社会发展中重要信息、动态，为县政府决策提供建议和咨询。</w:t>
      </w:r>
    </w:p>
    <w:p>
      <w:pPr>
        <w:pStyle w:val="27"/>
      </w:pPr>
      <w:r>
        <w:t>（十七）贯彻落实国家、省市金融方针政策和法律法规，提出促进和加强金融业发展的建议；协调引进金融机构，引导各类金融机构支持服务实体经济发展；协调配合国家金融监管部门依法加强金融监管，整顿和规范金融市场秩序；协调做好金融运行中涉及地方政府配合的相关工作；贯彻落实省市金融改革工作部署，指导农村信用社改革；负责拟定多层次资本市场培育政策措施，协调推动、培育推荐企业挂牌上市，牵头全县直接融资工作；负责全县地方金融管理工作；指导协调有关部门和各乡镇（街道）人民政府做好投资公司和开展信用互助的农民专业合作社等机构的规范发展和风险处置工作；统筹协调互联网金融、基金等金融业态的监督管理工作；协调有关部门依法做好防范和处置非法集资工作；负责做好地方金融消费者权益保护工作；协调组织全县金融风险防范和处置化解工作，配合有关部门依法做好非法金融案件调查处理、善后处置和维护金融稳定工作。</w:t>
      </w:r>
    </w:p>
    <w:p>
      <w:pPr>
        <w:pStyle w:val="27"/>
      </w:pPr>
      <w:r>
        <w:t>（十八)贯彻落实党中央和省委、市委、县委关于外事和港澳工作的方针政策和决策部署，坚持和加强党对外事和港澳工作的集中统一领导。贯彻执行和协调推进全县对外交流合作规划和部署，对全县外事工作履行综合归口管理职能。接受中共平乡县委外事工作委员会的直接领导，承担中共平乡县委外事工作委员会的具体工作，负责承办县领导对外交往事宜，负责指导和管理全县因公出国、赴港澳工作，负责重要外宾邀请、报批工作，会同或配合有关部门处理我县的涉外事务。</w:t>
      </w:r>
    </w:p>
    <w:p>
      <w:pPr>
        <w:pStyle w:val="27"/>
      </w:pPr>
      <w:r>
        <w:t>（十九) 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平乡县人民政府办公室本级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反映本单位当年全部收入。2023年预算收入</w:t>
      </w:r>
      <w:r>
        <w:rPr>
          <w:rFonts w:hint="eastAsia"/>
          <w:lang w:val="en-US" w:eastAsia="zh-CN"/>
        </w:rPr>
        <w:t>973.39</w:t>
      </w:r>
      <w:r>
        <w:t>万元，其中：一般公共预算收入</w:t>
      </w:r>
      <w:r>
        <w:rPr>
          <w:rFonts w:hint="eastAsia"/>
          <w:lang w:val="en-US" w:eastAsia="zh-CN"/>
        </w:rPr>
        <w:t>973.39</w:t>
      </w:r>
      <w:r>
        <w:t>万元，基金预算收入0万元，财政专户核拨收入0万元，其他来源收入0万元，上年结转0万元。</w:t>
      </w:r>
    </w:p>
    <w:p>
      <w:pPr>
        <w:pStyle w:val="28"/>
      </w:pPr>
      <w:r>
        <w:t>2、支出说明</w:t>
      </w:r>
    </w:p>
    <w:p>
      <w:pPr>
        <w:pStyle w:val="28"/>
      </w:pPr>
      <w:r>
        <w:t>收支预算总表支出栏、基本支出表、项目支出表按经济分类和支出功能分类科目编制，反映平乡县人民政府办公室年度预算中支出预算的总体情况。2023年部门支出预算为</w:t>
      </w:r>
      <w:r>
        <w:rPr>
          <w:rFonts w:hint="eastAsia"/>
          <w:lang w:val="en-US" w:eastAsia="zh-CN"/>
        </w:rPr>
        <w:t>973.39</w:t>
      </w:r>
      <w:r>
        <w:t>万元，其中基本支出</w:t>
      </w:r>
      <w:r>
        <w:rPr>
          <w:rFonts w:hint="eastAsia"/>
          <w:lang w:val="en-US" w:eastAsia="zh-CN"/>
        </w:rPr>
        <w:t>554.38</w:t>
      </w:r>
      <w:r>
        <w:t>万元，包括人员经费</w:t>
      </w:r>
      <w:r>
        <w:rPr>
          <w:rFonts w:hint="eastAsia"/>
          <w:lang w:val="en-US" w:eastAsia="zh-CN"/>
        </w:rPr>
        <w:t>518.9</w:t>
      </w:r>
      <w:r>
        <w:t>万元和日常公用经费</w:t>
      </w:r>
      <w:r>
        <w:rPr>
          <w:rFonts w:hint="eastAsia"/>
          <w:lang w:val="en-US" w:eastAsia="zh-CN"/>
        </w:rPr>
        <w:t>35.48</w:t>
      </w:r>
      <w:r>
        <w:t>万元；项目支出</w:t>
      </w:r>
      <w:r>
        <w:rPr>
          <w:rFonts w:hint="eastAsia"/>
          <w:lang w:val="en-US" w:eastAsia="zh-CN"/>
        </w:rPr>
        <w:t>419.01</w:t>
      </w:r>
      <w:r>
        <w:t>万元，主要政务服务与政务管理、综合业务事务管理、政府电子政务管理与服务、金融综合业务管理等。</w:t>
      </w:r>
    </w:p>
    <w:p>
      <w:pPr>
        <w:pStyle w:val="28"/>
      </w:pPr>
      <w:r>
        <w:t>3、比上年增减情况</w:t>
      </w:r>
    </w:p>
    <w:p>
      <w:pPr>
        <w:pStyle w:val="28"/>
        <w:rPr>
          <w:rFonts w:hint="eastAsia" w:eastAsia="方正仿宋_GBK"/>
          <w:lang w:eastAsia="zh-CN"/>
        </w:rPr>
      </w:pPr>
      <w:r>
        <w:t>2023年单位预算收支安排</w:t>
      </w:r>
      <w:r>
        <w:rPr>
          <w:rFonts w:hint="eastAsia"/>
          <w:lang w:val="en-US" w:eastAsia="zh-CN"/>
        </w:rPr>
        <w:t>973.39</w:t>
      </w:r>
      <w:r>
        <w:t>万元，较2022年减少</w:t>
      </w:r>
      <w:r>
        <w:rPr>
          <w:rFonts w:hint="eastAsia"/>
          <w:lang w:val="en-US" w:eastAsia="zh-CN"/>
        </w:rPr>
        <w:t>379.12</w:t>
      </w:r>
      <w:r>
        <w:t>万元，其中：基本支出减少</w:t>
      </w:r>
      <w:r>
        <w:rPr>
          <w:rFonts w:hint="eastAsia"/>
          <w:lang w:val="en-US" w:eastAsia="zh-CN"/>
        </w:rPr>
        <w:t>47.24</w:t>
      </w:r>
      <w:r>
        <w:t>万元，主要是人员调出。项目支出减少</w:t>
      </w:r>
      <w:r>
        <w:rPr>
          <w:rFonts w:hint="eastAsia"/>
          <w:lang w:val="en-US" w:eastAsia="zh-CN"/>
        </w:rPr>
        <w:t>331.88</w:t>
      </w:r>
      <w:r>
        <w:t>万元</w:t>
      </w:r>
      <w:r>
        <w:rPr>
          <w:rFonts w:hint="eastAsia"/>
          <w:lang w:eastAsia="zh-CN"/>
        </w:rPr>
        <w:t>，减少人防宣教基地建设项目。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w:t>
      </w:r>
      <w:r>
        <w:rPr>
          <w:rFonts w:hint="eastAsia"/>
          <w:lang w:val="en-US" w:eastAsia="zh-CN"/>
        </w:rPr>
        <w:t>3</w:t>
      </w:r>
      <w:r>
        <w:t>年，我单位运行经费共计安排</w:t>
      </w:r>
      <w:r>
        <w:rPr>
          <w:rFonts w:hint="eastAsia"/>
          <w:lang w:val="en-US" w:eastAsia="zh-CN"/>
        </w:rPr>
        <w:t>35.48</w:t>
      </w:r>
      <w:r>
        <w:t>万元，主要用于保证机关正常运转的办公费、邮电费、交通补贴、福利费、工会经费等支出。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26万元，其中：因公出国（境）费0万元；公务用车购置及运维费20万元（其中：公务用车购置费0万元，公务用车运行维护费20万元)；公务接待费6万元。“三公”经费比上年减少2万元（其中公务接待费减少2万元），主要是我单位积极响应国家政策，严格公车使用、公务接待管理，“三公”经费有所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1、12345热线平台绩效目标表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1.建立12345政务服务热线平台，确保企业和群众反映的问题及时得到处置和办理。</w:t>
            </w:r>
            <w:r>
              <w:tab/>
            </w:r>
            <w:r>
              <w:tab/>
            </w:r>
            <w:r>
              <w:tab/>
            </w:r>
            <w:r>
              <w:tab/>
            </w:r>
          </w:p>
          <w:p>
            <w:pPr>
              <w:pStyle w:val="14"/>
            </w:pPr>
            <w:r>
              <w:t>2.优化工作流程、资源配置和运行机制，提升服务效能。</w:t>
            </w:r>
            <w:r>
              <w:tab/>
            </w:r>
            <w:r>
              <w:tab/>
            </w:r>
          </w:p>
          <w:p>
            <w:pPr>
              <w:pStyle w:val="14"/>
            </w:pPr>
            <w:r>
              <w:t>3.切实提高12345热线服务水平。</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热线平台坐席</w:t>
            </w:r>
          </w:p>
        </w:tc>
        <w:tc>
          <w:tcPr>
            <w:tcW w:w="2835" w:type="dxa"/>
            <w:vAlign w:val="center"/>
          </w:tcPr>
          <w:p>
            <w:pPr>
              <w:pStyle w:val="14"/>
            </w:pPr>
            <w:r>
              <w:t>热线平台坐席数量</w:t>
            </w:r>
          </w:p>
        </w:tc>
        <w:tc>
          <w:tcPr>
            <w:tcW w:w="2551" w:type="dxa"/>
            <w:vAlign w:val="center"/>
          </w:tcPr>
          <w:p>
            <w:pPr>
              <w:pStyle w:val="14"/>
            </w:pPr>
            <w:r>
              <w:t>4个</w:t>
            </w:r>
          </w:p>
        </w:tc>
        <w:tc>
          <w:tcPr>
            <w:tcW w:w="2268"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热线办理率</w:t>
            </w:r>
          </w:p>
        </w:tc>
        <w:tc>
          <w:tcPr>
            <w:tcW w:w="2835" w:type="dxa"/>
            <w:vAlign w:val="center"/>
          </w:tcPr>
          <w:p>
            <w:pPr>
              <w:pStyle w:val="14"/>
            </w:pPr>
            <w:r>
              <w:t>热线电话接听率及办结率</w:t>
            </w:r>
          </w:p>
        </w:tc>
        <w:tc>
          <w:tcPr>
            <w:tcW w:w="2551" w:type="dxa"/>
            <w:vAlign w:val="center"/>
          </w:tcPr>
          <w:p>
            <w:pPr>
              <w:pStyle w:val="14"/>
            </w:pPr>
            <w:r>
              <w:t>100%</w:t>
            </w:r>
          </w:p>
        </w:tc>
        <w:tc>
          <w:tcPr>
            <w:tcW w:w="2268"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平台建设按期完成</w:t>
            </w:r>
          </w:p>
        </w:tc>
        <w:tc>
          <w:tcPr>
            <w:tcW w:w="2835" w:type="dxa"/>
            <w:vAlign w:val="center"/>
          </w:tcPr>
          <w:p>
            <w:pPr>
              <w:pStyle w:val="14"/>
            </w:pPr>
            <w:r>
              <w:t>平台建设按期完成率</w:t>
            </w:r>
            <w:r>
              <w:tab/>
            </w:r>
          </w:p>
          <w:p>
            <w:pPr>
              <w:pStyle w:val="14"/>
            </w:pPr>
          </w:p>
        </w:tc>
        <w:tc>
          <w:tcPr>
            <w:tcW w:w="2551" w:type="dxa"/>
            <w:vAlign w:val="center"/>
          </w:tcPr>
          <w:p>
            <w:pPr>
              <w:pStyle w:val="14"/>
            </w:pPr>
            <w:r>
              <w:t>100%</w:t>
            </w:r>
          </w:p>
        </w:tc>
        <w:tc>
          <w:tcPr>
            <w:tcW w:w="2268"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坐席服务费</w:t>
            </w:r>
          </w:p>
        </w:tc>
        <w:tc>
          <w:tcPr>
            <w:tcW w:w="2835" w:type="dxa"/>
            <w:vAlign w:val="center"/>
          </w:tcPr>
          <w:p>
            <w:pPr>
              <w:pStyle w:val="14"/>
            </w:pPr>
            <w:r>
              <w:t>每个坐席服务费</w:t>
            </w:r>
            <w:r>
              <w:tab/>
            </w:r>
          </w:p>
          <w:p>
            <w:pPr>
              <w:pStyle w:val="14"/>
            </w:pPr>
          </w:p>
        </w:tc>
        <w:tc>
          <w:tcPr>
            <w:tcW w:w="2551" w:type="dxa"/>
            <w:vAlign w:val="center"/>
          </w:tcPr>
          <w:p>
            <w:pPr>
              <w:pStyle w:val="14"/>
            </w:pPr>
            <w:r>
              <w:t>2.79万元</w:t>
            </w:r>
          </w:p>
        </w:tc>
        <w:tc>
          <w:tcPr>
            <w:tcW w:w="2268"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提升服务效能</w:t>
            </w:r>
          </w:p>
        </w:tc>
        <w:tc>
          <w:tcPr>
            <w:tcW w:w="2835" w:type="dxa"/>
            <w:vAlign w:val="center"/>
          </w:tcPr>
          <w:p>
            <w:pPr>
              <w:pStyle w:val="14"/>
            </w:pPr>
            <w:r>
              <w:t>公共服务提升情况</w:t>
            </w:r>
            <w:r>
              <w:tab/>
            </w:r>
          </w:p>
          <w:p>
            <w:pPr>
              <w:pStyle w:val="14"/>
            </w:pPr>
          </w:p>
        </w:tc>
        <w:tc>
          <w:tcPr>
            <w:tcW w:w="2551" w:type="dxa"/>
            <w:vAlign w:val="center"/>
          </w:tcPr>
          <w:p>
            <w:pPr>
              <w:pStyle w:val="14"/>
            </w:pPr>
            <w:r>
              <w:t>明显提升</w:t>
            </w:r>
          </w:p>
        </w:tc>
        <w:tc>
          <w:tcPr>
            <w:tcW w:w="2268"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提升热线平台整体服务</w:t>
            </w:r>
          </w:p>
        </w:tc>
        <w:tc>
          <w:tcPr>
            <w:tcW w:w="2835" w:type="dxa"/>
            <w:vAlign w:val="center"/>
          </w:tcPr>
          <w:p>
            <w:pPr>
              <w:pStyle w:val="14"/>
            </w:pPr>
            <w:r>
              <w:t>热线平台整体运行服务情况</w:t>
            </w:r>
            <w:r>
              <w:tab/>
            </w:r>
          </w:p>
          <w:p>
            <w:pPr>
              <w:pStyle w:val="14"/>
            </w:pPr>
          </w:p>
        </w:tc>
        <w:tc>
          <w:tcPr>
            <w:tcW w:w="2551" w:type="dxa"/>
            <w:vAlign w:val="center"/>
          </w:tcPr>
          <w:p>
            <w:pPr>
              <w:pStyle w:val="14"/>
            </w:pPr>
            <w:r>
              <w:t>运行稳定</w:t>
            </w:r>
          </w:p>
        </w:tc>
        <w:tc>
          <w:tcPr>
            <w:tcW w:w="2268"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平台稳定运行</w:t>
            </w:r>
          </w:p>
        </w:tc>
        <w:tc>
          <w:tcPr>
            <w:tcW w:w="2835" w:type="dxa"/>
            <w:vAlign w:val="center"/>
          </w:tcPr>
          <w:p>
            <w:pPr>
              <w:pStyle w:val="14"/>
            </w:pPr>
            <w:r>
              <w:t>平台稳定运行期限</w:t>
            </w:r>
          </w:p>
        </w:tc>
        <w:tc>
          <w:tcPr>
            <w:tcW w:w="2551" w:type="dxa"/>
            <w:vAlign w:val="center"/>
          </w:tcPr>
          <w:p>
            <w:pPr>
              <w:pStyle w:val="14"/>
            </w:pPr>
            <w:r>
              <w:t>长期运行</w:t>
            </w:r>
          </w:p>
        </w:tc>
        <w:tc>
          <w:tcPr>
            <w:tcW w:w="2268"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群众投诉满意率</w:t>
            </w:r>
          </w:p>
        </w:tc>
        <w:tc>
          <w:tcPr>
            <w:tcW w:w="2835" w:type="dxa"/>
            <w:vAlign w:val="center"/>
          </w:tcPr>
          <w:p>
            <w:pPr>
              <w:pStyle w:val="14"/>
            </w:pPr>
            <w:r>
              <w:t>解决问题满意数占投诉问题总数的比率</w:t>
            </w:r>
          </w:p>
        </w:tc>
        <w:tc>
          <w:tcPr>
            <w:tcW w:w="2551" w:type="dxa"/>
            <w:vAlign w:val="center"/>
          </w:tcPr>
          <w:p>
            <w:pPr>
              <w:pStyle w:val="14"/>
            </w:pPr>
            <w:r>
              <w:t>≥95%</w:t>
            </w:r>
          </w:p>
        </w:tc>
        <w:tc>
          <w:tcPr>
            <w:tcW w:w="2268" w:type="dxa"/>
            <w:vAlign w:val="center"/>
          </w:tcPr>
          <w:p>
            <w:pPr>
              <w:pStyle w:val="14"/>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群众对受诉单位满意率</w:t>
            </w:r>
          </w:p>
        </w:tc>
        <w:tc>
          <w:tcPr>
            <w:tcW w:w="2835" w:type="dxa"/>
            <w:vAlign w:val="center"/>
          </w:tcPr>
          <w:p>
            <w:pPr>
              <w:pStyle w:val="14"/>
            </w:pPr>
            <w:r>
              <w:t>解决问题满意数占受诉单位承办问题总数的比率</w:t>
            </w:r>
          </w:p>
        </w:tc>
        <w:tc>
          <w:tcPr>
            <w:tcW w:w="2551" w:type="dxa"/>
            <w:vAlign w:val="center"/>
          </w:tcPr>
          <w:p>
            <w:pPr>
              <w:pStyle w:val="14"/>
            </w:pPr>
            <w:r>
              <w:t>≥95%</w:t>
            </w:r>
          </w:p>
        </w:tc>
        <w:tc>
          <w:tcPr>
            <w:tcW w:w="2268" w:type="dxa"/>
            <w:vAlign w:val="center"/>
          </w:tcPr>
          <w:p>
            <w:pPr>
              <w:pStyle w:val="14"/>
            </w:pPr>
            <w:r>
              <w:t>电话回访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2、电子政务外网结构优化服务绩效目标表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1.建立联通省、市、县、乡、村五级政务外网平台，保障政府网络安全运行政府信息公开平台正常运转。</w:t>
            </w:r>
            <w:r>
              <w:tab/>
            </w:r>
            <w:r>
              <w:tab/>
            </w:r>
            <w:r>
              <w:tab/>
            </w:r>
            <w:r>
              <w:tab/>
            </w:r>
          </w:p>
          <w:p>
            <w:pPr>
              <w:pStyle w:val="14"/>
            </w:pPr>
            <w:r>
              <w:t>2.建立安全、便民、高效的政府网站</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市级政务外网专线</w:t>
            </w:r>
          </w:p>
        </w:tc>
        <w:tc>
          <w:tcPr>
            <w:tcW w:w="2835" w:type="dxa"/>
            <w:vAlign w:val="center"/>
          </w:tcPr>
          <w:p>
            <w:pPr>
              <w:pStyle w:val="14"/>
            </w:pPr>
            <w:r>
              <w:t>市级政务外网专线</w:t>
            </w:r>
          </w:p>
        </w:tc>
        <w:tc>
          <w:tcPr>
            <w:tcW w:w="2551" w:type="dxa"/>
            <w:vAlign w:val="center"/>
          </w:tcPr>
          <w:p>
            <w:pPr>
              <w:pStyle w:val="14"/>
            </w:pPr>
            <w:r>
              <w:t>1条</w:t>
            </w:r>
          </w:p>
        </w:tc>
        <w:tc>
          <w:tcPr>
            <w:tcW w:w="2268"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等保测评完成率</w:t>
            </w:r>
          </w:p>
        </w:tc>
        <w:tc>
          <w:tcPr>
            <w:tcW w:w="2835" w:type="dxa"/>
            <w:vAlign w:val="center"/>
          </w:tcPr>
          <w:p>
            <w:pPr>
              <w:pStyle w:val="14"/>
            </w:pPr>
            <w:r>
              <w:t>等保测评完成率</w:t>
            </w:r>
          </w:p>
        </w:tc>
        <w:tc>
          <w:tcPr>
            <w:tcW w:w="2551" w:type="dxa"/>
            <w:vAlign w:val="center"/>
          </w:tcPr>
          <w:p>
            <w:pPr>
              <w:pStyle w:val="14"/>
            </w:pPr>
            <w:r>
              <w:t>100%</w:t>
            </w:r>
          </w:p>
        </w:tc>
        <w:tc>
          <w:tcPr>
            <w:tcW w:w="2268"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等保测评完成及时率</w:t>
            </w:r>
          </w:p>
        </w:tc>
        <w:tc>
          <w:tcPr>
            <w:tcW w:w="2835" w:type="dxa"/>
            <w:vAlign w:val="center"/>
          </w:tcPr>
          <w:p>
            <w:pPr>
              <w:pStyle w:val="14"/>
            </w:pPr>
            <w:r>
              <w:t>等保测评完成及时率</w:t>
            </w:r>
          </w:p>
        </w:tc>
        <w:tc>
          <w:tcPr>
            <w:tcW w:w="2551" w:type="dxa"/>
            <w:vAlign w:val="center"/>
          </w:tcPr>
          <w:p>
            <w:pPr>
              <w:pStyle w:val="14"/>
            </w:pPr>
            <w:r>
              <w:t>100%</w:t>
            </w:r>
          </w:p>
        </w:tc>
        <w:tc>
          <w:tcPr>
            <w:tcW w:w="2268"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等保测评、专线服务费</w:t>
            </w:r>
          </w:p>
        </w:tc>
        <w:tc>
          <w:tcPr>
            <w:tcW w:w="2835" w:type="dxa"/>
            <w:vAlign w:val="center"/>
          </w:tcPr>
          <w:p>
            <w:pPr>
              <w:pStyle w:val="14"/>
            </w:pPr>
            <w:r>
              <w:t>等保测评、专线服务费</w:t>
            </w:r>
          </w:p>
        </w:tc>
        <w:tc>
          <w:tcPr>
            <w:tcW w:w="2551" w:type="dxa"/>
            <w:vAlign w:val="center"/>
          </w:tcPr>
          <w:p>
            <w:pPr>
              <w:pStyle w:val="14"/>
            </w:pPr>
            <w:r>
              <w:t>≤11.85万元</w:t>
            </w:r>
          </w:p>
        </w:tc>
        <w:tc>
          <w:tcPr>
            <w:tcW w:w="2268"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提供网络整体运行服务</w:t>
            </w:r>
          </w:p>
        </w:tc>
        <w:tc>
          <w:tcPr>
            <w:tcW w:w="2835" w:type="dxa"/>
            <w:vAlign w:val="center"/>
          </w:tcPr>
          <w:p>
            <w:pPr>
              <w:pStyle w:val="14"/>
            </w:pPr>
            <w:r>
              <w:t>提供网络整体运行服务</w:t>
            </w:r>
          </w:p>
        </w:tc>
        <w:tc>
          <w:tcPr>
            <w:tcW w:w="2551" w:type="dxa"/>
            <w:vAlign w:val="center"/>
          </w:tcPr>
          <w:p>
            <w:pPr>
              <w:pStyle w:val="14"/>
            </w:pPr>
            <w:r>
              <w:t>支撑政务外网应用系统运行</w:t>
            </w:r>
          </w:p>
        </w:tc>
        <w:tc>
          <w:tcPr>
            <w:tcW w:w="2268"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w:t>
            </w:r>
          </w:p>
        </w:tc>
        <w:tc>
          <w:tcPr>
            <w:tcW w:w="2835" w:type="dxa"/>
            <w:vAlign w:val="center"/>
          </w:tcPr>
          <w:p>
            <w:pPr>
              <w:pStyle w:val="14"/>
            </w:pPr>
            <w:r>
              <w:t>公共服务水平提升情况</w:t>
            </w:r>
          </w:p>
        </w:tc>
        <w:tc>
          <w:tcPr>
            <w:tcW w:w="2551" w:type="dxa"/>
            <w:vAlign w:val="center"/>
          </w:tcPr>
          <w:p>
            <w:pPr>
              <w:pStyle w:val="14"/>
            </w:pPr>
            <w:r>
              <w:t>明显提升</w:t>
            </w:r>
          </w:p>
        </w:tc>
        <w:tc>
          <w:tcPr>
            <w:tcW w:w="2268"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网络安全稳定运行</w:t>
            </w:r>
          </w:p>
        </w:tc>
        <w:tc>
          <w:tcPr>
            <w:tcW w:w="2835" w:type="dxa"/>
            <w:vAlign w:val="center"/>
          </w:tcPr>
          <w:p>
            <w:pPr>
              <w:pStyle w:val="14"/>
            </w:pPr>
            <w:r>
              <w:t>网络安全稳定运行</w:t>
            </w:r>
          </w:p>
        </w:tc>
        <w:tc>
          <w:tcPr>
            <w:tcW w:w="2551" w:type="dxa"/>
            <w:vAlign w:val="center"/>
          </w:tcPr>
          <w:p>
            <w:pPr>
              <w:pStyle w:val="14"/>
            </w:pPr>
            <w:r>
              <w:t>稳定运行</w:t>
            </w:r>
          </w:p>
        </w:tc>
        <w:tc>
          <w:tcPr>
            <w:tcW w:w="2268"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通用设备运行的满意率</w:t>
            </w:r>
          </w:p>
        </w:tc>
        <w:tc>
          <w:tcPr>
            <w:tcW w:w="2835" w:type="dxa"/>
            <w:vAlign w:val="center"/>
          </w:tcPr>
          <w:p>
            <w:pPr>
              <w:pStyle w:val="14"/>
            </w:pPr>
            <w:r>
              <w:t>使用终端满意数占总数的比率</w:t>
            </w:r>
          </w:p>
        </w:tc>
        <w:tc>
          <w:tcPr>
            <w:tcW w:w="2551" w:type="dxa"/>
            <w:vAlign w:val="center"/>
          </w:tcPr>
          <w:p>
            <w:pPr>
              <w:pStyle w:val="14"/>
            </w:pPr>
            <w:r>
              <w:t>≥90%</w:t>
            </w:r>
          </w:p>
        </w:tc>
        <w:tc>
          <w:tcPr>
            <w:tcW w:w="2268" w:type="dxa"/>
            <w:vAlign w:val="center"/>
          </w:tcPr>
          <w:p>
            <w:pPr>
              <w:pStyle w:val="14"/>
            </w:pPr>
            <w:r>
              <w:t>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使用终端满意率</w:t>
            </w:r>
          </w:p>
        </w:tc>
        <w:tc>
          <w:tcPr>
            <w:tcW w:w="2835" w:type="dxa"/>
            <w:vAlign w:val="center"/>
          </w:tcPr>
          <w:p>
            <w:pPr>
              <w:pStyle w:val="14"/>
            </w:pPr>
            <w:r>
              <w:t>使用终端满意数占总数的比率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3、金融综合业务管理绩效目标表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1突出宣传教育、风险排查、风险处置，建立健全监测预警体系，推动非法集资等风险处置工作，维护社会稳定和金融秩序</w:t>
            </w:r>
            <w:r>
              <w:tab/>
            </w:r>
            <w:r>
              <w:tab/>
            </w:r>
            <w:r>
              <w:tab/>
            </w:r>
            <w:r>
              <w:tab/>
            </w:r>
          </w:p>
          <w:p>
            <w:pPr>
              <w:pStyle w:val="14"/>
            </w:pPr>
            <w:r>
              <w:t>2加强对县域企业挂牌上市知识培训，引导企业开展挂牌上市</w:t>
            </w:r>
            <w:r>
              <w:tab/>
            </w:r>
            <w:r>
              <w:tab/>
            </w:r>
          </w:p>
          <w:p>
            <w:pPr>
              <w:pStyle w:val="14"/>
            </w:pPr>
            <w:r>
              <w:t>3协调金融业与全县经济社会发展的衔接，为县域经济发展提供有力金融支撑。</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督导乡镇、部门的防范和处置非法集资工作</w:t>
            </w:r>
          </w:p>
        </w:tc>
        <w:tc>
          <w:tcPr>
            <w:tcW w:w="2835" w:type="dxa"/>
            <w:vAlign w:val="center"/>
          </w:tcPr>
          <w:p>
            <w:pPr>
              <w:pStyle w:val="14"/>
            </w:pPr>
            <w:r>
              <w:t>督导次数</w:t>
            </w:r>
          </w:p>
        </w:tc>
        <w:tc>
          <w:tcPr>
            <w:tcW w:w="2551" w:type="dxa"/>
            <w:vAlign w:val="center"/>
          </w:tcPr>
          <w:p>
            <w:pPr>
              <w:pStyle w:val="14"/>
            </w:pPr>
            <w:r>
              <w:t>≥4个</w:t>
            </w:r>
          </w:p>
        </w:tc>
        <w:tc>
          <w:tcPr>
            <w:tcW w:w="2268" w:type="dxa"/>
            <w:vAlign w:val="center"/>
          </w:tcPr>
          <w:p>
            <w:pPr>
              <w:pStyle w:val="14"/>
            </w:pPr>
            <w:r>
              <w:t>《邢台市打击和处置非法集资工作领导小组办公室关于印发2022年防范和处置非法集资工作要点的通知》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防范非法集资宣传次数</w:t>
            </w:r>
          </w:p>
        </w:tc>
        <w:tc>
          <w:tcPr>
            <w:tcW w:w="2835" w:type="dxa"/>
            <w:vAlign w:val="center"/>
          </w:tcPr>
          <w:p>
            <w:pPr>
              <w:pStyle w:val="14"/>
            </w:pPr>
            <w:r>
              <w:t>宣传次数</w:t>
            </w:r>
          </w:p>
        </w:tc>
        <w:tc>
          <w:tcPr>
            <w:tcW w:w="2551" w:type="dxa"/>
            <w:vAlign w:val="center"/>
          </w:tcPr>
          <w:p>
            <w:pPr>
              <w:pStyle w:val="14"/>
            </w:pPr>
            <w:r>
              <w:t>≥12次</w:t>
            </w:r>
          </w:p>
        </w:tc>
        <w:tc>
          <w:tcPr>
            <w:tcW w:w="2268" w:type="dxa"/>
            <w:vAlign w:val="center"/>
          </w:tcPr>
          <w:p>
            <w:pPr>
              <w:pStyle w:val="14"/>
            </w:pPr>
            <w:r>
              <w:t>《邢台市打击和处置非法集资工作领导小组办公室关于印发2022年防范和处置非法集资工作要点的通知》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组织银企对接活动</w:t>
            </w:r>
          </w:p>
        </w:tc>
        <w:tc>
          <w:tcPr>
            <w:tcW w:w="2835" w:type="dxa"/>
            <w:vAlign w:val="center"/>
          </w:tcPr>
          <w:p>
            <w:pPr>
              <w:pStyle w:val="14"/>
            </w:pPr>
            <w:r>
              <w:t>组织县辖银行业金融机构与企业进行对接</w:t>
            </w:r>
          </w:p>
        </w:tc>
        <w:tc>
          <w:tcPr>
            <w:tcW w:w="2551" w:type="dxa"/>
            <w:vAlign w:val="center"/>
          </w:tcPr>
          <w:p>
            <w:pPr>
              <w:pStyle w:val="14"/>
            </w:pPr>
            <w:r>
              <w:t>≥4次</w:t>
            </w:r>
          </w:p>
        </w:tc>
        <w:tc>
          <w:tcPr>
            <w:tcW w:w="2268" w:type="dxa"/>
            <w:vAlign w:val="center"/>
          </w:tcPr>
          <w:p>
            <w:pPr>
              <w:pStyle w:val="14"/>
            </w:pPr>
            <w:r>
              <w:t>《平乡县金融工作办公室关于印发&lt;平乡县金融润企助民服务年实施方案&gt;的通知》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防范和打击非法集资宣传覆盖率</w:t>
            </w:r>
          </w:p>
        </w:tc>
        <w:tc>
          <w:tcPr>
            <w:tcW w:w="2835" w:type="dxa"/>
            <w:vAlign w:val="center"/>
          </w:tcPr>
          <w:p>
            <w:pPr>
              <w:pStyle w:val="14"/>
            </w:pPr>
            <w:r>
              <w:t>开展防范和打击非法集资宣传覆盖主要领域、主要区域、校园、相关单位</w:t>
            </w:r>
          </w:p>
        </w:tc>
        <w:tc>
          <w:tcPr>
            <w:tcW w:w="2551" w:type="dxa"/>
            <w:vAlign w:val="center"/>
          </w:tcPr>
          <w:p>
            <w:pPr>
              <w:pStyle w:val="14"/>
            </w:pPr>
            <w:r>
              <w:t>100%</w:t>
            </w:r>
          </w:p>
        </w:tc>
        <w:tc>
          <w:tcPr>
            <w:tcW w:w="2268" w:type="dxa"/>
            <w:vAlign w:val="center"/>
          </w:tcPr>
          <w:p>
            <w:pPr>
              <w:pStyle w:val="14"/>
            </w:pPr>
            <w:r>
              <w:t>《邢台市打击和处置非法集资工作领导小组办公室关于印发2022年防范和处置非法集资工作要点的通知》〕-17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开展防范非法集资宣传活动及时率</w:t>
            </w:r>
          </w:p>
        </w:tc>
        <w:tc>
          <w:tcPr>
            <w:tcW w:w="2835" w:type="dxa"/>
            <w:vAlign w:val="center"/>
          </w:tcPr>
          <w:p>
            <w:pPr>
              <w:pStyle w:val="14"/>
            </w:pPr>
            <w:r>
              <w:t>按照相关通知时间要求，及时开展集中宣传活动</w:t>
            </w:r>
          </w:p>
        </w:tc>
        <w:tc>
          <w:tcPr>
            <w:tcW w:w="2551" w:type="dxa"/>
            <w:vAlign w:val="center"/>
          </w:tcPr>
          <w:p>
            <w:pPr>
              <w:pStyle w:val="14"/>
            </w:pPr>
            <w:r>
              <w:t>100%</w:t>
            </w:r>
          </w:p>
        </w:tc>
        <w:tc>
          <w:tcPr>
            <w:tcW w:w="2268" w:type="dxa"/>
            <w:vAlign w:val="center"/>
          </w:tcPr>
          <w:p>
            <w:pPr>
              <w:pStyle w:val="14"/>
            </w:pPr>
            <w:r>
              <w:t>《邢台市打击和处置非法集资工作领导小组办公室关于印发2022年防范和处置非法集资工作要点的通知》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组织银企对接活动按期完成及时率</w:t>
            </w:r>
          </w:p>
        </w:tc>
        <w:tc>
          <w:tcPr>
            <w:tcW w:w="2835" w:type="dxa"/>
            <w:vAlign w:val="center"/>
          </w:tcPr>
          <w:p>
            <w:pPr>
              <w:pStyle w:val="14"/>
            </w:pPr>
            <w:r>
              <w:t>每季度开展一次银企对接活动</w:t>
            </w:r>
          </w:p>
        </w:tc>
        <w:tc>
          <w:tcPr>
            <w:tcW w:w="2551" w:type="dxa"/>
            <w:vAlign w:val="center"/>
          </w:tcPr>
          <w:p>
            <w:pPr>
              <w:pStyle w:val="14"/>
            </w:pPr>
            <w:r>
              <w:t>100%</w:t>
            </w:r>
          </w:p>
        </w:tc>
        <w:tc>
          <w:tcPr>
            <w:tcW w:w="2268" w:type="dxa"/>
            <w:vAlign w:val="center"/>
          </w:tcPr>
          <w:p>
            <w:pPr>
              <w:pStyle w:val="14"/>
            </w:pPr>
            <w:r>
              <w:t>《平乡县金融工作办公室关于印发&lt;平乡县金融润企助民服务年实施方案&gt;的通知》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举报非法集资奖励</w:t>
            </w:r>
          </w:p>
        </w:tc>
        <w:tc>
          <w:tcPr>
            <w:tcW w:w="2835" w:type="dxa"/>
            <w:vAlign w:val="center"/>
          </w:tcPr>
          <w:p>
            <w:pPr>
              <w:pStyle w:val="14"/>
            </w:pPr>
            <w:r>
              <w:t>将成本控制在预算范围内，合理利用预算。</w:t>
            </w:r>
          </w:p>
        </w:tc>
        <w:tc>
          <w:tcPr>
            <w:tcW w:w="2551" w:type="dxa"/>
            <w:vAlign w:val="center"/>
          </w:tcPr>
          <w:p>
            <w:pPr>
              <w:pStyle w:val="14"/>
            </w:pPr>
            <w:r>
              <w:t>≤2万元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宣传品制作、办公费等</w:t>
            </w:r>
          </w:p>
        </w:tc>
        <w:tc>
          <w:tcPr>
            <w:tcW w:w="2835" w:type="dxa"/>
            <w:vAlign w:val="center"/>
          </w:tcPr>
          <w:p>
            <w:pPr>
              <w:pStyle w:val="14"/>
            </w:pPr>
            <w:r>
              <w:t>将成本控制在预算范围内，合理利用预算。</w:t>
            </w:r>
          </w:p>
        </w:tc>
        <w:tc>
          <w:tcPr>
            <w:tcW w:w="2551" w:type="dxa"/>
            <w:vAlign w:val="center"/>
          </w:tcPr>
          <w:p>
            <w:pPr>
              <w:pStyle w:val="14"/>
            </w:pPr>
            <w:r>
              <w:t>≤18万元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贷款发放余额增长</w:t>
            </w:r>
          </w:p>
        </w:tc>
        <w:tc>
          <w:tcPr>
            <w:tcW w:w="2835" w:type="dxa"/>
            <w:vAlign w:val="center"/>
          </w:tcPr>
          <w:p>
            <w:pPr>
              <w:pStyle w:val="14"/>
            </w:pPr>
            <w:r>
              <w:t>企业获得银行贷款余额同期比</w:t>
            </w:r>
          </w:p>
        </w:tc>
        <w:tc>
          <w:tcPr>
            <w:tcW w:w="2551" w:type="dxa"/>
            <w:vAlign w:val="center"/>
          </w:tcPr>
          <w:p>
            <w:pPr>
              <w:pStyle w:val="14"/>
            </w:pPr>
            <w:r>
              <w:t>≥5%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群众金融风险防范意识提高</w:t>
            </w:r>
          </w:p>
        </w:tc>
        <w:tc>
          <w:tcPr>
            <w:tcW w:w="2835" w:type="dxa"/>
            <w:vAlign w:val="center"/>
          </w:tcPr>
          <w:p>
            <w:pPr>
              <w:pStyle w:val="14"/>
            </w:pPr>
            <w:r>
              <w:t>群众识别金融风险，防范能力提高</w:t>
            </w:r>
          </w:p>
        </w:tc>
        <w:tc>
          <w:tcPr>
            <w:tcW w:w="2551" w:type="dxa"/>
            <w:vAlign w:val="center"/>
          </w:tcPr>
          <w:p>
            <w:pPr>
              <w:pStyle w:val="14"/>
            </w:pPr>
            <w:r>
              <w:t>能力提高</w:t>
            </w:r>
          </w:p>
        </w:tc>
        <w:tc>
          <w:tcPr>
            <w:tcW w:w="2268" w:type="dxa"/>
            <w:vAlign w:val="center"/>
          </w:tcPr>
          <w:p>
            <w:pPr>
              <w:pStyle w:val="14"/>
            </w:pPr>
            <w:r>
              <w:t>《邢台市打击和处置非法集资工作领导小组办公室关于印发2022年防范和处置非法集资工作要点的通知》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监测预警体系覆盖率</w:t>
            </w:r>
          </w:p>
        </w:tc>
        <w:tc>
          <w:tcPr>
            <w:tcW w:w="2835" w:type="dxa"/>
            <w:vAlign w:val="center"/>
          </w:tcPr>
          <w:p>
            <w:pPr>
              <w:pStyle w:val="14"/>
            </w:pPr>
            <w:r>
              <w:t>防范非法集资监测预警体系全县监测范围覆盖率</w:t>
            </w:r>
          </w:p>
        </w:tc>
        <w:tc>
          <w:tcPr>
            <w:tcW w:w="2551" w:type="dxa"/>
            <w:vAlign w:val="center"/>
          </w:tcPr>
          <w:p>
            <w:pPr>
              <w:pStyle w:val="14"/>
            </w:pPr>
            <w:r>
              <w:t>≥90%</w:t>
            </w:r>
          </w:p>
        </w:tc>
        <w:tc>
          <w:tcPr>
            <w:tcW w:w="2268" w:type="dxa"/>
            <w:vAlign w:val="center"/>
          </w:tcPr>
          <w:p>
            <w:pPr>
              <w:pStyle w:val="14"/>
            </w:pPr>
            <w:r>
              <w:t>《邢台市打击和处置非法集资工作领导小组办公室关于印发2022年防范和处置非法集资工作要点的通知》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群众对金融防范风险的理解度</w:t>
            </w:r>
          </w:p>
        </w:tc>
        <w:tc>
          <w:tcPr>
            <w:tcW w:w="2835" w:type="dxa"/>
            <w:vAlign w:val="center"/>
          </w:tcPr>
          <w:p>
            <w:pPr>
              <w:pStyle w:val="14"/>
            </w:pPr>
            <w:r>
              <w:t>群众对金融防范风险的理解度</w:t>
            </w:r>
          </w:p>
        </w:tc>
        <w:tc>
          <w:tcPr>
            <w:tcW w:w="2551" w:type="dxa"/>
            <w:vAlign w:val="center"/>
          </w:tcPr>
          <w:p>
            <w:pPr>
              <w:pStyle w:val="14"/>
            </w:pPr>
            <w:r>
              <w:t>≥90%</w:t>
            </w:r>
          </w:p>
        </w:tc>
        <w:tc>
          <w:tcPr>
            <w:tcW w:w="2268" w:type="dxa"/>
            <w:vAlign w:val="center"/>
          </w:tcPr>
          <w:p>
            <w:pPr>
              <w:pStyle w:val="14"/>
            </w:pPr>
            <w:r>
              <w:t>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银企满意度</w:t>
            </w:r>
          </w:p>
        </w:tc>
        <w:tc>
          <w:tcPr>
            <w:tcW w:w="2835" w:type="dxa"/>
            <w:vAlign w:val="center"/>
          </w:tcPr>
          <w:p>
            <w:pPr>
              <w:pStyle w:val="14"/>
            </w:pPr>
            <w:r>
              <w:t>银行以及企业对相关会议效果的满意度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4、政府电子政务管理与服务绩效目标表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1建保障政府网络安全运行、政府信息公开平台正常运转。</w:t>
            </w:r>
            <w:r>
              <w:tab/>
            </w:r>
            <w:r>
              <w:tab/>
            </w:r>
          </w:p>
          <w:p>
            <w:pPr>
              <w:pStyle w:val="14"/>
            </w:pPr>
            <w:r>
              <w:t>2建立安全、便民、高效的政府网站</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系统故障修复响应时间 （小时）</w:t>
            </w:r>
          </w:p>
        </w:tc>
        <w:tc>
          <w:tcPr>
            <w:tcW w:w="2835" w:type="dxa"/>
            <w:vAlign w:val="center"/>
          </w:tcPr>
          <w:p>
            <w:pPr>
              <w:pStyle w:val="14"/>
            </w:pPr>
            <w:r>
              <w:t xml:space="preserve">系统故障修复响应时间 </w:t>
            </w:r>
          </w:p>
        </w:tc>
        <w:tc>
          <w:tcPr>
            <w:tcW w:w="2551" w:type="dxa"/>
            <w:vAlign w:val="center"/>
          </w:tcPr>
          <w:p>
            <w:pPr>
              <w:pStyle w:val="14"/>
            </w:pPr>
            <w:r>
              <w:t>≤24小时</w:t>
            </w:r>
          </w:p>
        </w:tc>
        <w:tc>
          <w:tcPr>
            <w:tcW w:w="2268" w:type="dxa"/>
            <w:vAlign w:val="center"/>
          </w:tcPr>
          <w:p>
            <w:pPr>
              <w:pStyle w:val="14"/>
            </w:pPr>
            <w:r>
              <w:t>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网络正常运转保障时间</w:t>
            </w:r>
          </w:p>
        </w:tc>
        <w:tc>
          <w:tcPr>
            <w:tcW w:w="2835" w:type="dxa"/>
            <w:vAlign w:val="center"/>
          </w:tcPr>
          <w:p>
            <w:pPr>
              <w:pStyle w:val="14"/>
            </w:pPr>
            <w:r>
              <w:t>每周网络正常运转时间占每周的比例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业务处理及时性</w:t>
            </w:r>
          </w:p>
        </w:tc>
        <w:tc>
          <w:tcPr>
            <w:tcW w:w="2835" w:type="dxa"/>
            <w:vAlign w:val="center"/>
          </w:tcPr>
          <w:p>
            <w:pPr>
              <w:pStyle w:val="14"/>
            </w:pPr>
            <w:r>
              <w:t>及时处理业务占总处理数的比率</w:t>
            </w:r>
          </w:p>
        </w:tc>
        <w:tc>
          <w:tcPr>
            <w:tcW w:w="2551" w:type="dxa"/>
            <w:vAlign w:val="center"/>
          </w:tcPr>
          <w:p>
            <w:pPr>
              <w:pStyle w:val="14"/>
            </w:pPr>
            <w:r>
              <w:t>≥95%</w:t>
            </w:r>
          </w:p>
        </w:tc>
        <w:tc>
          <w:tcPr>
            <w:tcW w:w="2268" w:type="dxa"/>
            <w:vAlign w:val="center"/>
          </w:tcPr>
          <w:p>
            <w:pPr>
              <w:pStyle w:val="14"/>
            </w:pPr>
            <w:r>
              <w:t>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维护、服务费</w:t>
            </w:r>
          </w:p>
        </w:tc>
        <w:tc>
          <w:tcPr>
            <w:tcW w:w="2835" w:type="dxa"/>
            <w:vAlign w:val="center"/>
          </w:tcPr>
          <w:p>
            <w:pPr>
              <w:pStyle w:val="14"/>
            </w:pPr>
            <w:r>
              <w:t>维护、服务费</w:t>
            </w:r>
          </w:p>
        </w:tc>
        <w:tc>
          <w:tcPr>
            <w:tcW w:w="2551" w:type="dxa"/>
            <w:vAlign w:val="center"/>
          </w:tcPr>
          <w:p>
            <w:pPr>
              <w:pStyle w:val="14"/>
            </w:pPr>
            <w:r>
              <w:t>≤20万元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设备预设功能达标率</w:t>
            </w:r>
          </w:p>
        </w:tc>
        <w:tc>
          <w:tcPr>
            <w:tcW w:w="2835" w:type="dxa"/>
            <w:vAlign w:val="center"/>
          </w:tcPr>
          <w:p>
            <w:pPr>
              <w:pStyle w:val="14"/>
            </w:pPr>
            <w:r>
              <w:t>设备实际使用功能占设备预期使用功能的比率</w:t>
            </w:r>
          </w:p>
        </w:tc>
        <w:tc>
          <w:tcPr>
            <w:tcW w:w="2551" w:type="dxa"/>
            <w:vAlign w:val="center"/>
          </w:tcPr>
          <w:p>
            <w:pPr>
              <w:pStyle w:val="14"/>
            </w:pPr>
            <w:r>
              <w:t>≥95%</w:t>
            </w:r>
          </w:p>
        </w:tc>
        <w:tc>
          <w:tcPr>
            <w:tcW w:w="2268" w:type="dxa"/>
            <w:vAlign w:val="center"/>
          </w:tcPr>
          <w:p>
            <w:pPr>
              <w:pStyle w:val="14"/>
            </w:pPr>
            <w:r>
              <w:t>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政府网站保障能力较往年提升率</w:t>
            </w:r>
          </w:p>
        </w:tc>
        <w:tc>
          <w:tcPr>
            <w:tcW w:w="2835" w:type="dxa"/>
            <w:vAlign w:val="center"/>
          </w:tcPr>
          <w:p>
            <w:pPr>
              <w:pStyle w:val="14"/>
            </w:pPr>
            <w:r>
              <w:t>政府网站保障能力较往年提升率</w:t>
            </w:r>
          </w:p>
        </w:tc>
        <w:tc>
          <w:tcPr>
            <w:tcW w:w="2551" w:type="dxa"/>
            <w:vAlign w:val="center"/>
          </w:tcPr>
          <w:p>
            <w:pPr>
              <w:pStyle w:val="14"/>
            </w:pPr>
            <w:r>
              <w:t>≥10%</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政务网络、网站管理能力较往年提升率</w:t>
            </w:r>
          </w:p>
        </w:tc>
        <w:tc>
          <w:tcPr>
            <w:tcW w:w="2835" w:type="dxa"/>
            <w:vAlign w:val="center"/>
          </w:tcPr>
          <w:p>
            <w:pPr>
              <w:pStyle w:val="14"/>
            </w:pPr>
            <w:r>
              <w:t>政务网络、网站管理能力较往年提升率</w:t>
            </w:r>
          </w:p>
        </w:tc>
        <w:tc>
          <w:tcPr>
            <w:tcW w:w="2551" w:type="dxa"/>
            <w:vAlign w:val="center"/>
          </w:tcPr>
          <w:p>
            <w:pPr>
              <w:pStyle w:val="14"/>
            </w:pPr>
            <w:r>
              <w:t>≥10%</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通用设备运行的满意率</w:t>
            </w:r>
          </w:p>
        </w:tc>
        <w:tc>
          <w:tcPr>
            <w:tcW w:w="2835" w:type="dxa"/>
            <w:vAlign w:val="center"/>
          </w:tcPr>
          <w:p>
            <w:pPr>
              <w:pStyle w:val="14"/>
            </w:pPr>
            <w:r>
              <w:t>使用终端满意数占总数的比率</w:t>
            </w:r>
          </w:p>
        </w:tc>
        <w:tc>
          <w:tcPr>
            <w:tcW w:w="2551" w:type="dxa"/>
            <w:vAlign w:val="center"/>
          </w:tcPr>
          <w:p>
            <w:pPr>
              <w:pStyle w:val="14"/>
            </w:pPr>
            <w:r>
              <w:t>≥90%</w:t>
            </w:r>
          </w:p>
        </w:tc>
        <w:tc>
          <w:tcPr>
            <w:tcW w:w="2268" w:type="dxa"/>
            <w:vAlign w:val="center"/>
          </w:tcPr>
          <w:p>
            <w:pPr>
              <w:pStyle w:val="14"/>
            </w:pPr>
            <w:r>
              <w:t>登记表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5、政府法律顾问工作经费绩效目标表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1"/>
              </w:numPr>
            </w:pPr>
            <w:r>
              <w:t>为依法行政提供咨询性法律服务，就行政管理中的法律问题提出建议，起草或审查合同、协议，参与规范性文件的审查、论证，参与决策论证</w:t>
            </w:r>
            <w:r>
              <w:tab/>
            </w:r>
          </w:p>
          <w:p>
            <w:pPr>
              <w:pStyle w:val="14"/>
              <w:numPr>
                <w:ilvl w:val="0"/>
                <w:numId w:val="0"/>
              </w:numPr>
            </w:pPr>
            <w:r>
              <w:t>2.与业务人员及时沟通并传授法律提知识及法律技巧，提高行政机关执法人员业务水平</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政府重要涉法事项参与次数</w:t>
            </w:r>
          </w:p>
        </w:tc>
        <w:tc>
          <w:tcPr>
            <w:tcW w:w="2835" w:type="dxa"/>
            <w:vAlign w:val="center"/>
          </w:tcPr>
          <w:p>
            <w:pPr>
              <w:pStyle w:val="14"/>
            </w:pPr>
            <w:r>
              <w:t>政府重要涉法事项参与次数</w:t>
            </w:r>
          </w:p>
        </w:tc>
        <w:tc>
          <w:tcPr>
            <w:tcW w:w="2551" w:type="dxa"/>
            <w:vAlign w:val="center"/>
          </w:tcPr>
          <w:p>
            <w:pPr>
              <w:pStyle w:val="14"/>
            </w:pPr>
            <w:r>
              <w:t>≥10次</w:t>
            </w:r>
          </w:p>
        </w:tc>
        <w:tc>
          <w:tcPr>
            <w:tcW w:w="2268"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协议、合同审查率</w:t>
            </w:r>
          </w:p>
        </w:tc>
        <w:tc>
          <w:tcPr>
            <w:tcW w:w="2835" w:type="dxa"/>
            <w:vAlign w:val="center"/>
          </w:tcPr>
          <w:p>
            <w:pPr>
              <w:pStyle w:val="14"/>
            </w:pPr>
            <w:r>
              <w:t>审查协议、合同数量占总协议合同数量百分比</w:t>
            </w:r>
          </w:p>
        </w:tc>
        <w:tc>
          <w:tcPr>
            <w:tcW w:w="2551" w:type="dxa"/>
            <w:vAlign w:val="center"/>
          </w:tcPr>
          <w:p>
            <w:pPr>
              <w:pStyle w:val="14"/>
            </w:pPr>
            <w:r>
              <w:t>95%</w:t>
            </w:r>
          </w:p>
        </w:tc>
        <w:tc>
          <w:tcPr>
            <w:tcW w:w="2268"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重大决策、政府合同、招商引资等合法</w:t>
            </w:r>
          </w:p>
        </w:tc>
        <w:tc>
          <w:tcPr>
            <w:tcW w:w="2835" w:type="dxa"/>
            <w:vAlign w:val="center"/>
          </w:tcPr>
          <w:p>
            <w:pPr>
              <w:pStyle w:val="14"/>
            </w:pPr>
            <w:r>
              <w:t>重大决策、政府合同、招商引资合法性</w:t>
            </w:r>
          </w:p>
        </w:tc>
        <w:tc>
          <w:tcPr>
            <w:tcW w:w="2551" w:type="dxa"/>
            <w:vAlign w:val="center"/>
          </w:tcPr>
          <w:p>
            <w:pPr>
              <w:pStyle w:val="14"/>
            </w:pPr>
            <w:r>
              <w:t>明显提升</w:t>
            </w:r>
          </w:p>
        </w:tc>
        <w:tc>
          <w:tcPr>
            <w:tcW w:w="2268"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协议、合同、规范性文件审查及时率</w:t>
            </w:r>
          </w:p>
        </w:tc>
        <w:tc>
          <w:tcPr>
            <w:tcW w:w="2835" w:type="dxa"/>
            <w:vAlign w:val="center"/>
          </w:tcPr>
          <w:p>
            <w:pPr>
              <w:pStyle w:val="14"/>
            </w:pPr>
            <w:r>
              <w:t>及时审查文件的比率</w:t>
            </w:r>
          </w:p>
        </w:tc>
        <w:tc>
          <w:tcPr>
            <w:tcW w:w="2551" w:type="dxa"/>
            <w:vAlign w:val="center"/>
          </w:tcPr>
          <w:p>
            <w:pPr>
              <w:pStyle w:val="14"/>
            </w:pPr>
            <w:r>
              <w:t>100%</w:t>
            </w:r>
          </w:p>
        </w:tc>
        <w:tc>
          <w:tcPr>
            <w:tcW w:w="2268"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法律顾问费</w:t>
            </w:r>
          </w:p>
        </w:tc>
        <w:tc>
          <w:tcPr>
            <w:tcW w:w="2835" w:type="dxa"/>
            <w:vAlign w:val="center"/>
          </w:tcPr>
          <w:p>
            <w:pPr>
              <w:pStyle w:val="14"/>
            </w:pPr>
            <w:r>
              <w:t>每年法律顾问费</w:t>
            </w:r>
          </w:p>
        </w:tc>
        <w:tc>
          <w:tcPr>
            <w:tcW w:w="2551" w:type="dxa"/>
            <w:vAlign w:val="center"/>
          </w:tcPr>
          <w:p>
            <w:pPr>
              <w:pStyle w:val="14"/>
            </w:pPr>
            <w:r>
              <w:t>12万元</w:t>
            </w:r>
          </w:p>
        </w:tc>
        <w:tc>
          <w:tcPr>
            <w:tcW w:w="2268"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诉讼参与率</w:t>
            </w:r>
          </w:p>
        </w:tc>
        <w:tc>
          <w:tcPr>
            <w:tcW w:w="2835" w:type="dxa"/>
            <w:vAlign w:val="center"/>
          </w:tcPr>
          <w:p>
            <w:pPr>
              <w:pStyle w:val="14"/>
            </w:pPr>
            <w:r>
              <w:t>诉讼参与比率</w:t>
            </w:r>
          </w:p>
        </w:tc>
        <w:tc>
          <w:tcPr>
            <w:tcW w:w="2551" w:type="dxa"/>
            <w:vAlign w:val="center"/>
          </w:tcPr>
          <w:p>
            <w:pPr>
              <w:pStyle w:val="14"/>
            </w:pPr>
            <w:r>
              <w:t>95%</w:t>
            </w:r>
          </w:p>
        </w:tc>
        <w:tc>
          <w:tcPr>
            <w:tcW w:w="2268"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政府重要涉法事项参与率</w:t>
            </w:r>
          </w:p>
        </w:tc>
        <w:tc>
          <w:tcPr>
            <w:tcW w:w="2835" w:type="dxa"/>
            <w:vAlign w:val="center"/>
          </w:tcPr>
          <w:p>
            <w:pPr>
              <w:pStyle w:val="14"/>
            </w:pPr>
            <w:r>
              <w:t>参于政府重要涉法事项次数占应参加涉法事项数量的比率</w:t>
            </w:r>
          </w:p>
        </w:tc>
        <w:tc>
          <w:tcPr>
            <w:tcW w:w="2551" w:type="dxa"/>
            <w:vAlign w:val="center"/>
          </w:tcPr>
          <w:p>
            <w:pPr>
              <w:pStyle w:val="14"/>
            </w:pPr>
            <w:r>
              <w:t>95%</w:t>
            </w:r>
          </w:p>
        </w:tc>
        <w:tc>
          <w:tcPr>
            <w:tcW w:w="2268"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推进法治政府建设</w:t>
            </w:r>
          </w:p>
        </w:tc>
        <w:tc>
          <w:tcPr>
            <w:tcW w:w="2835" w:type="dxa"/>
            <w:vAlign w:val="center"/>
          </w:tcPr>
          <w:p>
            <w:pPr>
              <w:pStyle w:val="14"/>
            </w:pPr>
            <w:r>
              <w:t>推进法治政府建设</w:t>
            </w:r>
          </w:p>
        </w:tc>
        <w:tc>
          <w:tcPr>
            <w:tcW w:w="2551" w:type="dxa"/>
            <w:vAlign w:val="center"/>
          </w:tcPr>
          <w:p>
            <w:pPr>
              <w:pStyle w:val="14"/>
            </w:pPr>
            <w:r>
              <w:t>效果明显</w:t>
            </w:r>
          </w:p>
        </w:tc>
        <w:tc>
          <w:tcPr>
            <w:tcW w:w="2268"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依法行政水平得到进一步提高</w:t>
            </w:r>
          </w:p>
        </w:tc>
        <w:tc>
          <w:tcPr>
            <w:tcW w:w="2835" w:type="dxa"/>
            <w:vAlign w:val="center"/>
          </w:tcPr>
          <w:p>
            <w:pPr>
              <w:pStyle w:val="14"/>
            </w:pPr>
            <w:r>
              <w:t>依法行政水平进一步得到提高</w:t>
            </w:r>
          </w:p>
        </w:tc>
        <w:tc>
          <w:tcPr>
            <w:tcW w:w="2551" w:type="dxa"/>
            <w:vAlign w:val="center"/>
          </w:tcPr>
          <w:p>
            <w:pPr>
              <w:pStyle w:val="14"/>
            </w:pPr>
            <w:r>
              <w:t>效果明显</w:t>
            </w:r>
          </w:p>
        </w:tc>
        <w:tc>
          <w:tcPr>
            <w:tcW w:w="2268" w:type="dxa"/>
            <w:vAlign w:val="center"/>
          </w:tcPr>
          <w:p>
            <w:pPr>
              <w:pStyle w:val="14"/>
            </w:pPr>
            <w:r>
              <w:t>聘请常年法律顾问协议书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对法律顾问提供服务满意度</w:t>
            </w:r>
          </w:p>
        </w:tc>
        <w:tc>
          <w:tcPr>
            <w:tcW w:w="2835" w:type="dxa"/>
            <w:vAlign w:val="center"/>
          </w:tcPr>
          <w:p>
            <w:pPr>
              <w:pStyle w:val="14"/>
            </w:pPr>
            <w:r>
              <w:t>主管部门对法律顾问提供服务满意度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6、政务服务与政务管理绩效目标表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1.提升政务公开服务水平，做好大型活动、会议，接待工作，做好我县招商引资、特色产业宣传工作</w:t>
            </w:r>
            <w:r>
              <w:tab/>
            </w:r>
            <w:r>
              <w:tab/>
            </w:r>
            <w:r>
              <w:tab/>
            </w:r>
            <w:r>
              <w:tab/>
            </w:r>
          </w:p>
          <w:p>
            <w:pPr>
              <w:pStyle w:val="14"/>
            </w:pPr>
            <w:r>
              <w:t>2.围绕我县中心工作，有效促进对外经贸协作和外地高科技项目合作。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重大联络活动服务工作完成次数</w:t>
            </w:r>
          </w:p>
        </w:tc>
        <w:tc>
          <w:tcPr>
            <w:tcW w:w="2835" w:type="dxa"/>
            <w:vAlign w:val="center"/>
          </w:tcPr>
          <w:p>
            <w:pPr>
              <w:pStyle w:val="14"/>
            </w:pPr>
            <w:r>
              <w:t>重大联络活动服务工作完成次数</w:t>
            </w:r>
          </w:p>
        </w:tc>
        <w:tc>
          <w:tcPr>
            <w:tcW w:w="2551" w:type="dxa"/>
            <w:vAlign w:val="center"/>
          </w:tcPr>
          <w:p>
            <w:pPr>
              <w:pStyle w:val="14"/>
            </w:pPr>
            <w:r>
              <w:t>≥6次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会议保障完成率</w:t>
            </w:r>
          </w:p>
        </w:tc>
        <w:tc>
          <w:tcPr>
            <w:tcW w:w="2835" w:type="dxa"/>
            <w:vAlign w:val="center"/>
          </w:tcPr>
          <w:p>
            <w:pPr>
              <w:pStyle w:val="14"/>
            </w:pPr>
            <w:r>
              <w:t>顺利完成会议保障占会议召开总数的比率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督查督办任务完成率</w:t>
            </w:r>
          </w:p>
        </w:tc>
        <w:tc>
          <w:tcPr>
            <w:tcW w:w="2835" w:type="dxa"/>
            <w:vAlign w:val="center"/>
          </w:tcPr>
          <w:p>
            <w:pPr>
              <w:pStyle w:val="14"/>
            </w:pPr>
            <w:r>
              <w:t>已完成督查督办占督察督办任务的比率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公务接待审批率</w:t>
            </w:r>
          </w:p>
        </w:tc>
        <w:tc>
          <w:tcPr>
            <w:tcW w:w="2835" w:type="dxa"/>
            <w:vAlign w:val="center"/>
          </w:tcPr>
          <w:p>
            <w:pPr>
              <w:pStyle w:val="14"/>
            </w:pPr>
            <w:r>
              <w:t>审批率</w:t>
            </w:r>
          </w:p>
        </w:tc>
        <w:tc>
          <w:tcPr>
            <w:tcW w:w="2551" w:type="dxa"/>
            <w:vAlign w:val="center"/>
          </w:tcPr>
          <w:p>
            <w:pPr>
              <w:pStyle w:val="14"/>
            </w:pPr>
            <w:r>
              <w:t>100%</w:t>
            </w:r>
          </w:p>
        </w:tc>
        <w:tc>
          <w:tcPr>
            <w:tcW w:w="2268" w:type="dxa"/>
            <w:vAlign w:val="center"/>
          </w:tcPr>
          <w:p>
            <w:pPr>
              <w:pStyle w:val="14"/>
            </w:pPr>
            <w:r>
              <w:t>公务接待管理办法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各项工作及时完成率</w:t>
            </w:r>
          </w:p>
        </w:tc>
        <w:tc>
          <w:tcPr>
            <w:tcW w:w="2835" w:type="dxa"/>
            <w:vAlign w:val="center"/>
          </w:tcPr>
          <w:p>
            <w:pPr>
              <w:pStyle w:val="14"/>
            </w:pPr>
            <w:r>
              <w:t>各项工作任务能够在规定时间或计划时间之前及时完成的比例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文件资料,宣传品印刷,公务接待,会议保障,政务公开,督查督办等工作成本</w:t>
            </w:r>
          </w:p>
        </w:tc>
        <w:tc>
          <w:tcPr>
            <w:tcW w:w="2835" w:type="dxa"/>
            <w:vAlign w:val="center"/>
          </w:tcPr>
          <w:p>
            <w:pPr>
              <w:pStyle w:val="14"/>
            </w:pPr>
            <w:r>
              <w:t>文件资料,宣传品印刷,公务接待,会议保障,政务公开,督查督办等工作成本</w:t>
            </w:r>
          </w:p>
        </w:tc>
        <w:tc>
          <w:tcPr>
            <w:tcW w:w="2551" w:type="dxa"/>
            <w:vAlign w:val="center"/>
          </w:tcPr>
          <w:p>
            <w:pPr>
              <w:pStyle w:val="14"/>
            </w:pPr>
            <w:r>
              <w:t>≤72万元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会议要求督导落实率</w:t>
            </w:r>
          </w:p>
        </w:tc>
        <w:tc>
          <w:tcPr>
            <w:tcW w:w="2835" w:type="dxa"/>
            <w:vAlign w:val="center"/>
          </w:tcPr>
          <w:p>
            <w:pPr>
              <w:pStyle w:val="14"/>
            </w:pPr>
            <w:r>
              <w:t>会议要求的重点工作督导落实情况</w:t>
            </w:r>
          </w:p>
        </w:tc>
        <w:tc>
          <w:tcPr>
            <w:tcW w:w="2551" w:type="dxa"/>
            <w:vAlign w:val="center"/>
          </w:tcPr>
          <w:p>
            <w:pPr>
              <w:pStyle w:val="14"/>
            </w:pPr>
            <w:r>
              <w:t>≥95%</w:t>
            </w:r>
          </w:p>
        </w:tc>
        <w:tc>
          <w:tcPr>
            <w:tcW w:w="2268" w:type="dxa"/>
            <w:vAlign w:val="center"/>
          </w:tcPr>
          <w:p>
            <w:pPr>
              <w:pStyle w:val="14"/>
            </w:pPr>
            <w:r>
              <w:t>督查报告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督查事项反馈率</w:t>
            </w:r>
          </w:p>
        </w:tc>
        <w:tc>
          <w:tcPr>
            <w:tcW w:w="2835" w:type="dxa"/>
            <w:vAlign w:val="center"/>
          </w:tcPr>
          <w:p>
            <w:pPr>
              <w:pStyle w:val="14"/>
            </w:pPr>
            <w:r>
              <w:t>反馈率</w:t>
            </w:r>
          </w:p>
        </w:tc>
        <w:tc>
          <w:tcPr>
            <w:tcW w:w="2551" w:type="dxa"/>
            <w:vAlign w:val="center"/>
          </w:tcPr>
          <w:p>
            <w:pPr>
              <w:pStyle w:val="14"/>
            </w:pPr>
            <w:r>
              <w:t>100%</w:t>
            </w:r>
          </w:p>
        </w:tc>
        <w:tc>
          <w:tcPr>
            <w:tcW w:w="2268" w:type="dxa"/>
            <w:vAlign w:val="center"/>
          </w:tcPr>
          <w:p>
            <w:pPr>
              <w:pStyle w:val="14"/>
            </w:pPr>
            <w:r>
              <w:t>督查台账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持续提升政务服务与管理工作水平</w:t>
            </w:r>
          </w:p>
        </w:tc>
        <w:tc>
          <w:tcPr>
            <w:tcW w:w="2835" w:type="dxa"/>
            <w:vAlign w:val="center"/>
          </w:tcPr>
          <w:p>
            <w:pPr>
              <w:pStyle w:val="14"/>
            </w:pPr>
            <w:r>
              <w:t>持续提升政务服务与管理工作水平</w:t>
            </w:r>
          </w:p>
        </w:tc>
        <w:tc>
          <w:tcPr>
            <w:tcW w:w="2551" w:type="dxa"/>
            <w:vAlign w:val="center"/>
          </w:tcPr>
          <w:p>
            <w:pPr>
              <w:pStyle w:val="14"/>
            </w:pPr>
            <w:r>
              <w:t>明显提高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参会人员满意度</w:t>
            </w:r>
          </w:p>
        </w:tc>
        <w:tc>
          <w:tcPr>
            <w:tcW w:w="2835" w:type="dxa"/>
            <w:vAlign w:val="center"/>
          </w:tcPr>
          <w:p>
            <w:pPr>
              <w:pStyle w:val="14"/>
            </w:pPr>
            <w:r>
              <w:t>参会人员对会议安排满意度</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公务接待服务满意度</w:t>
            </w:r>
          </w:p>
        </w:tc>
        <w:tc>
          <w:tcPr>
            <w:tcW w:w="2835" w:type="dxa"/>
            <w:vAlign w:val="center"/>
          </w:tcPr>
          <w:p>
            <w:pPr>
              <w:pStyle w:val="14"/>
            </w:pPr>
            <w:r>
              <w:t>被接待人员满意度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7、综合业务事务管理绩效目标表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采取保障县政府领导和机关工作办公环境的措施，提升服务管理水平，保障县领导和机关工作的正常运转</w:t>
            </w:r>
            <w:r>
              <w:tab/>
            </w:r>
            <w:r>
              <w:tab/>
            </w:r>
            <w:r>
              <w:tab/>
            </w:r>
            <w:r>
              <w:tab/>
            </w:r>
          </w:p>
          <w:p>
            <w:pPr>
              <w:pStyle w:val="14"/>
            </w:pPr>
            <w:r>
              <w:t>2</w:t>
            </w:r>
            <w:r>
              <w:rPr>
                <w:rFonts w:hint="eastAsia"/>
                <w:lang w:eastAsia="zh-CN"/>
              </w:rPr>
              <w:t>、</w:t>
            </w:r>
            <w:r>
              <w:t>紧紧围绕县政府中心工作，积极协调县领导谋大事，解难事，不断提高参政水平，努力为领导提供优质服务</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中心工作调研数量</w:t>
            </w:r>
          </w:p>
        </w:tc>
        <w:tc>
          <w:tcPr>
            <w:tcW w:w="2835" w:type="dxa"/>
            <w:vAlign w:val="center"/>
          </w:tcPr>
          <w:p>
            <w:pPr>
              <w:pStyle w:val="14"/>
            </w:pPr>
            <w:r>
              <w:t>中心工作调研数量</w:t>
            </w:r>
          </w:p>
        </w:tc>
        <w:tc>
          <w:tcPr>
            <w:tcW w:w="2551" w:type="dxa"/>
            <w:vAlign w:val="center"/>
          </w:tcPr>
          <w:p>
            <w:pPr>
              <w:pStyle w:val="14"/>
            </w:pPr>
            <w:r>
              <w:t>≥5个</w:t>
            </w:r>
          </w:p>
        </w:tc>
        <w:tc>
          <w:tcPr>
            <w:tcW w:w="2268" w:type="dxa"/>
            <w:vAlign w:val="center"/>
          </w:tcPr>
          <w:p>
            <w:pPr>
              <w:pStyle w:val="14"/>
            </w:pPr>
            <w:r>
              <w:t>调研数量统计</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保障公务用车运转数量</w:t>
            </w:r>
          </w:p>
        </w:tc>
        <w:tc>
          <w:tcPr>
            <w:tcW w:w="2835" w:type="dxa"/>
            <w:vAlign w:val="center"/>
          </w:tcPr>
          <w:p>
            <w:pPr>
              <w:pStyle w:val="14"/>
            </w:pPr>
            <w:r>
              <w:t>保障公务用车运转数量</w:t>
            </w:r>
          </w:p>
        </w:tc>
        <w:tc>
          <w:tcPr>
            <w:tcW w:w="2551" w:type="dxa"/>
            <w:vAlign w:val="center"/>
          </w:tcPr>
          <w:p>
            <w:pPr>
              <w:pStyle w:val="14"/>
            </w:pPr>
            <w:r>
              <w:t>7辆</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购置办公设备数量</w:t>
            </w:r>
          </w:p>
        </w:tc>
        <w:tc>
          <w:tcPr>
            <w:tcW w:w="2835" w:type="dxa"/>
            <w:vAlign w:val="center"/>
          </w:tcPr>
          <w:p>
            <w:pPr>
              <w:pStyle w:val="14"/>
            </w:pPr>
            <w:r>
              <w:t>购置办公设备数量</w:t>
            </w:r>
          </w:p>
        </w:tc>
        <w:tc>
          <w:tcPr>
            <w:tcW w:w="2551" w:type="dxa"/>
            <w:vAlign w:val="center"/>
          </w:tcPr>
          <w:p>
            <w:pPr>
              <w:pStyle w:val="14"/>
            </w:pPr>
            <w:r>
              <w:t>10套</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综合业务、事务管理工作完成率</w:t>
            </w:r>
          </w:p>
        </w:tc>
        <w:tc>
          <w:tcPr>
            <w:tcW w:w="2835" w:type="dxa"/>
            <w:vAlign w:val="center"/>
          </w:tcPr>
          <w:p>
            <w:pPr>
              <w:pStyle w:val="14"/>
            </w:pPr>
            <w:r>
              <w:t>综合业务、事务工作任务完成情况</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公车运转保障情况</w:t>
            </w:r>
          </w:p>
        </w:tc>
        <w:tc>
          <w:tcPr>
            <w:tcW w:w="2835" w:type="dxa"/>
            <w:vAlign w:val="center"/>
          </w:tcPr>
          <w:p>
            <w:pPr>
              <w:pStyle w:val="14"/>
            </w:pPr>
            <w:r>
              <w:t>保障公车正常运转次数占总派车次数的比率</w:t>
            </w:r>
          </w:p>
        </w:tc>
        <w:tc>
          <w:tcPr>
            <w:tcW w:w="2551" w:type="dxa"/>
            <w:vAlign w:val="center"/>
          </w:tcPr>
          <w:p>
            <w:pPr>
              <w:pStyle w:val="14"/>
            </w:pPr>
            <w:r>
              <w:t>≥95%</w:t>
            </w:r>
          </w:p>
        </w:tc>
        <w:tc>
          <w:tcPr>
            <w:tcW w:w="2268" w:type="dxa"/>
            <w:vAlign w:val="center"/>
          </w:tcPr>
          <w:p>
            <w:pPr>
              <w:pStyle w:val="14"/>
            </w:pPr>
            <w:r>
              <w:t>派车记录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采购办公设备合格率</w:t>
            </w:r>
          </w:p>
        </w:tc>
        <w:tc>
          <w:tcPr>
            <w:tcW w:w="2835" w:type="dxa"/>
            <w:vAlign w:val="center"/>
          </w:tcPr>
          <w:p>
            <w:pPr>
              <w:pStyle w:val="14"/>
            </w:pPr>
            <w:r>
              <w:t>所采购办公设备合格数占总采购数百分比</w:t>
            </w:r>
          </w:p>
        </w:tc>
        <w:tc>
          <w:tcPr>
            <w:tcW w:w="2551" w:type="dxa"/>
            <w:vAlign w:val="center"/>
          </w:tcPr>
          <w:p>
            <w:pPr>
              <w:pStyle w:val="14"/>
            </w:pPr>
            <w:r>
              <w:t>100%</w:t>
            </w:r>
          </w:p>
        </w:tc>
        <w:tc>
          <w:tcPr>
            <w:tcW w:w="2268" w:type="dxa"/>
            <w:vAlign w:val="center"/>
          </w:tcPr>
          <w:p>
            <w:pPr>
              <w:pStyle w:val="14"/>
            </w:pPr>
            <w:r>
              <w:t>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印刷品合格率 </w:t>
            </w:r>
          </w:p>
        </w:tc>
        <w:tc>
          <w:tcPr>
            <w:tcW w:w="2835" w:type="dxa"/>
            <w:vAlign w:val="center"/>
          </w:tcPr>
          <w:p>
            <w:pPr>
              <w:pStyle w:val="14"/>
            </w:pPr>
            <w:r>
              <w:t xml:space="preserve"> 印刷品合格数占总数的百分比</w:t>
            </w:r>
          </w:p>
        </w:tc>
        <w:tc>
          <w:tcPr>
            <w:tcW w:w="2551" w:type="dxa"/>
            <w:vAlign w:val="center"/>
          </w:tcPr>
          <w:p>
            <w:pPr>
              <w:pStyle w:val="14"/>
            </w:pPr>
            <w:r>
              <w:t>100%</w:t>
            </w:r>
          </w:p>
        </w:tc>
        <w:tc>
          <w:tcPr>
            <w:tcW w:w="2268" w:type="dxa"/>
            <w:vAlign w:val="center"/>
          </w:tcPr>
          <w:p>
            <w:pPr>
              <w:pStyle w:val="1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各项工作保障及时率</w:t>
            </w:r>
          </w:p>
        </w:tc>
        <w:tc>
          <w:tcPr>
            <w:tcW w:w="2835" w:type="dxa"/>
            <w:vAlign w:val="center"/>
          </w:tcPr>
          <w:p>
            <w:pPr>
              <w:pStyle w:val="14"/>
            </w:pPr>
            <w:r>
              <w:t>能够及时保障各项工作所需办公用品、印刷品印制及办公设备日常维修（护）、按培训方案组织培训情况</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综合业务事务保障成本</w:t>
            </w:r>
          </w:p>
        </w:tc>
        <w:tc>
          <w:tcPr>
            <w:tcW w:w="2835" w:type="dxa"/>
            <w:vAlign w:val="center"/>
          </w:tcPr>
          <w:p>
            <w:pPr>
              <w:pStyle w:val="14"/>
            </w:pPr>
            <w:r>
              <w:t>保障办公室办公设备、用品采购、维护，公车运行维护、印刷品印制，业务培训、差旅等费用</w:t>
            </w:r>
          </w:p>
        </w:tc>
        <w:tc>
          <w:tcPr>
            <w:tcW w:w="2551" w:type="dxa"/>
            <w:vAlign w:val="center"/>
          </w:tcPr>
          <w:p>
            <w:pPr>
              <w:pStyle w:val="14"/>
            </w:pPr>
            <w:r>
              <w:t>≤274万元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各项工作任务保障到位率</w:t>
            </w:r>
          </w:p>
        </w:tc>
        <w:tc>
          <w:tcPr>
            <w:tcW w:w="2835" w:type="dxa"/>
            <w:vAlign w:val="center"/>
          </w:tcPr>
          <w:p>
            <w:pPr>
              <w:pStyle w:val="14"/>
            </w:pPr>
            <w:r>
              <w:t>通过及时保障政府办公室各项工作的正常运转，圆满完成各项任务，维护政府良好形象。</w:t>
            </w:r>
          </w:p>
        </w:tc>
        <w:tc>
          <w:tcPr>
            <w:tcW w:w="2551" w:type="dxa"/>
            <w:vAlign w:val="center"/>
          </w:tcPr>
          <w:p>
            <w:pPr>
              <w:pStyle w:val="14"/>
            </w:pPr>
            <w:r>
              <w:t>≥95%</w:t>
            </w:r>
          </w:p>
        </w:tc>
        <w:tc>
          <w:tcPr>
            <w:tcW w:w="2268" w:type="dxa"/>
            <w:vAlign w:val="center"/>
          </w:tcPr>
          <w:p>
            <w:pPr>
              <w:pStyle w:val="14"/>
            </w:pPr>
            <w:r>
              <w:t>通过及时保障政府办公室各项工作的正常运转，圆满完成各项任务，维护政府良好形象。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持续提升综合业务保障能力</w:t>
            </w:r>
          </w:p>
        </w:tc>
        <w:tc>
          <w:tcPr>
            <w:tcW w:w="2835" w:type="dxa"/>
            <w:vAlign w:val="center"/>
          </w:tcPr>
          <w:p>
            <w:pPr>
              <w:pStyle w:val="14"/>
            </w:pPr>
            <w:r>
              <w:t>持续提升综合业务保障能力</w:t>
            </w:r>
          </w:p>
        </w:tc>
        <w:tc>
          <w:tcPr>
            <w:tcW w:w="2551" w:type="dxa"/>
            <w:vAlign w:val="center"/>
          </w:tcPr>
          <w:p>
            <w:pPr>
              <w:pStyle w:val="14"/>
            </w:pPr>
            <w:r>
              <w:t>明显提升</w:t>
            </w:r>
          </w:p>
        </w:tc>
        <w:tc>
          <w:tcPr>
            <w:tcW w:w="2268" w:type="dxa"/>
            <w:vAlign w:val="center"/>
          </w:tcPr>
          <w:p>
            <w:pPr>
              <w:pStyle w:val="14"/>
            </w:pPr>
            <w:r>
              <w:t>持续提升综合业务保障能力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提高政府的办事效率</w:t>
            </w:r>
          </w:p>
        </w:tc>
        <w:tc>
          <w:tcPr>
            <w:tcW w:w="2835" w:type="dxa"/>
            <w:vAlign w:val="center"/>
          </w:tcPr>
          <w:p>
            <w:pPr>
              <w:pStyle w:val="14"/>
            </w:pPr>
            <w:r>
              <w:t>提高政府的办事效率</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服务保障满意度</w:t>
            </w:r>
          </w:p>
        </w:tc>
        <w:tc>
          <w:tcPr>
            <w:tcW w:w="2835" w:type="dxa"/>
            <w:vAlign w:val="center"/>
          </w:tcPr>
          <w:p>
            <w:pPr>
              <w:pStyle w:val="14"/>
            </w:pPr>
            <w:r>
              <w:t>被保障科室对保障工作的满意度</w:t>
            </w:r>
          </w:p>
        </w:tc>
        <w:tc>
          <w:tcPr>
            <w:tcW w:w="2551" w:type="dxa"/>
            <w:vAlign w:val="center"/>
          </w:tcPr>
          <w:p>
            <w:pPr>
              <w:pStyle w:val="14"/>
            </w:pPr>
            <w:r>
              <w:t>≥90%</w:t>
            </w:r>
          </w:p>
        </w:tc>
        <w:tc>
          <w:tcPr>
            <w:tcW w:w="2268" w:type="dxa"/>
            <w:vAlign w:val="center"/>
          </w:tcPr>
          <w:p>
            <w:pPr>
              <w:pStyle w:val="14"/>
            </w:pPr>
            <w:r>
              <w:t>被保障科室对保障工作的满意度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印刷品宣传效果满意度</w:t>
            </w:r>
          </w:p>
        </w:tc>
        <w:tc>
          <w:tcPr>
            <w:tcW w:w="2835" w:type="dxa"/>
            <w:vAlign w:val="center"/>
          </w:tcPr>
          <w:p>
            <w:pPr>
              <w:pStyle w:val="14"/>
            </w:pPr>
            <w:r>
              <w:t>印刷品宣传效果满意度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2023年，平乡县人民政府办公室本级安排政府采购预算0.00万元。具体内容见下表。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434001平乡县人民政府办公室本级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平乡县人民政府办公室本级上年末固定资产金额为676.80万元（详见下表）。本年度拟购置固定资产总额为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434001平乡县人民政府办公室本级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676.80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7</w:t>
            </w:r>
          </w:p>
        </w:tc>
        <w:tc>
          <w:tcPr>
            <w:tcW w:w="2835" w:type="dxa"/>
            <w:vAlign w:val="center"/>
          </w:tcPr>
          <w:p>
            <w:pPr>
              <w:pStyle w:val="13"/>
            </w:pPr>
            <w:r>
              <w:t>118.20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2</w:t>
            </w:r>
          </w:p>
        </w:tc>
        <w:tc>
          <w:tcPr>
            <w:tcW w:w="2835" w:type="dxa"/>
            <w:vAlign w:val="center"/>
          </w:tcPr>
          <w:p>
            <w:pPr>
              <w:pStyle w:val="13"/>
            </w:pPr>
            <w:r>
              <w:t>122.88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435.72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二、平乡县大数据发展中心收支预算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434003平乡县大数据发展中心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166.94</w:t>
            </w:r>
          </w:p>
        </w:tc>
        <w:tc>
          <w:tcPr>
            <w:tcW w:w="4535" w:type="dxa"/>
            <w:vAlign w:val="center"/>
          </w:tcPr>
          <w:p>
            <w:pPr>
              <w:pStyle w:val="14"/>
            </w:pPr>
            <w:r>
              <w:t>一、一般公共服务支出</w:t>
            </w:r>
          </w:p>
        </w:tc>
        <w:tc>
          <w:tcPr>
            <w:tcW w:w="2126" w:type="dxa"/>
            <w:vAlign w:val="center"/>
          </w:tcPr>
          <w:p>
            <w:pPr>
              <w:pStyle w:val="13"/>
            </w:pPr>
            <w:r>
              <w:t>99.44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166.94</w:t>
            </w:r>
          </w:p>
        </w:tc>
        <w:tc>
          <w:tcPr>
            <w:tcW w:w="4535" w:type="dxa"/>
            <w:vAlign w:val="center"/>
          </w:tcPr>
          <w:p>
            <w:pPr>
              <w:pStyle w:val="16"/>
            </w:pPr>
            <w:r>
              <w:t>本年支出合计</w:t>
            </w:r>
          </w:p>
        </w:tc>
        <w:tc>
          <w:tcPr>
            <w:tcW w:w="2126" w:type="dxa"/>
            <w:vAlign w:val="center"/>
          </w:tcPr>
          <w:p>
            <w:pPr>
              <w:pStyle w:val="17"/>
            </w:pPr>
            <w:r>
              <w:t>166.94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166.94</w:t>
            </w:r>
          </w:p>
        </w:tc>
        <w:tc>
          <w:tcPr>
            <w:tcW w:w="4535" w:type="dxa"/>
            <w:vAlign w:val="center"/>
          </w:tcPr>
          <w:p>
            <w:pPr>
              <w:pStyle w:val="16"/>
            </w:pPr>
            <w:r>
              <w:t>支出总计</w:t>
            </w:r>
          </w:p>
        </w:tc>
        <w:tc>
          <w:tcPr>
            <w:tcW w:w="2126" w:type="dxa"/>
            <w:vAlign w:val="center"/>
          </w:tcPr>
          <w:p>
            <w:pPr>
              <w:pStyle w:val="17"/>
            </w:pPr>
            <w:r>
              <w:t>166.94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434003平乡县大数据发展中心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166.94</w:t>
            </w:r>
          </w:p>
        </w:tc>
        <w:tc>
          <w:tcPr>
            <w:tcW w:w="1134" w:type="dxa"/>
            <w:vAlign w:val="center"/>
          </w:tcPr>
          <w:p>
            <w:pPr>
              <w:pStyle w:val="17"/>
            </w:pPr>
            <w:r>
              <w:t>166.94</w:t>
            </w:r>
          </w:p>
        </w:tc>
        <w:tc>
          <w:tcPr>
            <w:tcW w:w="1134" w:type="dxa"/>
            <w:vAlign w:val="center"/>
          </w:tcPr>
          <w:p>
            <w:pPr>
              <w:pStyle w:val="17"/>
            </w:pPr>
            <w:r>
              <w:t>166.94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99.44</w:t>
            </w:r>
          </w:p>
        </w:tc>
        <w:tc>
          <w:tcPr>
            <w:tcW w:w="1134" w:type="dxa"/>
            <w:vAlign w:val="center"/>
          </w:tcPr>
          <w:p>
            <w:pPr>
              <w:pStyle w:val="13"/>
            </w:pPr>
            <w:r>
              <w:t>99.44</w:t>
            </w:r>
          </w:p>
        </w:tc>
        <w:tc>
          <w:tcPr>
            <w:tcW w:w="1134" w:type="dxa"/>
            <w:vAlign w:val="center"/>
          </w:tcPr>
          <w:p>
            <w:pPr>
              <w:pStyle w:val="13"/>
            </w:pPr>
            <w:r>
              <w:t>99.44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99.44</w:t>
            </w:r>
          </w:p>
        </w:tc>
        <w:tc>
          <w:tcPr>
            <w:tcW w:w="1134" w:type="dxa"/>
            <w:vAlign w:val="center"/>
          </w:tcPr>
          <w:p>
            <w:pPr>
              <w:pStyle w:val="13"/>
            </w:pPr>
            <w:r>
              <w:t>99.44</w:t>
            </w:r>
          </w:p>
        </w:tc>
        <w:tc>
          <w:tcPr>
            <w:tcW w:w="1134" w:type="dxa"/>
            <w:vAlign w:val="center"/>
          </w:tcPr>
          <w:p>
            <w:pPr>
              <w:pStyle w:val="13"/>
            </w:pPr>
            <w:r>
              <w:t>99.44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99.44</w:t>
            </w:r>
          </w:p>
        </w:tc>
        <w:tc>
          <w:tcPr>
            <w:tcW w:w="1134" w:type="dxa"/>
            <w:vAlign w:val="center"/>
          </w:tcPr>
          <w:p>
            <w:pPr>
              <w:pStyle w:val="13"/>
            </w:pPr>
            <w:r>
              <w:t>99.44</w:t>
            </w:r>
          </w:p>
        </w:tc>
        <w:tc>
          <w:tcPr>
            <w:tcW w:w="1134" w:type="dxa"/>
            <w:vAlign w:val="center"/>
          </w:tcPr>
          <w:p>
            <w:pPr>
              <w:pStyle w:val="13"/>
            </w:pPr>
            <w:r>
              <w:t>99.44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67.50</w:t>
            </w:r>
          </w:p>
        </w:tc>
        <w:tc>
          <w:tcPr>
            <w:tcW w:w="1134" w:type="dxa"/>
            <w:vAlign w:val="center"/>
          </w:tcPr>
          <w:p>
            <w:pPr>
              <w:pStyle w:val="13"/>
            </w:pPr>
            <w:r>
              <w:t>67.50</w:t>
            </w:r>
          </w:p>
        </w:tc>
        <w:tc>
          <w:tcPr>
            <w:tcW w:w="1134" w:type="dxa"/>
            <w:vAlign w:val="center"/>
          </w:tcPr>
          <w:p>
            <w:pPr>
              <w:pStyle w:val="13"/>
            </w:pPr>
            <w:r>
              <w:t>67.50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67.50</w:t>
            </w:r>
          </w:p>
        </w:tc>
        <w:tc>
          <w:tcPr>
            <w:tcW w:w="1134" w:type="dxa"/>
            <w:vAlign w:val="center"/>
          </w:tcPr>
          <w:p>
            <w:pPr>
              <w:pStyle w:val="13"/>
            </w:pPr>
            <w:r>
              <w:t>67.50</w:t>
            </w:r>
          </w:p>
        </w:tc>
        <w:tc>
          <w:tcPr>
            <w:tcW w:w="1134" w:type="dxa"/>
            <w:vAlign w:val="center"/>
          </w:tcPr>
          <w:p>
            <w:pPr>
              <w:pStyle w:val="13"/>
            </w:pPr>
            <w:r>
              <w:t>67.50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2069999</w:t>
            </w:r>
          </w:p>
        </w:tc>
        <w:tc>
          <w:tcPr>
            <w:tcW w:w="1559" w:type="dxa"/>
            <w:vAlign w:val="center"/>
          </w:tcPr>
          <w:p>
            <w:pPr>
              <w:pStyle w:val="14"/>
            </w:pPr>
            <w:r>
              <w:t>其他科学技术支出</w:t>
            </w:r>
          </w:p>
        </w:tc>
        <w:tc>
          <w:tcPr>
            <w:tcW w:w="1134" w:type="dxa"/>
            <w:vAlign w:val="center"/>
          </w:tcPr>
          <w:p>
            <w:pPr>
              <w:pStyle w:val="13"/>
            </w:pPr>
            <w:r>
              <w:t>67.50</w:t>
            </w:r>
          </w:p>
        </w:tc>
        <w:tc>
          <w:tcPr>
            <w:tcW w:w="1134" w:type="dxa"/>
            <w:vAlign w:val="center"/>
          </w:tcPr>
          <w:p>
            <w:pPr>
              <w:pStyle w:val="13"/>
            </w:pPr>
            <w:r>
              <w:t>67.50</w:t>
            </w:r>
          </w:p>
        </w:tc>
        <w:tc>
          <w:tcPr>
            <w:tcW w:w="1134" w:type="dxa"/>
            <w:vAlign w:val="center"/>
          </w:tcPr>
          <w:p>
            <w:pPr>
              <w:pStyle w:val="13"/>
            </w:pPr>
            <w:r>
              <w:t>67.50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434003平乡县大数据发展中心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166.94</w:t>
            </w:r>
          </w:p>
        </w:tc>
        <w:tc>
          <w:tcPr>
            <w:tcW w:w="1361" w:type="dxa"/>
            <w:vAlign w:val="center"/>
          </w:tcPr>
          <w:p>
            <w:pPr>
              <w:pStyle w:val="17"/>
            </w:pPr>
            <w:r>
              <w:t>99.44</w:t>
            </w:r>
          </w:p>
        </w:tc>
        <w:tc>
          <w:tcPr>
            <w:tcW w:w="1361" w:type="dxa"/>
            <w:vAlign w:val="center"/>
          </w:tcPr>
          <w:p>
            <w:pPr>
              <w:pStyle w:val="17"/>
            </w:pPr>
            <w:r>
              <w:t>67.50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99.44</w:t>
            </w:r>
          </w:p>
        </w:tc>
        <w:tc>
          <w:tcPr>
            <w:tcW w:w="1361" w:type="dxa"/>
            <w:vAlign w:val="center"/>
          </w:tcPr>
          <w:p>
            <w:pPr>
              <w:pStyle w:val="13"/>
            </w:pPr>
            <w:r>
              <w:t>99.44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99.44</w:t>
            </w:r>
          </w:p>
        </w:tc>
        <w:tc>
          <w:tcPr>
            <w:tcW w:w="1361" w:type="dxa"/>
            <w:vAlign w:val="center"/>
          </w:tcPr>
          <w:p>
            <w:pPr>
              <w:pStyle w:val="13"/>
            </w:pPr>
            <w:r>
              <w:t>99.44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99.44</w:t>
            </w:r>
          </w:p>
        </w:tc>
        <w:tc>
          <w:tcPr>
            <w:tcW w:w="1361" w:type="dxa"/>
            <w:vAlign w:val="center"/>
          </w:tcPr>
          <w:p>
            <w:pPr>
              <w:pStyle w:val="13"/>
            </w:pPr>
            <w:r>
              <w:t>99.44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67.50</w:t>
            </w:r>
          </w:p>
        </w:tc>
        <w:tc>
          <w:tcPr>
            <w:tcW w:w="1361" w:type="dxa"/>
            <w:vAlign w:val="center"/>
          </w:tcPr>
          <w:p>
            <w:pPr>
              <w:pStyle w:val="13"/>
            </w:pPr>
          </w:p>
        </w:tc>
        <w:tc>
          <w:tcPr>
            <w:tcW w:w="1361" w:type="dxa"/>
            <w:vAlign w:val="center"/>
          </w:tcPr>
          <w:p>
            <w:pPr>
              <w:pStyle w:val="13"/>
            </w:pPr>
            <w:r>
              <w:t>67.50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67.50</w:t>
            </w:r>
          </w:p>
        </w:tc>
        <w:tc>
          <w:tcPr>
            <w:tcW w:w="1361" w:type="dxa"/>
            <w:vAlign w:val="center"/>
          </w:tcPr>
          <w:p>
            <w:pPr>
              <w:pStyle w:val="13"/>
            </w:pPr>
          </w:p>
        </w:tc>
        <w:tc>
          <w:tcPr>
            <w:tcW w:w="1361" w:type="dxa"/>
            <w:vAlign w:val="center"/>
          </w:tcPr>
          <w:p>
            <w:pPr>
              <w:pStyle w:val="13"/>
            </w:pPr>
            <w:r>
              <w:t>67.50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67.50</w:t>
            </w:r>
          </w:p>
        </w:tc>
        <w:tc>
          <w:tcPr>
            <w:tcW w:w="1361" w:type="dxa"/>
            <w:vAlign w:val="center"/>
          </w:tcPr>
          <w:p>
            <w:pPr>
              <w:pStyle w:val="13"/>
            </w:pPr>
          </w:p>
        </w:tc>
        <w:tc>
          <w:tcPr>
            <w:tcW w:w="1361" w:type="dxa"/>
            <w:vAlign w:val="center"/>
          </w:tcPr>
          <w:p>
            <w:pPr>
              <w:pStyle w:val="13"/>
            </w:pPr>
            <w:r>
              <w:t>67.50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434003平乡县大数据发展中心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166.94</w:t>
            </w:r>
          </w:p>
        </w:tc>
        <w:tc>
          <w:tcPr>
            <w:tcW w:w="3402" w:type="dxa"/>
            <w:vAlign w:val="center"/>
          </w:tcPr>
          <w:p>
            <w:pPr>
              <w:pStyle w:val="14"/>
            </w:pPr>
            <w:r>
              <w:t>一、一般公共服务支出</w:t>
            </w:r>
          </w:p>
        </w:tc>
        <w:tc>
          <w:tcPr>
            <w:tcW w:w="1474" w:type="dxa"/>
            <w:vAlign w:val="center"/>
          </w:tcPr>
          <w:p>
            <w:pPr>
              <w:pStyle w:val="13"/>
            </w:pPr>
            <w:r>
              <w:t>99.44</w:t>
            </w:r>
          </w:p>
        </w:tc>
        <w:tc>
          <w:tcPr>
            <w:tcW w:w="1474" w:type="dxa"/>
            <w:vAlign w:val="center"/>
          </w:tcPr>
          <w:p>
            <w:pPr>
              <w:pStyle w:val="13"/>
            </w:pPr>
            <w:r>
              <w:t>99.44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67.50</w:t>
            </w:r>
          </w:p>
        </w:tc>
        <w:tc>
          <w:tcPr>
            <w:tcW w:w="1474" w:type="dxa"/>
            <w:vAlign w:val="center"/>
          </w:tcPr>
          <w:p>
            <w:pPr>
              <w:pStyle w:val="13"/>
            </w:pPr>
            <w:r>
              <w:t>67.50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166.94</w:t>
            </w:r>
          </w:p>
        </w:tc>
        <w:tc>
          <w:tcPr>
            <w:tcW w:w="3402" w:type="dxa"/>
            <w:vAlign w:val="center"/>
          </w:tcPr>
          <w:p>
            <w:pPr>
              <w:pStyle w:val="16"/>
            </w:pPr>
            <w:r>
              <w:t>本年支出合计</w:t>
            </w:r>
          </w:p>
        </w:tc>
        <w:tc>
          <w:tcPr>
            <w:tcW w:w="1474" w:type="dxa"/>
            <w:vAlign w:val="center"/>
          </w:tcPr>
          <w:p>
            <w:pPr>
              <w:pStyle w:val="17"/>
            </w:pPr>
            <w:r>
              <w:t>166.94</w:t>
            </w:r>
          </w:p>
        </w:tc>
        <w:tc>
          <w:tcPr>
            <w:tcW w:w="1474" w:type="dxa"/>
            <w:vAlign w:val="center"/>
          </w:tcPr>
          <w:p>
            <w:pPr>
              <w:pStyle w:val="17"/>
            </w:pPr>
            <w:r>
              <w:t>166.94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166.94</w:t>
            </w:r>
          </w:p>
        </w:tc>
        <w:tc>
          <w:tcPr>
            <w:tcW w:w="3402" w:type="dxa"/>
            <w:vAlign w:val="center"/>
          </w:tcPr>
          <w:p>
            <w:pPr>
              <w:pStyle w:val="16"/>
            </w:pPr>
            <w:r>
              <w:t>支出总计</w:t>
            </w:r>
          </w:p>
        </w:tc>
        <w:tc>
          <w:tcPr>
            <w:tcW w:w="1474" w:type="dxa"/>
            <w:vAlign w:val="center"/>
          </w:tcPr>
          <w:p>
            <w:pPr>
              <w:pStyle w:val="17"/>
            </w:pPr>
            <w:r>
              <w:t>166.94</w:t>
            </w:r>
          </w:p>
        </w:tc>
        <w:tc>
          <w:tcPr>
            <w:tcW w:w="1474" w:type="dxa"/>
            <w:vAlign w:val="center"/>
          </w:tcPr>
          <w:p>
            <w:pPr>
              <w:pStyle w:val="17"/>
            </w:pPr>
            <w:r>
              <w:t>166.94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434003平乡县大数据发展中心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166.94</w:t>
            </w:r>
          </w:p>
        </w:tc>
        <w:tc>
          <w:tcPr>
            <w:tcW w:w="2551" w:type="dxa"/>
            <w:vAlign w:val="center"/>
          </w:tcPr>
          <w:p>
            <w:pPr>
              <w:pStyle w:val="17"/>
            </w:pPr>
            <w:r>
              <w:t>99.44</w:t>
            </w:r>
          </w:p>
        </w:tc>
        <w:tc>
          <w:tcPr>
            <w:tcW w:w="2551" w:type="dxa"/>
            <w:vAlign w:val="center"/>
          </w:tcPr>
          <w:p>
            <w:pPr>
              <w:pStyle w:val="17"/>
            </w:pPr>
            <w: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99.44</w:t>
            </w:r>
          </w:p>
        </w:tc>
        <w:tc>
          <w:tcPr>
            <w:tcW w:w="2551" w:type="dxa"/>
            <w:vAlign w:val="center"/>
          </w:tcPr>
          <w:p>
            <w:pPr>
              <w:pStyle w:val="13"/>
            </w:pPr>
            <w:r>
              <w:t>99.44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99.44</w:t>
            </w:r>
          </w:p>
        </w:tc>
        <w:tc>
          <w:tcPr>
            <w:tcW w:w="2551" w:type="dxa"/>
            <w:vAlign w:val="center"/>
          </w:tcPr>
          <w:p>
            <w:pPr>
              <w:pStyle w:val="13"/>
            </w:pPr>
            <w:r>
              <w:t>99.44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99.44</w:t>
            </w:r>
          </w:p>
        </w:tc>
        <w:tc>
          <w:tcPr>
            <w:tcW w:w="2551" w:type="dxa"/>
            <w:vAlign w:val="center"/>
          </w:tcPr>
          <w:p>
            <w:pPr>
              <w:pStyle w:val="13"/>
            </w:pPr>
            <w:r>
              <w:t>99.44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67.50</w:t>
            </w:r>
          </w:p>
        </w:tc>
        <w:tc>
          <w:tcPr>
            <w:tcW w:w="2551" w:type="dxa"/>
            <w:vAlign w:val="center"/>
          </w:tcPr>
          <w:p>
            <w:pPr>
              <w:pStyle w:val="13"/>
            </w:pPr>
          </w:p>
        </w:tc>
        <w:tc>
          <w:tcPr>
            <w:tcW w:w="2551" w:type="dxa"/>
            <w:vAlign w:val="center"/>
          </w:tcPr>
          <w:p>
            <w:pPr>
              <w:pStyle w:val="13"/>
            </w:pPr>
            <w: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67.50</w:t>
            </w:r>
          </w:p>
        </w:tc>
        <w:tc>
          <w:tcPr>
            <w:tcW w:w="2551" w:type="dxa"/>
            <w:vAlign w:val="center"/>
          </w:tcPr>
          <w:p>
            <w:pPr>
              <w:pStyle w:val="13"/>
            </w:pPr>
          </w:p>
        </w:tc>
        <w:tc>
          <w:tcPr>
            <w:tcW w:w="2551" w:type="dxa"/>
            <w:vAlign w:val="center"/>
          </w:tcPr>
          <w:p>
            <w:pPr>
              <w:pStyle w:val="13"/>
            </w:pPr>
            <w: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67.50</w:t>
            </w:r>
          </w:p>
        </w:tc>
        <w:tc>
          <w:tcPr>
            <w:tcW w:w="2551" w:type="dxa"/>
            <w:vAlign w:val="center"/>
          </w:tcPr>
          <w:p>
            <w:pPr>
              <w:pStyle w:val="13"/>
            </w:pPr>
          </w:p>
        </w:tc>
        <w:tc>
          <w:tcPr>
            <w:tcW w:w="2551" w:type="dxa"/>
            <w:vAlign w:val="center"/>
          </w:tcPr>
          <w:p>
            <w:pPr>
              <w:pStyle w:val="13"/>
            </w:pPr>
            <w:r>
              <w:t>67.50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434003平乡县大数据发展中心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99.44</w:t>
            </w:r>
          </w:p>
        </w:tc>
        <w:tc>
          <w:tcPr>
            <w:tcW w:w="2551" w:type="dxa"/>
            <w:vAlign w:val="center"/>
          </w:tcPr>
          <w:p>
            <w:pPr>
              <w:pStyle w:val="17"/>
            </w:pPr>
            <w:r>
              <w:t>96.80</w:t>
            </w:r>
          </w:p>
        </w:tc>
        <w:tc>
          <w:tcPr>
            <w:tcW w:w="2551" w:type="dxa"/>
            <w:vAlign w:val="center"/>
          </w:tcPr>
          <w:p>
            <w:pPr>
              <w:pStyle w:val="17"/>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96.80</w:t>
            </w:r>
          </w:p>
        </w:tc>
        <w:tc>
          <w:tcPr>
            <w:tcW w:w="2551" w:type="dxa"/>
            <w:vAlign w:val="center"/>
          </w:tcPr>
          <w:p>
            <w:pPr>
              <w:pStyle w:val="13"/>
            </w:pPr>
            <w:r>
              <w:t>96.80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62.00</w:t>
            </w:r>
          </w:p>
        </w:tc>
        <w:tc>
          <w:tcPr>
            <w:tcW w:w="2551" w:type="dxa"/>
            <w:vAlign w:val="center"/>
          </w:tcPr>
          <w:p>
            <w:pPr>
              <w:pStyle w:val="13"/>
            </w:pPr>
            <w:r>
              <w:t>62.00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2.80</w:t>
            </w:r>
          </w:p>
        </w:tc>
        <w:tc>
          <w:tcPr>
            <w:tcW w:w="2551" w:type="dxa"/>
            <w:vAlign w:val="center"/>
          </w:tcPr>
          <w:p>
            <w:pPr>
              <w:pStyle w:val="13"/>
            </w:pPr>
            <w:r>
              <w:t>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2.64</w:t>
            </w:r>
          </w:p>
        </w:tc>
        <w:tc>
          <w:tcPr>
            <w:tcW w:w="2551" w:type="dxa"/>
            <w:vAlign w:val="center"/>
          </w:tcPr>
          <w:p>
            <w:pPr>
              <w:pStyle w:val="13"/>
            </w:pPr>
          </w:p>
        </w:tc>
        <w:tc>
          <w:tcPr>
            <w:tcW w:w="2551"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0.22</w:t>
            </w:r>
          </w:p>
        </w:tc>
        <w:tc>
          <w:tcPr>
            <w:tcW w:w="2551" w:type="dxa"/>
            <w:vAlign w:val="center"/>
          </w:tcPr>
          <w:p>
            <w:pPr>
              <w:pStyle w:val="13"/>
            </w:pPr>
          </w:p>
        </w:tc>
        <w:tc>
          <w:tcPr>
            <w:tcW w:w="2551"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0.22</w:t>
            </w:r>
          </w:p>
        </w:tc>
        <w:tc>
          <w:tcPr>
            <w:tcW w:w="2551" w:type="dxa"/>
            <w:vAlign w:val="center"/>
          </w:tcPr>
          <w:p>
            <w:pPr>
              <w:pStyle w:val="13"/>
            </w:pPr>
          </w:p>
        </w:tc>
        <w:tc>
          <w:tcPr>
            <w:tcW w:w="2551" w:type="dxa"/>
            <w:vAlign w:val="center"/>
          </w:tcPr>
          <w:p>
            <w:pPr>
              <w:pStyle w:val="13"/>
            </w:pPr>
            <w:r>
              <w:t>0.22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434003平乡县大数据发展中心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434003平乡县大数据发展中心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434003平乡县大数据发展中心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2677" w:firstLineChars="12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平乡县大数据发展中心2023年单位预算信息公开情况说明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按照《预算法》、《地方预决算公开操作规程》和《关于进一步推进预算公开工作的实施意见》规定，现将平乡县大数据发展中心2023年单位预算公开如下：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有关数据资源管理的方针政策和法律法规，承担起草相关政府规章草案的行政辅助工作。承担拟订全县数据资源管理发展战略、发展规划、年度计划、政策措施和评价体系的行政辅助工作并负责实施。</w:t>
      </w:r>
    </w:p>
    <w:p>
      <w:pPr>
        <w:pStyle w:val="27"/>
      </w:pPr>
      <w:r>
        <w:t>(二)组织实施国家和地方数据技术标准。承担制定全县数据资源采集、存储、使用、开放、共享等标准规范的技术支撑工作并负责实施。</w:t>
      </w:r>
    </w:p>
    <w:p>
      <w:pPr>
        <w:pStyle w:val="27"/>
      </w:pPr>
      <w:r>
        <w:t>(三)负责大数据重大项目审核的行政辅助工作。承担全县大数据中心、超算中心和大数据共享交换平台等基础设施建设和管理的行政辅助工作。负责大数据安全体系建设和安全保障的技术支撑工作。</w:t>
      </w:r>
    </w:p>
    <w:p>
      <w:pPr>
        <w:pStyle w:val="27"/>
      </w:pPr>
      <w:r>
        <w:t>(四)协调公共数据资源整合、归集、应用、共享、开放。承担编制全县政务数据和公共数据资源目录的技术支撑工作，推动数据资源采集汇聚，完善县级政务信息资源共享交换平台和公共数据资源开放平台，促进政务、民生产业领域各类数据资源的深度开发利用与共享开放。</w:t>
      </w:r>
    </w:p>
    <w:p>
      <w:pPr>
        <w:pStyle w:val="27"/>
      </w:pPr>
      <w:r>
        <w:t>(五)负责全县智慧城市建设、政府数字转型相关数据资源管理的行政辅助和技术支撑工作。</w:t>
      </w:r>
    </w:p>
    <w:p>
      <w:pPr>
        <w:pStyle w:val="27"/>
      </w:pPr>
      <w:r>
        <w:t>(六)为全县各级各部门信息化建设和大数据应用管理提供技术指导，会同有关部门做好全县数据资源、政府信息化领域的对外交流合作以及人才培养等工作。</w:t>
      </w:r>
    </w:p>
    <w:p>
      <w:pPr>
        <w:pStyle w:val="27"/>
      </w:pPr>
      <w:r>
        <w:t>(七)为全县经济社会各领域的数据资源开发利用工作提供技术指导，促进全县数据资源产业发展。负责数据资源相关技术研发、行业数据分析成果转化等技术支撑工作。</w:t>
      </w:r>
    </w:p>
    <w:p>
      <w:pPr>
        <w:pStyle w:val="27"/>
      </w:pPr>
      <w:r>
        <w:t>(八)完成县政府办公室交办的其他任务。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平乡县大数据发展中心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反映本单位当年全部收入。2023年预算收入</w:t>
      </w:r>
      <w:r>
        <w:rPr>
          <w:rFonts w:hint="eastAsia"/>
          <w:lang w:val="en-US" w:eastAsia="zh-CN"/>
        </w:rPr>
        <w:t>166.94</w:t>
      </w:r>
      <w:r>
        <w:t>万元，其中：一般公共预算收入</w:t>
      </w:r>
      <w:r>
        <w:rPr>
          <w:rFonts w:hint="eastAsia"/>
          <w:lang w:val="en-US" w:eastAsia="zh-CN"/>
        </w:rPr>
        <w:t>166.94</w:t>
      </w:r>
      <w:r>
        <w:t>万元，基金预算收入0万元，财政专户核拨收入0万元，其他来源收入0万元，上年结转0万元。</w:t>
      </w:r>
    </w:p>
    <w:p>
      <w:pPr>
        <w:pStyle w:val="28"/>
      </w:pPr>
      <w:r>
        <w:t>2、支出说明</w:t>
      </w:r>
    </w:p>
    <w:p>
      <w:pPr>
        <w:pStyle w:val="28"/>
      </w:pPr>
      <w:r>
        <w:t>收支预算总表支出栏、基本支出表、项目支出表按经济分类和支出功能分类科目编制，反映平乡县</w:t>
      </w:r>
      <w:r>
        <w:rPr>
          <w:rFonts w:hint="eastAsia"/>
          <w:lang w:eastAsia="zh-CN"/>
        </w:rPr>
        <w:t>大数据发展中心</w:t>
      </w:r>
      <w:r>
        <w:t>年度预算中支出预算的总体情况。2023年</w:t>
      </w:r>
      <w:r>
        <w:rPr>
          <w:rFonts w:hint="eastAsia"/>
          <w:lang w:eastAsia="zh-CN"/>
        </w:rPr>
        <w:t>单位</w:t>
      </w:r>
      <w:r>
        <w:t>支出预算为</w:t>
      </w:r>
      <w:r>
        <w:rPr>
          <w:rFonts w:hint="eastAsia"/>
          <w:lang w:val="en-US" w:eastAsia="zh-CN"/>
        </w:rPr>
        <w:t>166.94</w:t>
      </w:r>
      <w:r>
        <w:t>万元，其中基本支出</w:t>
      </w:r>
      <w:r>
        <w:rPr>
          <w:rFonts w:hint="eastAsia"/>
          <w:lang w:val="en-US" w:eastAsia="zh-CN"/>
        </w:rPr>
        <w:t>99.44</w:t>
      </w:r>
      <w:r>
        <w:t>万元，包括人员经费</w:t>
      </w:r>
      <w:r>
        <w:rPr>
          <w:rFonts w:hint="eastAsia"/>
          <w:lang w:val="en-US" w:eastAsia="zh-CN"/>
        </w:rPr>
        <w:t>96.8</w:t>
      </w:r>
      <w:r>
        <w:t>万元和日常公用经费</w:t>
      </w:r>
      <w:r>
        <w:rPr>
          <w:rFonts w:hint="eastAsia"/>
          <w:lang w:val="en-US" w:eastAsia="zh-CN"/>
        </w:rPr>
        <w:t>2.64</w:t>
      </w:r>
      <w:r>
        <w:t>万元；项目支出</w:t>
      </w:r>
      <w:r>
        <w:rPr>
          <w:rFonts w:hint="eastAsia"/>
          <w:lang w:val="en-US" w:eastAsia="zh-CN"/>
        </w:rPr>
        <w:t>67.5</w:t>
      </w:r>
      <w:r>
        <w:t>万元，主要是用于大数据管理</w:t>
      </w:r>
      <w:r>
        <w:rPr>
          <w:rFonts w:hint="eastAsia"/>
          <w:lang w:eastAsia="zh-CN"/>
        </w:rPr>
        <w:t>、协同联动办公</w:t>
      </w:r>
      <w:r>
        <w:t>等工作。</w:t>
      </w:r>
    </w:p>
    <w:p>
      <w:pPr>
        <w:pStyle w:val="28"/>
      </w:pPr>
      <w:r>
        <w:t>3、比上年增减情况</w:t>
      </w:r>
    </w:p>
    <w:p>
      <w:pPr>
        <w:pStyle w:val="28"/>
      </w:pPr>
      <w:r>
        <w:t>2023年单位预算收支安排16</w:t>
      </w:r>
      <w:r>
        <w:rPr>
          <w:rFonts w:hint="eastAsia"/>
          <w:lang w:val="en-US" w:eastAsia="zh-CN"/>
        </w:rPr>
        <w:t>6.94</w:t>
      </w:r>
      <w:r>
        <w:t>万元，较2022年增加</w:t>
      </w:r>
      <w:r>
        <w:rPr>
          <w:rFonts w:hint="eastAsia"/>
          <w:lang w:val="en-US" w:eastAsia="zh-CN"/>
        </w:rPr>
        <w:t>118.94</w:t>
      </w:r>
      <w:r>
        <w:t>万元，其中：基本支出增加</w:t>
      </w:r>
      <w:r>
        <w:rPr>
          <w:rFonts w:hint="eastAsia"/>
          <w:lang w:val="en-US" w:eastAsia="zh-CN"/>
        </w:rPr>
        <w:t>99.44</w:t>
      </w:r>
      <w:r>
        <w:t>万元，主要是人员调入。项目支出增加19</w:t>
      </w:r>
      <w:r>
        <w:rPr>
          <w:rFonts w:hint="eastAsia"/>
          <w:lang w:val="en-US" w:eastAsia="zh-CN"/>
        </w:rPr>
        <w:t>.5</w:t>
      </w:r>
      <w:r>
        <w:t>万元，主要是</w:t>
      </w:r>
      <w:r>
        <w:rPr>
          <w:rFonts w:hint="eastAsia"/>
          <w:lang w:eastAsia="zh-CN"/>
        </w:rPr>
        <w:t>增加协同联动办公项目</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w:t>
      </w:r>
      <w:r>
        <w:rPr>
          <w:rFonts w:hint="eastAsia"/>
          <w:lang w:val="en-US" w:eastAsia="zh-CN"/>
        </w:rPr>
        <w:t>2.64</w:t>
      </w:r>
      <w:r>
        <w:t>万元，主要用于保证机关正常运转的办公费、邮电费、交通补贴、福利费、工会经费等支出。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w:t>
      </w:r>
      <w:r>
        <w:rPr>
          <w:rFonts w:hint="eastAsia"/>
          <w:lang w:val="en-US" w:eastAsia="zh-CN"/>
        </w:rPr>
        <w:t>3</w:t>
      </w:r>
      <w:r>
        <w:t>年，我单位拨款“三公”经费预算安排0万元，其中：因公出国（境）费0万元；公务用车购置及运维费0万元（其中：公务用车购置费0万元，公务用车运行维护费0万元)；公务接待费0万元。“三公”经费，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1、大数据发展中心经费绩效目标表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1.组织实施国家和地方数据技术标准</w:t>
            </w:r>
            <w:r>
              <w:tab/>
            </w:r>
            <w:r>
              <w:tab/>
            </w:r>
            <w:r>
              <w:tab/>
            </w:r>
            <w:r>
              <w:tab/>
            </w:r>
          </w:p>
          <w:p>
            <w:pPr>
              <w:pStyle w:val="14"/>
            </w:pPr>
            <w:r>
              <w:tab/>
            </w:r>
            <w:r>
              <w:tab/>
            </w:r>
            <w:r>
              <w:tab/>
            </w:r>
          </w:p>
          <w:p>
            <w:pPr>
              <w:pStyle w:val="14"/>
            </w:pPr>
          </w:p>
          <w:p>
            <w:pPr>
              <w:pStyle w:val="14"/>
            </w:pPr>
            <w:r>
              <w:t>2.大数据安全体系建设</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办公设备数量</w:t>
            </w:r>
          </w:p>
        </w:tc>
        <w:tc>
          <w:tcPr>
            <w:tcW w:w="2835" w:type="dxa"/>
            <w:vAlign w:val="center"/>
          </w:tcPr>
          <w:p>
            <w:pPr>
              <w:pStyle w:val="14"/>
            </w:pPr>
            <w:r>
              <w:t>办公设备数量</w:t>
            </w:r>
          </w:p>
        </w:tc>
        <w:tc>
          <w:tcPr>
            <w:tcW w:w="2551" w:type="dxa"/>
            <w:vAlign w:val="center"/>
          </w:tcPr>
          <w:p>
            <w:pPr>
              <w:pStyle w:val="14"/>
            </w:pPr>
            <w:r>
              <w:t>≥4件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综合管理工作完成率</w:t>
            </w:r>
          </w:p>
        </w:tc>
        <w:tc>
          <w:tcPr>
            <w:tcW w:w="2835" w:type="dxa"/>
            <w:vAlign w:val="center"/>
          </w:tcPr>
          <w:p>
            <w:pPr>
              <w:pStyle w:val="14"/>
            </w:pPr>
            <w:r>
              <w:t>综合管理工作完成率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各项工作及时完成率</w:t>
            </w:r>
          </w:p>
        </w:tc>
        <w:tc>
          <w:tcPr>
            <w:tcW w:w="2835" w:type="dxa"/>
            <w:vAlign w:val="center"/>
          </w:tcPr>
          <w:p>
            <w:pPr>
              <w:pStyle w:val="14"/>
            </w:pPr>
            <w:r>
              <w:t>各项工作任务能够在规定时间或计划时间之前及时完成的比例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办公费、业务费等</w:t>
            </w:r>
          </w:p>
        </w:tc>
        <w:tc>
          <w:tcPr>
            <w:tcW w:w="2835" w:type="dxa"/>
            <w:vAlign w:val="center"/>
          </w:tcPr>
          <w:p>
            <w:pPr>
              <w:pStyle w:val="14"/>
            </w:pPr>
            <w:r>
              <w:t>办公费、业务费等</w:t>
            </w:r>
          </w:p>
        </w:tc>
        <w:tc>
          <w:tcPr>
            <w:tcW w:w="2551" w:type="dxa"/>
            <w:vAlign w:val="center"/>
          </w:tcPr>
          <w:p>
            <w:pPr>
              <w:pStyle w:val="14"/>
            </w:pPr>
            <w:r>
              <w:t>≤48万元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提高大数据安全保障</w:t>
            </w:r>
          </w:p>
        </w:tc>
        <w:tc>
          <w:tcPr>
            <w:tcW w:w="2835" w:type="dxa"/>
            <w:vAlign w:val="center"/>
          </w:tcPr>
          <w:p>
            <w:pPr>
              <w:pStyle w:val="14"/>
            </w:pPr>
            <w:r>
              <w:t>提高大数据安全保障</w:t>
            </w:r>
          </w:p>
        </w:tc>
        <w:tc>
          <w:tcPr>
            <w:tcW w:w="2551" w:type="dxa"/>
            <w:vAlign w:val="center"/>
          </w:tcPr>
          <w:p>
            <w:pPr>
              <w:pStyle w:val="14"/>
            </w:pPr>
            <w:r>
              <w:t>明显提高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推动数字经济与实体经济融合</w:t>
            </w:r>
          </w:p>
        </w:tc>
        <w:tc>
          <w:tcPr>
            <w:tcW w:w="2835" w:type="dxa"/>
            <w:vAlign w:val="center"/>
          </w:tcPr>
          <w:p>
            <w:pPr>
              <w:pStyle w:val="14"/>
            </w:pPr>
            <w:r>
              <w:t>推动数字经济与实体经济融合</w:t>
            </w:r>
          </w:p>
        </w:tc>
        <w:tc>
          <w:tcPr>
            <w:tcW w:w="2551" w:type="dxa"/>
            <w:vAlign w:val="center"/>
          </w:tcPr>
          <w:p>
            <w:pPr>
              <w:pStyle w:val="14"/>
            </w:pPr>
            <w:r>
              <w:t>明显提高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促进全县数据资源管理</w:t>
            </w:r>
          </w:p>
        </w:tc>
        <w:tc>
          <w:tcPr>
            <w:tcW w:w="2835" w:type="dxa"/>
            <w:vAlign w:val="center"/>
          </w:tcPr>
          <w:p>
            <w:pPr>
              <w:pStyle w:val="14"/>
            </w:pPr>
            <w:r>
              <w:t>促进全县数据资源管理</w:t>
            </w:r>
          </w:p>
        </w:tc>
        <w:tc>
          <w:tcPr>
            <w:tcW w:w="2551" w:type="dxa"/>
            <w:vAlign w:val="center"/>
          </w:tcPr>
          <w:p>
            <w:pPr>
              <w:pStyle w:val="14"/>
            </w:pPr>
            <w:r>
              <w:t>明显提高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使用人员满意度</w:t>
            </w:r>
          </w:p>
        </w:tc>
        <w:tc>
          <w:tcPr>
            <w:tcW w:w="2551" w:type="dxa"/>
            <w:vAlign w:val="center"/>
          </w:tcPr>
          <w:p>
            <w:pPr>
              <w:pStyle w:val="14"/>
            </w:pPr>
            <w:r>
              <w:t>≥80%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2、协同联动办公平台绩效目标表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1.实现行政办公的信息化、无纸化、自动化和标准化，打造“互联网+政务”。</w:t>
            </w:r>
            <w:r>
              <w:tab/>
            </w:r>
            <w:r>
              <w:tab/>
            </w:r>
            <w:r>
              <w:tab/>
            </w:r>
            <w:r>
              <w:tab/>
            </w:r>
          </w:p>
          <w:p>
            <w:pPr>
              <w:pStyle w:val="14"/>
            </w:pPr>
            <w:r>
              <w:tab/>
            </w:r>
            <w:r>
              <w:tab/>
            </w:r>
            <w:r>
              <w:tab/>
            </w:r>
          </w:p>
          <w:p>
            <w:pPr>
              <w:pStyle w:val="14"/>
            </w:pPr>
          </w:p>
          <w:p>
            <w:pPr>
              <w:pStyle w:val="14"/>
            </w:pPr>
            <w:r>
              <w:t>2.进一步提高行政效能和管理服务水平，强化个部门之间的协调配合和有机衔接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手动签批设备数量</w:t>
            </w:r>
          </w:p>
        </w:tc>
        <w:tc>
          <w:tcPr>
            <w:tcW w:w="2835" w:type="dxa"/>
            <w:vAlign w:val="center"/>
          </w:tcPr>
          <w:p>
            <w:pPr>
              <w:pStyle w:val="14"/>
            </w:pPr>
            <w:r>
              <w:t>手动签批设备数量</w:t>
            </w:r>
          </w:p>
        </w:tc>
        <w:tc>
          <w:tcPr>
            <w:tcW w:w="2551" w:type="dxa"/>
            <w:vAlign w:val="center"/>
          </w:tcPr>
          <w:p>
            <w:pPr>
              <w:pStyle w:val="14"/>
            </w:pPr>
            <w:r>
              <w:t>≥10台</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办公自动化覆盖率</w:t>
            </w:r>
          </w:p>
        </w:tc>
        <w:tc>
          <w:tcPr>
            <w:tcW w:w="2835" w:type="dxa"/>
            <w:vAlign w:val="center"/>
          </w:tcPr>
          <w:p>
            <w:pPr>
              <w:pStyle w:val="14"/>
            </w:pPr>
            <w:r>
              <w:t>办公自动化覆盖范围占应覆盖范围的比率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手动签批设备质量是否合格</w:t>
            </w:r>
          </w:p>
        </w:tc>
        <w:tc>
          <w:tcPr>
            <w:tcW w:w="2835" w:type="dxa"/>
            <w:vAlign w:val="center"/>
          </w:tcPr>
          <w:p>
            <w:pPr>
              <w:pStyle w:val="14"/>
            </w:pPr>
            <w:r>
              <w:t>手动签批设备质量是否合格</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公文办理及时完成率</w:t>
            </w:r>
          </w:p>
        </w:tc>
        <w:tc>
          <w:tcPr>
            <w:tcW w:w="2835" w:type="dxa"/>
            <w:vAlign w:val="center"/>
          </w:tcPr>
          <w:p>
            <w:pPr>
              <w:pStyle w:val="14"/>
            </w:pPr>
            <w:r>
              <w:t>公文办理及时完成率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协同联动办公设备购置费及平台服务成本</w:t>
            </w:r>
          </w:p>
        </w:tc>
        <w:tc>
          <w:tcPr>
            <w:tcW w:w="2835" w:type="dxa"/>
            <w:vAlign w:val="center"/>
          </w:tcPr>
          <w:p>
            <w:pPr>
              <w:pStyle w:val="14"/>
            </w:pPr>
            <w:r>
              <w:t>协同联动办公设备购置费和平台服务费</w:t>
            </w:r>
          </w:p>
        </w:tc>
        <w:tc>
          <w:tcPr>
            <w:tcW w:w="2551" w:type="dxa"/>
            <w:vAlign w:val="center"/>
          </w:tcPr>
          <w:p>
            <w:pPr>
              <w:pStyle w:val="14"/>
            </w:pPr>
            <w:r>
              <w:t>≤21.5万元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提高公文办理效率</w:t>
            </w:r>
          </w:p>
        </w:tc>
        <w:tc>
          <w:tcPr>
            <w:tcW w:w="2835" w:type="dxa"/>
            <w:vAlign w:val="center"/>
          </w:tcPr>
          <w:p>
            <w:pPr>
              <w:pStyle w:val="14"/>
            </w:pPr>
            <w:r>
              <w:t>提高公文办理效率</w:t>
            </w:r>
          </w:p>
        </w:tc>
        <w:tc>
          <w:tcPr>
            <w:tcW w:w="2551" w:type="dxa"/>
            <w:vAlign w:val="center"/>
          </w:tcPr>
          <w:p>
            <w:pPr>
              <w:pStyle w:val="14"/>
            </w:pPr>
            <w:r>
              <w:t>较大提高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办公自动化覆盖率</w:t>
            </w:r>
          </w:p>
        </w:tc>
        <w:tc>
          <w:tcPr>
            <w:tcW w:w="2835" w:type="dxa"/>
            <w:vAlign w:val="center"/>
          </w:tcPr>
          <w:p>
            <w:pPr>
              <w:pStyle w:val="14"/>
            </w:pPr>
            <w:r>
              <w:t>办公自动化覆盖范围占应覆盖范围的比率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持续提升政务服务水平</w:t>
            </w:r>
          </w:p>
        </w:tc>
        <w:tc>
          <w:tcPr>
            <w:tcW w:w="2835" w:type="dxa"/>
            <w:vAlign w:val="center"/>
          </w:tcPr>
          <w:p>
            <w:pPr>
              <w:pStyle w:val="14"/>
            </w:pPr>
            <w:r>
              <w:t>持续提升政务服务水平</w:t>
            </w:r>
          </w:p>
        </w:tc>
        <w:tc>
          <w:tcPr>
            <w:tcW w:w="2551" w:type="dxa"/>
            <w:vAlign w:val="center"/>
          </w:tcPr>
          <w:p>
            <w:pPr>
              <w:pStyle w:val="14"/>
            </w:pPr>
            <w:r>
              <w:t>明显提高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使用终端满意率</w:t>
            </w:r>
          </w:p>
        </w:tc>
        <w:tc>
          <w:tcPr>
            <w:tcW w:w="2835" w:type="dxa"/>
            <w:vAlign w:val="center"/>
          </w:tcPr>
          <w:p>
            <w:pPr>
              <w:pStyle w:val="14"/>
            </w:pPr>
            <w:r>
              <w:t>使用终端中满意的数量占使用终端总数的比率</w:t>
            </w:r>
          </w:p>
        </w:tc>
        <w:tc>
          <w:tcPr>
            <w:tcW w:w="2551" w:type="dxa"/>
            <w:vAlign w:val="center"/>
          </w:tcPr>
          <w:p>
            <w:pPr>
              <w:pStyle w:val="14"/>
            </w:pPr>
            <w:r>
              <w:t>≥80%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2023年，平乡县大数据发展中心安排政府采购预算0.00万元。具体内容见下表。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434003平乡县大数据发展中心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平乡县大数据发展中心上年末固定资产金额为31.43万元（详见下表）。本年度拟购置固定资产总额为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434003平乡县大数据发展中心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31.43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04931"/>
    <w:multiLevelType w:val="singleLevel"/>
    <w:tmpl w:val="5DE0493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ZTJjODM5YzIyNDU2Y2I1NzI0Y2I4OWM4M2QxNjUifQ=="/>
  </w:docVars>
  <w:rsids>
    <w:rsidRoot w:val="00000000"/>
    <w:rsid w:val="00016A60"/>
    <w:rsid w:val="05584940"/>
    <w:rsid w:val="0ED30382"/>
    <w:rsid w:val="0FE3270F"/>
    <w:rsid w:val="14045069"/>
    <w:rsid w:val="193C29C9"/>
    <w:rsid w:val="1AA8432A"/>
    <w:rsid w:val="1D82517F"/>
    <w:rsid w:val="1F9758FF"/>
    <w:rsid w:val="24F34606"/>
    <w:rsid w:val="2899304A"/>
    <w:rsid w:val="2A457321"/>
    <w:rsid w:val="3FDD0FEA"/>
    <w:rsid w:val="40807C02"/>
    <w:rsid w:val="46F30067"/>
    <w:rsid w:val="482278FB"/>
    <w:rsid w:val="4BAE6E63"/>
    <w:rsid w:val="4D461C73"/>
    <w:rsid w:val="556B3934"/>
    <w:rsid w:val="59A025CA"/>
    <w:rsid w:val="5D13345B"/>
    <w:rsid w:val="60347747"/>
    <w:rsid w:val="61AD3BC1"/>
    <w:rsid w:val="623B1277"/>
    <w:rsid w:val="67F94A9E"/>
    <w:rsid w:val="6ED801B6"/>
    <w:rsid w:val="6FB865A9"/>
    <w:rsid w:val="7665364D"/>
    <w:rsid w:val="78A5543C"/>
    <w:rsid w:val="7E9737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1" Target="../customXml/item5.xml" Type="http://schemas.openxmlformats.org/officeDocument/2006/relationships/customXml"/><Relationship Id="rId12" Target="../customXml/item6.xml" Type="http://schemas.openxmlformats.org/officeDocument/2006/relationships/customXml"/><Relationship Id="rId13" Target="../customXml/item7.xml" Type="http://schemas.openxmlformats.org/officeDocument/2006/relationships/customXml"/><Relationship Id="rId14" Target="../customXml/item8.xml" Type="http://schemas.openxmlformats.org/officeDocument/2006/relationships/customXml"/><Relationship Id="rId15" Target="../customXml/item9.xml" Type="http://schemas.openxmlformats.org/officeDocument/2006/relationships/customXml"/><Relationship Id="rId16" Target="../customXml/item10.xml" Type="http://schemas.openxmlformats.org/officeDocument/2006/relationships/customXml"/><Relationship Id="rId17" Target="../customXml/item11.xml" Type="http://schemas.openxmlformats.org/officeDocument/2006/relationships/customXml"/><Relationship Id="rId18" Target="../customXml/item12.xml" Type="http://schemas.openxmlformats.org/officeDocument/2006/relationships/customXml"/><Relationship Id="rId19" Target="../customXml/item1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1" Target="../customXml/item15.xml" Type="http://schemas.openxmlformats.org/officeDocument/2006/relationships/customXml"/><Relationship Id="rId22" Target="../customXml/item16.xml" Type="http://schemas.openxmlformats.org/officeDocument/2006/relationships/customXml"/><Relationship Id="rId23" Target="../customXml/item17.xml" Type="http://schemas.openxmlformats.org/officeDocument/2006/relationships/customXml"/><Relationship Id="rId24" Target="../customXml/item18.xml" Type="http://schemas.openxmlformats.org/officeDocument/2006/relationships/customXml"/><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customXml/item22.xml" Type="http://schemas.openxmlformats.org/officeDocument/2006/relationships/customXml"/><Relationship Id="rId29" Target="../customXml/item23.xml" Type="http://schemas.openxmlformats.org/officeDocument/2006/relationships/customXml"/><Relationship Id="rId3" Target="footer1.xml" Type="http://schemas.openxmlformats.org/officeDocument/2006/relationships/footer"/><Relationship Id="rId30" Target="../customXml/item24.xml" Type="http://schemas.openxmlformats.org/officeDocument/2006/relationships/customXml"/><Relationship Id="rId31" Target="../customXml/item25.xml" Type="http://schemas.openxmlformats.org/officeDocument/2006/relationships/customXml"/><Relationship Id="rId32" Target="../customXml/item26.xml" Type="http://schemas.openxmlformats.org/officeDocument/2006/relationships/customXml"/><Relationship Id="rId33" Target="../customXml/item27.xml" Type="http://schemas.openxmlformats.org/officeDocument/2006/relationships/customXml"/><Relationship Id="rId34" Target="../customXml/item28.xml" Type="http://schemas.openxmlformats.org/officeDocument/2006/relationships/customXml"/><Relationship Id="rId35" Target="../customXml/item29.xml" Type="http://schemas.openxmlformats.org/officeDocument/2006/relationships/customXml"/><Relationship Id="rId36" Target="../customXml/item30.xml" Type="http://schemas.openxmlformats.org/officeDocument/2006/relationships/customXml"/><Relationship Id="rId37" Target="../customXml/item31.xml" Type="http://schemas.openxmlformats.org/officeDocument/2006/relationships/customXml"/><Relationship Id="rId38" Target="../customXml/item32.xml" Type="http://schemas.openxmlformats.org/officeDocument/2006/relationships/customXml"/><Relationship Id="rId39" Target="../customXml/item33.xml" Type="http://schemas.openxmlformats.org/officeDocument/2006/relationships/customXml"/><Relationship Id="rId4" Target="footer2.xml" Type="http://schemas.openxmlformats.org/officeDocument/2006/relationships/footer"/><Relationship Id="rId40" Target="../customXml/item34.xml" Type="http://schemas.openxmlformats.org/officeDocument/2006/relationships/customXml"/><Relationship Id="rId41" Target="../customXml/item35.xml" Type="http://schemas.openxmlformats.org/officeDocument/2006/relationships/customXml"/><Relationship Id="rId42" Target="../customXml/item36.xml" Type="http://schemas.openxmlformats.org/officeDocument/2006/relationships/customXml"/><Relationship Id="rId43" Target="../customXml/item37.xml" Type="http://schemas.openxmlformats.org/officeDocument/2006/relationships/customXml"/><Relationship Id="rId44" Target="../customXml/item38.xml" Type="http://schemas.openxmlformats.org/officeDocument/2006/relationships/customXml"/><Relationship Id="rId45" Target="../customXml/item39.xml" Type="http://schemas.openxmlformats.org/officeDocument/2006/relationships/customXml"/><Relationship Id="rId46" Target="../customXml/item40.xml" Type="http://schemas.openxmlformats.org/officeDocument/2006/relationships/customXml"/><Relationship Id="rId47" Target="../customXml/item41.xml" Type="http://schemas.openxmlformats.org/officeDocument/2006/relationships/customXml"/><Relationship Id="rId48" Target="../customXml/item42.xml" Type="http://schemas.openxmlformats.org/officeDocument/2006/relationships/customXml"/><Relationship Id="rId49" Target="../customXml/item43.xml" Type="http://schemas.openxmlformats.org/officeDocument/2006/relationships/customXml"/><Relationship Id="rId5" Target="theme/theme1.xml" Type="http://schemas.openxmlformats.org/officeDocument/2006/relationships/theme"/><Relationship Id="rId50" Target="../customXml/item44.xml" Type="http://schemas.openxmlformats.org/officeDocument/2006/relationships/customXml"/><Relationship Id="rId51" Target="../customXml/item45.xml" Type="http://schemas.openxmlformats.org/officeDocument/2006/relationships/customXml"/><Relationship Id="rId52" Target="../customXml/item46.xml" Type="http://schemas.openxmlformats.org/officeDocument/2006/relationships/customXml"/><Relationship Id="rId53" Target="../customXml/item47.xml" Type="http://schemas.openxmlformats.org/officeDocument/2006/relationships/customXml"/><Relationship Id="rId54" Target="../customXml/item48.xml" Type="http://schemas.openxmlformats.org/officeDocument/2006/relationships/customXml"/><Relationship Id="rId55" Target="../customXml/item49.xml" Type="http://schemas.openxmlformats.org/officeDocument/2006/relationships/customXml"/><Relationship Id="rId56" Target="../customXml/item50.xml" Type="http://schemas.openxmlformats.org/officeDocument/2006/relationships/customXml"/><Relationship Id="rId57" Target="fontTable.xml" Type="http://schemas.openxmlformats.org/officeDocument/2006/relationships/fontTable"/><Relationship Id="rId6" Target="numbering.xml" Type="http://schemas.openxmlformats.org/officeDocument/2006/relationships/numbering"/><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2023-04-07T15:21:27Z</dcterms:created>
  <dcterms:modified xsi:type="dcterms:W3CDTF">2023-04-07T07:21:27Z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2023-04-07T15:21:27Z</dcterms:created>
  <dcterms:modified xsi:type="dcterms:W3CDTF">2023-04-07T07:21:27Z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2023-04-07T15:21:27Z</dcterms:created>
  <dcterms:modified xsi:type="dcterms:W3CDTF">2023-04-07T07:21:27Z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2023-04-07T15:21:27Z</dcterms:created>
  <dcterms:modified xsi:type="dcterms:W3CDTF">2023-04-07T07:21:27Z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2023-04-07T15:21:27Z</dcterms:created>
  <dcterms:modified xsi:type="dcterms:W3CDTF">2023-04-07T07:21:27Z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2023-04-07T15:21:30Z</dcterms:created>
  <dcterms:modified xsi:type="dcterms:W3CDTF">2023-04-07T07:21:30Z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2023-04-07T15:21:31Z</dcterms:created>
  <dcterms:modified xsi:type="dcterms:W3CDTF">2023-04-07T07:21:31Z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2023-04-07T15:21:31Z</dcterms:created>
  <dcterms:modified xsi:type="dcterms:W3CDTF">2023-04-07T07:21:31Z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2023-04-07T15:21:31Z</dcterms:created>
  <dcterms:modified xsi:type="dcterms:W3CDTF">2023-04-07T07:21:31Z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2023-04-07T15:21:32Z</dcterms:created>
  <dcterms:modified xsi:type="dcterms:W3CDTF">2023-04-07T07:21:32Z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2023-04-07T15:21:32Z</dcterms:created>
  <dcterms:modified xsi:type="dcterms:W3CDTF">2023-04-07T07:21:32Z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2023-04-07T15:21:32Z</dcterms:created>
  <dcterms:modified xsi:type="dcterms:W3CDTF">2023-04-07T07:21:32Z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2023-04-07T15:21:32Z</dcterms:created>
  <dcterms:modified xsi:type="dcterms:W3CDTF">2023-04-07T07:21:32Z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2023-04-07T15:21:32Z</dcterms:created>
  <dcterms:modified xsi:type="dcterms:W3CDTF">2023-04-07T07:21:32Z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2023-04-07T15:21:25Z</dcterms:created>
  <dcterms:modified xsi:type="dcterms:W3CDTF">2023-04-07T07:21:25Z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2023-04-07T15:21:35Z</dcterms:created>
  <dcterms:modified xsi:type="dcterms:W3CDTF">2023-04-07T07:21:35Z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2023-04-07T15:21:35Z</dcterms:created>
  <dcterms:modified xsi:type="dcterms:W3CDTF">2023-04-07T07:21:35Z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2023-04-07T15:21:35Z</dcterms:created>
  <dcterms:modified xsi:type="dcterms:W3CDTF">2023-04-07T07:21:35Z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2023-04-07T15:21:36Z</dcterms:created>
  <dcterms:modified xsi:type="dcterms:W3CDTF">2023-04-07T07:21:36Z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dbc5674-4b40-4b93-938d-0116836a0cc6}">
  <ds:schemaRefs/>
</ds:datastoreItem>
</file>

<file path=customXml/itemProps10.xml><?xml version="1.0" encoding="utf-8"?>
<ds:datastoreItem xmlns:ds="http://schemas.openxmlformats.org/officeDocument/2006/customXml" ds:itemID="{a3f248a6-4770-4f03-bca7-6bc2a632d530}">
  <ds:schemaRefs/>
</ds:datastoreItem>
</file>

<file path=customXml/itemProps11.xml><?xml version="1.0" encoding="utf-8"?>
<ds:datastoreItem xmlns:ds="http://schemas.openxmlformats.org/officeDocument/2006/customXml" ds:itemID="{5d7a371a-c5f5-4982-b6a5-834e726cef1a}">
  <ds:schemaRefs/>
</ds:datastoreItem>
</file>

<file path=customXml/itemProps12.xml><?xml version="1.0" encoding="utf-8"?>
<ds:datastoreItem xmlns:ds="http://schemas.openxmlformats.org/officeDocument/2006/customXml" ds:itemID="{709c5676-25c0-45ea-96ab-63e159075457}">
  <ds:schemaRefs/>
</ds:datastoreItem>
</file>

<file path=customXml/itemProps13.xml><?xml version="1.0" encoding="utf-8"?>
<ds:datastoreItem xmlns:ds="http://schemas.openxmlformats.org/officeDocument/2006/customXml" ds:itemID="{fa962c1c-5c60-4ae0-9f8c-67f6faa9c383}">
  <ds:schemaRefs/>
</ds:datastoreItem>
</file>

<file path=customXml/itemProps14.xml><?xml version="1.0" encoding="utf-8"?>
<ds:datastoreItem xmlns:ds="http://schemas.openxmlformats.org/officeDocument/2006/customXml" ds:itemID="{19d22273-d77d-47bf-81f6-e784593c9ef0}">
  <ds:schemaRefs/>
</ds:datastoreItem>
</file>

<file path=customXml/itemProps15.xml><?xml version="1.0" encoding="utf-8"?>
<ds:datastoreItem xmlns:ds="http://schemas.openxmlformats.org/officeDocument/2006/customXml" ds:itemID="{1d619b90-841e-4f3d-bbc7-59edf9bf06bf}">
  <ds:schemaRefs/>
</ds:datastoreItem>
</file>

<file path=customXml/itemProps16.xml><?xml version="1.0" encoding="utf-8"?>
<ds:datastoreItem xmlns:ds="http://schemas.openxmlformats.org/officeDocument/2006/customXml" ds:itemID="{3e7df139-5304-4fdd-a20f-078147e96b95}">
  <ds:schemaRefs/>
</ds:datastoreItem>
</file>

<file path=customXml/itemProps17.xml><?xml version="1.0" encoding="utf-8"?>
<ds:datastoreItem xmlns:ds="http://schemas.openxmlformats.org/officeDocument/2006/customXml" ds:itemID="{cb3da4a2-2fea-43df-9868-3a5de20c4a42}">
  <ds:schemaRefs/>
</ds:datastoreItem>
</file>

<file path=customXml/itemProps18.xml><?xml version="1.0" encoding="utf-8"?>
<ds:datastoreItem xmlns:ds="http://schemas.openxmlformats.org/officeDocument/2006/customXml" ds:itemID="{3abcc9f4-0901-4dc2-ac35-8dc42e0fb050}">
  <ds:schemaRefs/>
</ds:datastoreItem>
</file>

<file path=customXml/itemProps19.xml><?xml version="1.0" encoding="utf-8"?>
<ds:datastoreItem xmlns:ds="http://schemas.openxmlformats.org/officeDocument/2006/customXml" ds:itemID="{8b20c325-53b4-4043-9284-362bd3d1fc96}">
  <ds:schemaRefs/>
</ds:datastoreItem>
</file>

<file path=customXml/itemProps2.xml><?xml version="1.0" encoding="utf-8"?>
<ds:datastoreItem xmlns:ds="http://schemas.openxmlformats.org/officeDocument/2006/customXml" ds:itemID="{6ea45c21-614e-4c4d-b11c-3fbdc64d9bc0}">
  <ds:schemaRefs/>
</ds:datastoreItem>
</file>

<file path=customXml/itemProps20.xml><?xml version="1.0" encoding="utf-8"?>
<ds:datastoreItem xmlns:ds="http://schemas.openxmlformats.org/officeDocument/2006/customXml" ds:itemID="{d8ec29ec-e2cc-4ad7-b250-f925010ccadc}">
  <ds:schemaRefs/>
</ds:datastoreItem>
</file>

<file path=customXml/itemProps21.xml><?xml version="1.0" encoding="utf-8"?>
<ds:datastoreItem xmlns:ds="http://schemas.openxmlformats.org/officeDocument/2006/customXml" ds:itemID="{ed40db68-abbd-4e69-925e-be2805fc9e78}">
  <ds:schemaRefs/>
</ds:datastoreItem>
</file>

<file path=customXml/itemProps22.xml><?xml version="1.0" encoding="utf-8"?>
<ds:datastoreItem xmlns:ds="http://schemas.openxmlformats.org/officeDocument/2006/customXml" ds:itemID="{333e6d7b-551f-4146-91ea-66de44abc63c}">
  <ds:schemaRefs/>
</ds:datastoreItem>
</file>

<file path=customXml/itemProps23.xml><?xml version="1.0" encoding="utf-8"?>
<ds:datastoreItem xmlns:ds="http://schemas.openxmlformats.org/officeDocument/2006/customXml" ds:itemID="{91111162-76c6-4fd8-8983-dd4bae4b4be5}">
  <ds:schemaRefs/>
</ds:datastoreItem>
</file>

<file path=customXml/itemProps24.xml><?xml version="1.0" encoding="utf-8"?>
<ds:datastoreItem xmlns:ds="http://schemas.openxmlformats.org/officeDocument/2006/customXml" ds:itemID="{8e6d2e16-56fa-4766-b43b-155e1be72657}">
  <ds:schemaRefs/>
</ds:datastoreItem>
</file>

<file path=customXml/itemProps25.xml><?xml version="1.0" encoding="utf-8"?>
<ds:datastoreItem xmlns:ds="http://schemas.openxmlformats.org/officeDocument/2006/customXml" ds:itemID="{ec109fa2-7159-47ae-9658-2626df637f73}">
  <ds:schemaRefs/>
</ds:datastoreItem>
</file>

<file path=customXml/itemProps26.xml><?xml version="1.0" encoding="utf-8"?>
<ds:datastoreItem xmlns:ds="http://schemas.openxmlformats.org/officeDocument/2006/customXml" ds:itemID="{a5b38b97-51ca-49d4-9c3a-1ba8f428d80d}">
  <ds:schemaRefs/>
</ds:datastoreItem>
</file>

<file path=customXml/itemProps27.xml><?xml version="1.0" encoding="utf-8"?>
<ds:datastoreItem xmlns:ds="http://schemas.openxmlformats.org/officeDocument/2006/customXml" ds:itemID="{f1056c7f-60ea-44ff-ac07-5c1386295a45}">
  <ds:schemaRefs/>
</ds:datastoreItem>
</file>

<file path=customXml/itemProps28.xml><?xml version="1.0" encoding="utf-8"?>
<ds:datastoreItem xmlns:ds="http://schemas.openxmlformats.org/officeDocument/2006/customXml" ds:itemID="{140b0ef6-54bd-4f66-b1cf-fe7cf9a5a2aa}">
  <ds:schemaRefs/>
</ds:datastoreItem>
</file>

<file path=customXml/itemProps29.xml><?xml version="1.0" encoding="utf-8"?>
<ds:datastoreItem xmlns:ds="http://schemas.openxmlformats.org/officeDocument/2006/customXml" ds:itemID="{b08f1828-2a13-49c7-9942-87663998ec1d}">
  <ds:schemaRefs/>
</ds:datastoreItem>
</file>

<file path=customXml/itemProps3.xml><?xml version="1.0" encoding="utf-8"?>
<ds:datastoreItem xmlns:ds="http://schemas.openxmlformats.org/officeDocument/2006/customXml" ds:itemID="{33448864-a97d-440d-8ee5-e18bc7cb9099}">
  <ds:schemaRefs/>
</ds:datastoreItem>
</file>

<file path=customXml/itemProps30.xml><?xml version="1.0" encoding="utf-8"?>
<ds:datastoreItem xmlns:ds="http://schemas.openxmlformats.org/officeDocument/2006/customXml" ds:itemID="{6321631a-3f03-4b20-9c3c-a562f65a3506}">
  <ds:schemaRefs/>
</ds:datastoreItem>
</file>

<file path=customXml/itemProps31.xml><?xml version="1.0" encoding="utf-8"?>
<ds:datastoreItem xmlns:ds="http://schemas.openxmlformats.org/officeDocument/2006/customXml" ds:itemID="{e0b3ea61-0946-480d-90b3-9c552f5817d1}">
  <ds:schemaRefs/>
</ds:datastoreItem>
</file>

<file path=customXml/itemProps32.xml><?xml version="1.0" encoding="utf-8"?>
<ds:datastoreItem xmlns:ds="http://schemas.openxmlformats.org/officeDocument/2006/customXml" ds:itemID="{1a6f198a-07d6-40b4-b3d5-e6d7bdff440f}">
  <ds:schemaRefs/>
</ds:datastoreItem>
</file>

<file path=customXml/itemProps33.xml><?xml version="1.0" encoding="utf-8"?>
<ds:datastoreItem xmlns:ds="http://schemas.openxmlformats.org/officeDocument/2006/customXml" ds:itemID="{e28d58d7-4f21-452f-a72f-e2bed8a7e8ea}">
  <ds:schemaRefs/>
</ds:datastoreItem>
</file>

<file path=customXml/itemProps34.xml><?xml version="1.0" encoding="utf-8"?>
<ds:datastoreItem xmlns:ds="http://schemas.openxmlformats.org/officeDocument/2006/customXml" ds:itemID="{bee46a78-455d-415e-9216-980c528fcef8}">
  <ds:schemaRefs/>
</ds:datastoreItem>
</file>

<file path=customXml/itemProps35.xml><?xml version="1.0" encoding="utf-8"?>
<ds:datastoreItem xmlns:ds="http://schemas.openxmlformats.org/officeDocument/2006/customXml" ds:itemID="{d4656c76-f112-4743-9b72-aba9d252680f}">
  <ds:schemaRefs/>
</ds:datastoreItem>
</file>

<file path=customXml/itemProps36.xml><?xml version="1.0" encoding="utf-8"?>
<ds:datastoreItem xmlns:ds="http://schemas.openxmlformats.org/officeDocument/2006/customXml" ds:itemID="{4f8902c1-b69d-4023-a1ec-e179c6289f56}">
  <ds:schemaRefs/>
</ds:datastoreItem>
</file>

<file path=customXml/itemProps37.xml><?xml version="1.0" encoding="utf-8"?>
<ds:datastoreItem xmlns:ds="http://schemas.openxmlformats.org/officeDocument/2006/customXml" ds:itemID="{c58fa0c7-5cee-4e54-b6fc-f6f5730267ed}">
  <ds:schemaRefs/>
</ds:datastoreItem>
</file>

<file path=customXml/itemProps38.xml><?xml version="1.0" encoding="utf-8"?>
<ds:datastoreItem xmlns:ds="http://schemas.openxmlformats.org/officeDocument/2006/customXml" ds:itemID="{f4cfca0e-77e3-4e46-934b-9014e3a058fb}">
  <ds:schemaRefs/>
</ds:datastoreItem>
</file>

<file path=customXml/itemProps39.xml><?xml version="1.0" encoding="utf-8"?>
<ds:datastoreItem xmlns:ds="http://schemas.openxmlformats.org/officeDocument/2006/customXml" ds:itemID="{31e6effe-aa75-4967-979c-40b14af2f529}">
  <ds:schemaRefs/>
</ds:datastoreItem>
</file>

<file path=customXml/itemProps4.xml><?xml version="1.0" encoding="utf-8"?>
<ds:datastoreItem xmlns:ds="http://schemas.openxmlformats.org/officeDocument/2006/customXml" ds:itemID="{704bae08-c750-4d3a-aaf2-ca62385e535c}">
  <ds:schemaRefs/>
</ds:datastoreItem>
</file>

<file path=customXml/itemProps40.xml><?xml version="1.0" encoding="utf-8"?>
<ds:datastoreItem xmlns:ds="http://schemas.openxmlformats.org/officeDocument/2006/customXml" ds:itemID="{1c1079e7-2bbb-4192-bc63-62bd915c6df5}">
  <ds:schemaRefs/>
</ds:datastoreItem>
</file>

<file path=customXml/itemProps41.xml><?xml version="1.0" encoding="utf-8"?>
<ds:datastoreItem xmlns:ds="http://schemas.openxmlformats.org/officeDocument/2006/customXml" ds:itemID="{f12ccb91-a1fe-4e1b-9570-9c5c427d4925}">
  <ds:schemaRefs/>
</ds:datastoreItem>
</file>

<file path=customXml/itemProps42.xml><?xml version="1.0" encoding="utf-8"?>
<ds:datastoreItem xmlns:ds="http://schemas.openxmlformats.org/officeDocument/2006/customXml" ds:itemID="{ff4b570f-dfcb-4754-b81a-6191cdec5e2d}">
  <ds:schemaRefs/>
</ds:datastoreItem>
</file>

<file path=customXml/itemProps43.xml><?xml version="1.0" encoding="utf-8"?>
<ds:datastoreItem xmlns:ds="http://schemas.openxmlformats.org/officeDocument/2006/customXml" ds:itemID="{a4695dfb-ac72-40ce-b449-622673a57e5a}">
  <ds:schemaRefs/>
</ds:datastoreItem>
</file>

<file path=customXml/itemProps44.xml><?xml version="1.0" encoding="utf-8"?>
<ds:datastoreItem xmlns:ds="http://schemas.openxmlformats.org/officeDocument/2006/customXml" ds:itemID="{a815dc9a-6180-40e3-adff-0efab53befac}">
  <ds:schemaRefs/>
</ds:datastoreItem>
</file>

<file path=customXml/itemProps45.xml><?xml version="1.0" encoding="utf-8"?>
<ds:datastoreItem xmlns:ds="http://schemas.openxmlformats.org/officeDocument/2006/customXml" ds:itemID="{ea4b62a1-e3d8-419b-9b43-b5298d3343d8}">
  <ds:schemaRefs/>
</ds:datastoreItem>
</file>

<file path=customXml/itemProps46.xml><?xml version="1.0" encoding="utf-8"?>
<ds:datastoreItem xmlns:ds="http://schemas.openxmlformats.org/officeDocument/2006/customXml" ds:itemID="{28924371-d81f-48b9-a047-5ad9c19548ac}">
  <ds:schemaRefs/>
</ds:datastoreItem>
</file>

<file path=customXml/itemProps47.xml><?xml version="1.0" encoding="utf-8"?>
<ds:datastoreItem xmlns:ds="http://schemas.openxmlformats.org/officeDocument/2006/customXml" ds:itemID="{c5b8451f-57ef-47b9-9c79-d41c8bd04041}">
  <ds:schemaRefs/>
</ds:datastoreItem>
</file>

<file path=customXml/itemProps48.xml><?xml version="1.0" encoding="utf-8"?>
<ds:datastoreItem xmlns:ds="http://schemas.openxmlformats.org/officeDocument/2006/customXml" ds:itemID="{32a2f3c4-42de-4e09-b5e4-681c48ec90c8}">
  <ds:schemaRefs/>
</ds:datastoreItem>
</file>

<file path=customXml/itemProps49.xml><?xml version="1.0" encoding="utf-8"?>
<ds:datastoreItem xmlns:ds="http://schemas.openxmlformats.org/officeDocument/2006/customXml" ds:itemID="{8e551e18-dcf1-4aeb-956d-109a9f228c33}">
  <ds:schemaRefs/>
</ds:datastoreItem>
</file>

<file path=customXml/itemProps5.xml><?xml version="1.0" encoding="utf-8"?>
<ds:datastoreItem xmlns:ds="http://schemas.openxmlformats.org/officeDocument/2006/customXml" ds:itemID="{a459ea12-f272-44f3-8c2c-ef0bd5e0b22c}">
  <ds:schemaRefs/>
</ds:datastoreItem>
</file>

<file path=customXml/itemProps50.xml><?xml version="1.0" encoding="utf-8"?>
<ds:datastoreItem xmlns:ds="http://schemas.openxmlformats.org/officeDocument/2006/customXml" ds:itemID="{0665b057-36ff-4ed4-89cf-06c423436e19}">
  <ds:schemaRefs/>
</ds:datastoreItem>
</file>

<file path=customXml/itemProps6.xml><?xml version="1.0" encoding="utf-8"?>
<ds:datastoreItem xmlns:ds="http://schemas.openxmlformats.org/officeDocument/2006/customXml" ds:itemID="{fe5b5d99-fc11-4f1e-a4e0-4188d7445fe0}">
  <ds:schemaRefs/>
</ds:datastoreItem>
</file>

<file path=customXml/itemProps7.xml><?xml version="1.0" encoding="utf-8"?>
<ds:datastoreItem xmlns:ds="http://schemas.openxmlformats.org/officeDocument/2006/customXml" ds:itemID="{b922a31d-70b1-4ab5-bb9a-cace88dfa1a4}">
  <ds:schemaRefs/>
</ds:datastoreItem>
</file>

<file path=customXml/itemProps8.xml><?xml version="1.0" encoding="utf-8"?>
<ds:datastoreItem xmlns:ds="http://schemas.openxmlformats.org/officeDocument/2006/customXml" ds:itemID="{2aeef4a4-932d-4805-a389-a88f6577c5fe}">
  <ds:schemaRefs/>
</ds:datastoreItem>
</file>

<file path=customXml/itemProps9.xml><?xml version="1.0" encoding="utf-8"?>
<ds:datastoreItem xmlns:ds="http://schemas.openxmlformats.org/officeDocument/2006/customXml" ds:itemID="{456ee248-d52b-4ae1-8cfb-1373cd0803d2}">
  <ds:schemaRefs/>
</ds:datastoreItem>
</file>

<file path=docProps/app.xml><?xml version="1.0" encoding="utf-8"?>
<Properties xmlns="http://schemas.openxmlformats.org/officeDocument/2006/extended-properties" xmlns:vt="http://schemas.openxmlformats.org/officeDocument/2006/docPropsVTypes">
  <Pages>68</Pages>
  <Words>15294</Words>
  <Characters>17232</Characters>
  <TotalTime>146</TotalTime>
  <ScaleCrop>false</ScaleCrop>
  <LinksUpToDate>false</LinksUpToDate>
  <CharactersWithSpaces>17581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2023-04-07T15:21:00Z</dcterms:created>
  <dc:creator>Administrator</dc:creator>
  <cp:lastModifiedBy>Administrator</cp:lastModifiedBy>
  <dcterms:modified xsi:type="dcterms:W3CDTF">2023-09-06T08:27:58Z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FF4660A7E52D4FCC96DDAF4F492B3956_13</vt:lpwstr>
  </property>
</Properties>
</file>