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rPr>
      </w:pPr>
      <w:r>
        <w:rPr>
          <w:rFonts w:hint="eastAsia" w:ascii="黑体" w:hAnsi="黑体" w:eastAsia="黑体" w:cs="黑体"/>
          <w:b/>
          <w:color w:val="000000"/>
          <w:sz w:val="44"/>
          <w:lang w:val="en-US" w:eastAsia="zh-CN"/>
        </w:rPr>
        <w:t>平乡县文学艺术界联合会所属单位</w:t>
      </w:r>
      <w:r>
        <w:rPr>
          <w:rFonts w:ascii="黑体" w:hAnsi="黑体" w:eastAsia="黑体" w:cs="黑体"/>
          <w:b/>
          <w:color w:val="000000"/>
          <w:sz w:val="44"/>
        </w:rPr>
        <w:t>2022年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w:t>
      </w:r>
    </w:p>
    <w:p>
      <w:pPr>
        <w:jc w:val="both"/>
        <w:outlineLvl w:val="0"/>
        <w:rPr>
          <w:rFonts w:ascii="黑体" w:hAnsi="黑体" w:eastAsia="黑体" w:cs="黑体"/>
          <w:b/>
          <w:color w:val="000000"/>
          <w:sz w:val="44"/>
        </w:rPr>
      </w:pPr>
    </w:p>
    <w:p>
      <w:pPr>
        <w:jc w:val="center"/>
        <w:outlineLvl w:val="0"/>
        <w:rPr>
          <w:color w:val="9DC3E6" w:themeColor="accent1" w:themeTint="99"/>
          <w:sz w:val="32"/>
          <w:szCs w:val="32"/>
          <w14:textFill>
            <w14:solidFill>
              <w14:schemeClr w14:val="accent1">
                <w14:lumMod w14:val="60000"/>
                <w14:lumOff w14:val="40000"/>
              </w14:schemeClr>
            </w14:solidFill>
          </w14:textFill>
        </w:rPr>
      </w:pPr>
      <w:r>
        <w:rPr>
          <w:rFonts w:ascii="黑体" w:hAnsi="黑体" w:eastAsia="黑体" w:cs="黑体"/>
          <w:b/>
          <w:color w:val="9DC3E6" w:themeColor="accent1" w:themeTint="99"/>
          <w:sz w:val="32"/>
          <w:szCs w:val="32"/>
          <w14:textFill>
            <w14:solidFill>
              <w14:schemeClr w14:val="accent1">
                <w14:lumMod w14:val="60000"/>
                <w14:lumOff w14:val="40000"/>
              </w14:schemeClr>
            </w14:solidFill>
          </w14:textFill>
        </w:rPr>
        <w:t>目录</w:t>
      </w:r>
    </w:p>
    <w:p>
      <w:pPr>
        <w:jc w:val="center"/>
      </w:pPr>
      <w:r>
        <w:rPr>
          <w:rFonts w:ascii="黑体" w:hAnsi="黑体" w:eastAsia="黑体" w:cs="黑体"/>
          <w:b/>
          <w:color w:val="000000"/>
          <w:sz w:val="30"/>
        </w:rPr>
        <w:t xml:space="preserve"> </w:t>
      </w:r>
    </w:p>
    <w:p>
      <w:pPr>
        <w:pStyle w:val="30"/>
        <w:tabs>
          <w:tab w:val="right" w:leader="dot" w:pos="14562"/>
        </w:tabs>
        <w:rPr>
          <w:rFonts w:hint="eastAsia" w:ascii="方正书宋_GBK" w:hAnsi="方正书宋_GBK" w:eastAsia="方正书宋_GBK" w:cs="方正书宋_GBK"/>
          <w:color w:val="000000"/>
          <w:sz w:val="28"/>
          <w:szCs w:val="28"/>
        </w:rPr>
      </w:pPr>
      <w:bookmarkStart w:id="0" w:name="_Toc_2_2_0000000001"/>
    </w:p>
    <w:p>
      <w:pPr>
        <w:jc w:val="center"/>
        <w:outlineLvl w:val="1"/>
        <w:rPr>
          <w:rFonts w:hint="eastAsia" w:ascii="方正书宋_GBK" w:hAnsi="方正书宋_GBK" w:eastAsia="方正书宋_GBK" w:cs="方正书宋_GBK"/>
          <w:color w:val="000000"/>
          <w:sz w:val="28"/>
          <w:szCs w:val="28"/>
        </w:rPr>
      </w:pPr>
      <w:r>
        <w:rPr>
          <w:rFonts w:hint="eastAsia" w:ascii="方正书宋_GBK" w:hAnsi="方正书宋_GBK" w:eastAsia="方正书宋_GBK" w:cs="方正书宋_GBK"/>
          <w:sz w:val="28"/>
          <w:szCs w:val="28"/>
          <w:lang w:val="en-US" w:eastAsia="zh-CN"/>
        </w:rPr>
        <w:t xml:space="preserve">          </w:t>
      </w:r>
      <w:r>
        <w:rPr>
          <w:rFonts w:hint="eastAsia" w:ascii="方正书宋_GBK" w:hAnsi="方正书宋_GBK" w:eastAsia="方正书宋_GBK" w:cs="方正书宋_GBK"/>
          <w:sz w:val="28"/>
          <w:szCs w:val="28"/>
        </w:rPr>
        <w:fldChar w:fldCharType="begin"/>
      </w:r>
      <w:r>
        <w:rPr>
          <w:rFonts w:hint="eastAsia" w:ascii="方正书宋_GBK" w:hAnsi="方正书宋_GBK" w:eastAsia="方正书宋_GBK" w:cs="方正书宋_GBK"/>
          <w:sz w:val="28"/>
          <w:szCs w:val="28"/>
        </w:rPr>
        <w:instrText xml:space="preserve"> HYPERLINK \l "_Toc_4_4_0000000001" </w:instrText>
      </w:r>
      <w:r>
        <w:rPr>
          <w:rFonts w:hint="eastAsia" w:ascii="方正书宋_GBK" w:hAnsi="方正书宋_GBK" w:eastAsia="方正书宋_GBK" w:cs="方正书宋_GBK"/>
          <w:sz w:val="28"/>
          <w:szCs w:val="28"/>
        </w:rPr>
        <w:fldChar w:fldCharType="separate"/>
      </w:r>
      <w:r>
        <w:rPr>
          <w:rFonts w:hint="eastAsia" w:ascii="方正仿宋_GBK" w:hAnsi="方正仿宋_GBK" w:eastAsia="方正仿宋_GBK" w:cs="方正仿宋_GBK"/>
          <w:b w:val="0"/>
          <w:sz w:val="28"/>
          <w:szCs w:val="28"/>
        </w:rPr>
        <w:t>一、平乡县文学艺术界联合会本级收支预算</w:t>
      </w:r>
      <w:r>
        <w:rPr>
          <w:rFonts w:hint="default" w:ascii="Times New Roman" w:hAnsi="Times New Roman" w:eastAsia="方正书宋_GBK" w:cs="Times New Roman"/>
          <w:b w:val="0"/>
          <w:sz w:val="28"/>
          <w:szCs w:val="28"/>
          <w:lang w:val="en-US" w:eastAsia="zh-CN"/>
        </w:rPr>
        <w:t>....</w:t>
      </w:r>
      <w:r>
        <w:rPr>
          <w:rFonts w:hint="eastAsia" w:eastAsia="方正书宋_GBK" w:cs="Times New Roman"/>
          <w:b w:val="0"/>
          <w:sz w:val="28"/>
          <w:szCs w:val="28"/>
          <w:lang w:val="en-US" w:eastAsia="zh-CN"/>
        </w:rPr>
        <w:t>..................................................................................................................</w:t>
      </w:r>
      <w:r>
        <w:rPr>
          <w:rFonts w:hint="eastAsia" w:ascii="方正书宋_GBK" w:hAnsi="方正书宋_GBK" w:eastAsia="方正书宋_GBK" w:cs="方正书宋_GBK"/>
          <w:sz w:val="28"/>
          <w:szCs w:val="28"/>
        </w:rPr>
        <w:tab/>
      </w:r>
      <w:r>
        <w:rPr>
          <w:rFonts w:hint="default" w:ascii="Times New Roman" w:hAnsi="Times New Roman" w:eastAsia="方正书宋_GBK" w:cs="Times New Roman"/>
          <w:sz w:val="28"/>
          <w:szCs w:val="28"/>
        </w:rPr>
        <w:fldChar w:fldCharType="begin"/>
      </w:r>
      <w:r>
        <w:rPr>
          <w:rFonts w:hint="default" w:ascii="Times New Roman" w:hAnsi="Times New Roman" w:eastAsia="方正书宋_GBK" w:cs="Times New Roman"/>
          <w:sz w:val="28"/>
          <w:szCs w:val="28"/>
        </w:rPr>
        <w:instrText xml:space="preserve">PAGEREF _Toc_4_4_0000000001 \h</w:instrText>
      </w:r>
      <w:r>
        <w:rPr>
          <w:rFonts w:hint="default" w:ascii="Times New Roman" w:hAnsi="Times New Roman" w:eastAsia="方正书宋_GBK" w:cs="Times New Roman"/>
          <w:sz w:val="28"/>
          <w:szCs w:val="28"/>
        </w:rPr>
        <w:fldChar w:fldCharType="separate"/>
      </w:r>
      <w:r>
        <w:rPr>
          <w:rFonts w:hint="default" w:ascii="Times New Roman" w:hAnsi="Times New Roman" w:eastAsia="方正书宋_GBK" w:cs="Times New Roman"/>
          <w:sz w:val="28"/>
          <w:szCs w:val="28"/>
        </w:rPr>
        <w:t>2</w:t>
      </w:r>
      <w:r>
        <w:rPr>
          <w:rFonts w:hint="default" w:ascii="Times New Roman" w:hAnsi="Times New Roman" w:eastAsia="方正书宋_GBK" w:cs="Times New Roman"/>
          <w:sz w:val="28"/>
          <w:szCs w:val="28"/>
        </w:rPr>
        <w:fldChar w:fldCharType="end"/>
      </w:r>
      <w:r>
        <w:rPr>
          <w:rFonts w:hint="eastAsia" w:ascii="方正书宋_GBK" w:hAnsi="方正书宋_GBK" w:eastAsia="方正书宋_GBK" w:cs="方正书宋_GBK"/>
          <w:sz w:val="28"/>
          <w:szCs w:val="28"/>
        </w:rPr>
        <w:fldChar w:fldCharType="end"/>
      </w: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bookmarkStart w:id="19" w:name="_GoBack"/>
      <w:bookmarkEnd w:id="19"/>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bookmarkStart w:id="1" w:name="_Toc_4_4_0000000001"/>
      <w:r>
        <w:rPr>
          <w:rFonts w:ascii="方正小标宋_GBK" w:hAnsi="方正小标宋_GBK" w:eastAsia="方正小标宋_GBK" w:cs="方正小标宋_GBK"/>
          <w:b w:val="0"/>
          <w:color w:val="000000"/>
          <w:sz w:val="44"/>
        </w:rPr>
        <w:t>一、平乡县文学艺术界联合会本级收支预算</w:t>
      </w:r>
      <w:bookmarkEnd w:id="1"/>
    </w:p>
    <w:p>
      <w:pPr>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预算收支总表</w:t>
      </w:r>
      <w:bookmarkEnd w:id="0"/>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rPr>
                <w:rFonts w:hint="default" w:eastAsia="方正小标宋_GBK"/>
                <w:lang w:val="en-US" w:eastAsia="zh-CN"/>
              </w:rPr>
            </w:pPr>
            <w:r>
              <w:t>721</w:t>
            </w:r>
            <w:r>
              <w:rPr>
                <w:rFonts w:hint="eastAsia"/>
                <w:lang w:val="en-US" w:eastAsia="zh-CN"/>
              </w:rPr>
              <w:t>001</w:t>
            </w:r>
            <w:r>
              <w:t>平乡县文学艺术界联合会</w:t>
            </w:r>
            <w:r>
              <w:rPr>
                <w:rFonts w:hint="eastAsia"/>
                <w:lang w:val="en-US" w:eastAsia="zh-CN"/>
              </w:rPr>
              <w:t>本级</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2"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6"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6" w:type="dxa"/>
            <w:vAlign w:val="center"/>
          </w:tcPr>
          <w:p>
            <w:pPr>
              <w:pStyle w:val="10"/>
            </w:pPr>
            <w:r>
              <w:t>一、一般公共预算拨款收入</w:t>
            </w:r>
          </w:p>
        </w:tc>
        <w:tc>
          <w:tcPr>
            <w:tcW w:w="2126" w:type="dxa"/>
            <w:vAlign w:val="center"/>
          </w:tcPr>
          <w:p>
            <w:pPr>
              <w:pStyle w:val="9"/>
            </w:pPr>
            <w:r>
              <w:t>144.72</w:t>
            </w:r>
          </w:p>
        </w:tc>
        <w:tc>
          <w:tcPr>
            <w:tcW w:w="4535" w:type="dxa"/>
            <w:vAlign w:val="center"/>
          </w:tcPr>
          <w:p>
            <w:pPr>
              <w:pStyle w:val="10"/>
            </w:pPr>
            <w:r>
              <w:t>一、一般公共服务支出</w:t>
            </w:r>
          </w:p>
        </w:tc>
        <w:tc>
          <w:tcPr>
            <w:tcW w:w="2126" w:type="dxa"/>
            <w:vAlign w:val="center"/>
          </w:tcPr>
          <w:p>
            <w:pPr>
              <w:pStyle w:val="9"/>
            </w:pPr>
            <w:r>
              <w:t>117.11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6"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6"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6"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6"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6"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6"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6"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10.11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6"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10.04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6" w:type="dxa"/>
            <w:vAlign w:val="center"/>
          </w:tcPr>
          <w:p>
            <w:pPr>
              <w:pStyle w:val="12"/>
            </w:pPr>
            <w:r>
              <w:t>本年收入合计</w:t>
            </w:r>
          </w:p>
        </w:tc>
        <w:tc>
          <w:tcPr>
            <w:tcW w:w="2126" w:type="dxa"/>
            <w:vAlign w:val="center"/>
          </w:tcPr>
          <w:p>
            <w:pPr>
              <w:pStyle w:val="13"/>
            </w:pPr>
            <w:r>
              <w:t>144.72</w:t>
            </w:r>
          </w:p>
        </w:tc>
        <w:tc>
          <w:tcPr>
            <w:tcW w:w="4535" w:type="dxa"/>
            <w:vAlign w:val="center"/>
          </w:tcPr>
          <w:p>
            <w:pPr>
              <w:pStyle w:val="12"/>
            </w:pPr>
            <w:r>
              <w:t>本年支出合计</w:t>
            </w:r>
          </w:p>
        </w:tc>
        <w:tc>
          <w:tcPr>
            <w:tcW w:w="2126" w:type="dxa"/>
            <w:vAlign w:val="center"/>
          </w:tcPr>
          <w:p>
            <w:pPr>
              <w:pStyle w:val="13"/>
            </w:pPr>
            <w:r>
              <w:t>144.72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6"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6" w:type="dxa"/>
            <w:vAlign w:val="center"/>
          </w:tcPr>
          <w:p>
            <w:pPr>
              <w:pStyle w:val="12"/>
            </w:pPr>
            <w:r>
              <w:t>收入总计</w:t>
            </w:r>
          </w:p>
        </w:tc>
        <w:tc>
          <w:tcPr>
            <w:tcW w:w="2126" w:type="dxa"/>
            <w:vAlign w:val="center"/>
          </w:tcPr>
          <w:p>
            <w:pPr>
              <w:pStyle w:val="13"/>
            </w:pPr>
            <w:r>
              <w:t>144.72</w:t>
            </w:r>
          </w:p>
        </w:tc>
        <w:tc>
          <w:tcPr>
            <w:tcW w:w="4535" w:type="dxa"/>
            <w:vAlign w:val="center"/>
          </w:tcPr>
          <w:p>
            <w:pPr>
              <w:pStyle w:val="12"/>
            </w:pPr>
            <w:r>
              <w:t>支出总计</w:t>
            </w:r>
          </w:p>
        </w:tc>
        <w:tc>
          <w:tcPr>
            <w:tcW w:w="2126" w:type="dxa"/>
            <w:vAlign w:val="center"/>
          </w:tcPr>
          <w:p>
            <w:pPr>
              <w:pStyle w:val="13"/>
            </w:pPr>
            <w:r>
              <w:t>144.72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_Toc_2_2_0000000002"/>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预算收入总表</w:t>
      </w:r>
      <w:bookmarkEnd w:id="2"/>
    </w:p>
    <w:tbl>
      <w:tblPr>
        <w:tblStyle w:val="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rPr>
                <w:rFonts w:hint="eastAsia" w:eastAsia="方正小标宋_GBK"/>
                <w:lang w:val="en-US" w:eastAsia="zh-CN"/>
              </w:rPr>
            </w:pPr>
            <w:r>
              <w:t>721</w:t>
            </w:r>
            <w:r>
              <w:rPr>
                <w:rFonts w:hint="eastAsia"/>
                <w:lang w:val="en-US" w:eastAsia="zh-CN"/>
              </w:rPr>
              <w:t>001</w:t>
            </w:r>
            <w:r>
              <w:t>平乡县文学艺术界联合会</w:t>
            </w:r>
            <w:r>
              <w:rPr>
                <w:rFonts w:hint="eastAsia"/>
                <w:lang w:val="en-US" w:eastAsia="zh-CN"/>
              </w:rPr>
              <w:t>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2"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144.72</w:t>
            </w:r>
          </w:p>
        </w:tc>
        <w:tc>
          <w:tcPr>
            <w:tcW w:w="1134" w:type="dxa"/>
            <w:vAlign w:val="center"/>
          </w:tcPr>
          <w:p>
            <w:pPr>
              <w:pStyle w:val="13"/>
            </w:pPr>
            <w:r>
              <w:t>144.72</w:t>
            </w:r>
          </w:p>
        </w:tc>
        <w:tc>
          <w:tcPr>
            <w:tcW w:w="1134" w:type="dxa"/>
            <w:vAlign w:val="center"/>
          </w:tcPr>
          <w:p>
            <w:pPr>
              <w:pStyle w:val="13"/>
            </w:pPr>
            <w:r>
              <w:t>144.72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117.11</w:t>
            </w:r>
          </w:p>
        </w:tc>
        <w:tc>
          <w:tcPr>
            <w:tcW w:w="1134" w:type="dxa"/>
            <w:vAlign w:val="center"/>
          </w:tcPr>
          <w:p>
            <w:pPr>
              <w:pStyle w:val="9"/>
            </w:pPr>
            <w:r>
              <w:t>117.11</w:t>
            </w:r>
          </w:p>
        </w:tc>
        <w:tc>
          <w:tcPr>
            <w:tcW w:w="1134" w:type="dxa"/>
            <w:vAlign w:val="center"/>
          </w:tcPr>
          <w:p>
            <w:pPr>
              <w:pStyle w:val="9"/>
            </w:pPr>
            <w:r>
              <w:t>117.11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20129</w:t>
            </w:r>
          </w:p>
        </w:tc>
        <w:tc>
          <w:tcPr>
            <w:tcW w:w="1559" w:type="dxa"/>
            <w:vAlign w:val="center"/>
          </w:tcPr>
          <w:p>
            <w:pPr>
              <w:pStyle w:val="10"/>
            </w:pPr>
            <w:r>
              <w:t>群众团体事务</w:t>
            </w:r>
          </w:p>
        </w:tc>
        <w:tc>
          <w:tcPr>
            <w:tcW w:w="1134" w:type="dxa"/>
            <w:vAlign w:val="center"/>
          </w:tcPr>
          <w:p>
            <w:pPr>
              <w:pStyle w:val="9"/>
            </w:pPr>
            <w:r>
              <w:t>117.11</w:t>
            </w:r>
          </w:p>
        </w:tc>
        <w:tc>
          <w:tcPr>
            <w:tcW w:w="1134" w:type="dxa"/>
            <w:vAlign w:val="center"/>
          </w:tcPr>
          <w:p>
            <w:pPr>
              <w:pStyle w:val="9"/>
            </w:pPr>
            <w:r>
              <w:t>117.11</w:t>
            </w:r>
          </w:p>
        </w:tc>
        <w:tc>
          <w:tcPr>
            <w:tcW w:w="1134" w:type="dxa"/>
            <w:vAlign w:val="center"/>
          </w:tcPr>
          <w:p>
            <w:pPr>
              <w:pStyle w:val="9"/>
            </w:pPr>
            <w:r>
              <w:t>117.11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2012950</w:t>
            </w:r>
          </w:p>
        </w:tc>
        <w:tc>
          <w:tcPr>
            <w:tcW w:w="1559" w:type="dxa"/>
            <w:vAlign w:val="center"/>
          </w:tcPr>
          <w:p>
            <w:pPr>
              <w:pStyle w:val="10"/>
            </w:pPr>
            <w:r>
              <w:t>事业运行</w:t>
            </w:r>
          </w:p>
        </w:tc>
        <w:tc>
          <w:tcPr>
            <w:tcW w:w="1134" w:type="dxa"/>
            <w:vAlign w:val="center"/>
          </w:tcPr>
          <w:p>
            <w:pPr>
              <w:pStyle w:val="9"/>
            </w:pPr>
            <w:r>
              <w:t>117.11</w:t>
            </w:r>
          </w:p>
        </w:tc>
        <w:tc>
          <w:tcPr>
            <w:tcW w:w="1134" w:type="dxa"/>
            <w:vAlign w:val="center"/>
          </w:tcPr>
          <w:p>
            <w:pPr>
              <w:pStyle w:val="9"/>
            </w:pPr>
            <w:r>
              <w:t>117.11</w:t>
            </w:r>
          </w:p>
        </w:tc>
        <w:tc>
          <w:tcPr>
            <w:tcW w:w="1134" w:type="dxa"/>
            <w:vAlign w:val="center"/>
          </w:tcPr>
          <w:p>
            <w:pPr>
              <w:pStyle w:val="9"/>
            </w:pPr>
            <w:r>
              <w:t>117.11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10.11</w:t>
            </w:r>
          </w:p>
        </w:tc>
        <w:tc>
          <w:tcPr>
            <w:tcW w:w="1134" w:type="dxa"/>
            <w:vAlign w:val="center"/>
          </w:tcPr>
          <w:p>
            <w:pPr>
              <w:pStyle w:val="9"/>
            </w:pPr>
            <w:r>
              <w:t>10.11</w:t>
            </w:r>
          </w:p>
        </w:tc>
        <w:tc>
          <w:tcPr>
            <w:tcW w:w="1134" w:type="dxa"/>
            <w:vAlign w:val="center"/>
          </w:tcPr>
          <w:p>
            <w:pPr>
              <w:pStyle w:val="9"/>
            </w:pPr>
            <w:r>
              <w:t>10.11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10.11</w:t>
            </w:r>
          </w:p>
        </w:tc>
        <w:tc>
          <w:tcPr>
            <w:tcW w:w="1134" w:type="dxa"/>
            <w:vAlign w:val="center"/>
          </w:tcPr>
          <w:p>
            <w:pPr>
              <w:pStyle w:val="9"/>
            </w:pPr>
            <w:r>
              <w:t>10.11</w:t>
            </w:r>
          </w:p>
        </w:tc>
        <w:tc>
          <w:tcPr>
            <w:tcW w:w="1134" w:type="dxa"/>
            <w:vAlign w:val="center"/>
          </w:tcPr>
          <w:p>
            <w:pPr>
              <w:pStyle w:val="9"/>
            </w:pPr>
            <w:r>
              <w:t>10.11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10.11</w:t>
            </w:r>
          </w:p>
        </w:tc>
        <w:tc>
          <w:tcPr>
            <w:tcW w:w="1134" w:type="dxa"/>
            <w:vAlign w:val="center"/>
          </w:tcPr>
          <w:p>
            <w:pPr>
              <w:pStyle w:val="9"/>
            </w:pPr>
            <w:r>
              <w:t>10.11</w:t>
            </w:r>
          </w:p>
        </w:tc>
        <w:tc>
          <w:tcPr>
            <w:tcW w:w="1134" w:type="dxa"/>
            <w:vAlign w:val="center"/>
          </w:tcPr>
          <w:p>
            <w:pPr>
              <w:pStyle w:val="9"/>
            </w:pPr>
            <w:r>
              <w:t>10.11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7.46</w:t>
            </w:r>
          </w:p>
        </w:tc>
        <w:tc>
          <w:tcPr>
            <w:tcW w:w="1134" w:type="dxa"/>
            <w:vAlign w:val="center"/>
          </w:tcPr>
          <w:p>
            <w:pPr>
              <w:pStyle w:val="9"/>
            </w:pPr>
            <w:r>
              <w:t>7.46</w:t>
            </w:r>
          </w:p>
        </w:tc>
        <w:tc>
          <w:tcPr>
            <w:tcW w:w="1134" w:type="dxa"/>
            <w:vAlign w:val="center"/>
          </w:tcPr>
          <w:p>
            <w:pPr>
              <w:pStyle w:val="9"/>
            </w:pPr>
            <w:r>
              <w:t>7.46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7.46</w:t>
            </w:r>
          </w:p>
        </w:tc>
        <w:tc>
          <w:tcPr>
            <w:tcW w:w="1134" w:type="dxa"/>
            <w:vAlign w:val="center"/>
          </w:tcPr>
          <w:p>
            <w:pPr>
              <w:pStyle w:val="9"/>
            </w:pPr>
            <w:r>
              <w:t>7.46</w:t>
            </w:r>
          </w:p>
        </w:tc>
        <w:tc>
          <w:tcPr>
            <w:tcW w:w="1134" w:type="dxa"/>
            <w:vAlign w:val="center"/>
          </w:tcPr>
          <w:p>
            <w:pPr>
              <w:pStyle w:val="9"/>
            </w:pPr>
            <w:r>
              <w:t>7.46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9"/>
            </w:pPr>
            <w:r>
              <w:t>7.46</w:t>
            </w:r>
          </w:p>
        </w:tc>
        <w:tc>
          <w:tcPr>
            <w:tcW w:w="1134" w:type="dxa"/>
            <w:vAlign w:val="center"/>
          </w:tcPr>
          <w:p>
            <w:pPr>
              <w:pStyle w:val="9"/>
            </w:pPr>
            <w:r>
              <w:t>7.46</w:t>
            </w:r>
          </w:p>
        </w:tc>
        <w:tc>
          <w:tcPr>
            <w:tcW w:w="1134" w:type="dxa"/>
            <w:vAlign w:val="center"/>
          </w:tcPr>
          <w:p>
            <w:pPr>
              <w:pStyle w:val="9"/>
            </w:pPr>
            <w:r>
              <w:t>7.46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10.04</w:t>
            </w:r>
          </w:p>
        </w:tc>
        <w:tc>
          <w:tcPr>
            <w:tcW w:w="1134" w:type="dxa"/>
            <w:vAlign w:val="center"/>
          </w:tcPr>
          <w:p>
            <w:pPr>
              <w:pStyle w:val="9"/>
            </w:pPr>
            <w:r>
              <w:t>10.04</w:t>
            </w:r>
          </w:p>
        </w:tc>
        <w:tc>
          <w:tcPr>
            <w:tcW w:w="1134" w:type="dxa"/>
            <w:vAlign w:val="center"/>
          </w:tcPr>
          <w:p>
            <w:pPr>
              <w:pStyle w:val="9"/>
            </w:pPr>
            <w:r>
              <w:t>10.04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10.04</w:t>
            </w:r>
          </w:p>
        </w:tc>
        <w:tc>
          <w:tcPr>
            <w:tcW w:w="1134" w:type="dxa"/>
            <w:vAlign w:val="center"/>
          </w:tcPr>
          <w:p>
            <w:pPr>
              <w:pStyle w:val="9"/>
            </w:pPr>
            <w:r>
              <w:t>10.04</w:t>
            </w:r>
          </w:p>
        </w:tc>
        <w:tc>
          <w:tcPr>
            <w:tcW w:w="1134" w:type="dxa"/>
            <w:vAlign w:val="center"/>
          </w:tcPr>
          <w:p>
            <w:pPr>
              <w:pStyle w:val="9"/>
            </w:pPr>
            <w:r>
              <w:t>10.04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10.04</w:t>
            </w:r>
          </w:p>
        </w:tc>
        <w:tc>
          <w:tcPr>
            <w:tcW w:w="1134" w:type="dxa"/>
            <w:vAlign w:val="center"/>
          </w:tcPr>
          <w:p>
            <w:pPr>
              <w:pStyle w:val="9"/>
            </w:pPr>
            <w:r>
              <w:t>10.04</w:t>
            </w:r>
          </w:p>
        </w:tc>
        <w:tc>
          <w:tcPr>
            <w:tcW w:w="1134" w:type="dxa"/>
            <w:vAlign w:val="center"/>
          </w:tcPr>
          <w:p>
            <w:pPr>
              <w:pStyle w:val="9"/>
            </w:pPr>
            <w:r>
              <w:t>10.04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3"/>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预算支出总表</w:t>
      </w:r>
      <w:bookmarkEnd w:id="3"/>
    </w:p>
    <w:tbl>
      <w:tblPr>
        <w:tblStyle w:val="2"/>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rPr>
                <w:rFonts w:hint="eastAsia" w:eastAsia="方正小标宋_GBK"/>
                <w:lang w:val="en-US" w:eastAsia="zh-CN"/>
              </w:rPr>
            </w:pPr>
            <w:r>
              <w:t>721</w:t>
            </w:r>
            <w:r>
              <w:rPr>
                <w:rFonts w:hint="eastAsia"/>
                <w:lang w:val="en-US" w:eastAsia="zh-CN"/>
              </w:rPr>
              <w:t>001</w:t>
            </w:r>
            <w:r>
              <w:t>平乡县文学艺术界联合会</w:t>
            </w:r>
            <w:r>
              <w:rPr>
                <w:rFonts w:hint="eastAsia"/>
                <w:lang w:val="en-US" w:eastAsia="zh-CN"/>
              </w:rPr>
              <w:t>本级</w:t>
            </w:r>
          </w:p>
        </w:tc>
        <w:tc>
          <w:tcPr>
            <w:tcW w:w="2722"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6"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6"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6" w:type="dxa"/>
            <w:vAlign w:val="center"/>
          </w:tcPr>
          <w:p>
            <w:pPr>
              <w:pStyle w:val="12"/>
            </w:pPr>
            <w:r>
              <w:t>合计</w:t>
            </w:r>
          </w:p>
        </w:tc>
        <w:tc>
          <w:tcPr>
            <w:tcW w:w="1361" w:type="dxa"/>
            <w:vAlign w:val="center"/>
          </w:tcPr>
          <w:p>
            <w:pPr>
              <w:pStyle w:val="13"/>
            </w:pPr>
            <w:r>
              <w:t>144.72</w:t>
            </w:r>
          </w:p>
        </w:tc>
        <w:tc>
          <w:tcPr>
            <w:tcW w:w="1361" w:type="dxa"/>
            <w:vAlign w:val="center"/>
          </w:tcPr>
          <w:p>
            <w:pPr>
              <w:pStyle w:val="13"/>
            </w:pPr>
            <w:r>
              <w:t>127.72</w:t>
            </w:r>
          </w:p>
        </w:tc>
        <w:tc>
          <w:tcPr>
            <w:tcW w:w="1361" w:type="dxa"/>
            <w:vAlign w:val="center"/>
          </w:tcPr>
          <w:p>
            <w:pPr>
              <w:pStyle w:val="13"/>
            </w:pPr>
            <w:r>
              <w:t>17.00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6" w:type="dxa"/>
            <w:vAlign w:val="center"/>
          </w:tcPr>
          <w:p>
            <w:pPr>
              <w:pStyle w:val="10"/>
            </w:pPr>
            <w:r>
              <w:t>一般公共服务支出</w:t>
            </w:r>
          </w:p>
        </w:tc>
        <w:tc>
          <w:tcPr>
            <w:tcW w:w="1361" w:type="dxa"/>
            <w:vAlign w:val="center"/>
          </w:tcPr>
          <w:p>
            <w:pPr>
              <w:pStyle w:val="9"/>
            </w:pPr>
            <w:r>
              <w:t>117.11</w:t>
            </w:r>
          </w:p>
        </w:tc>
        <w:tc>
          <w:tcPr>
            <w:tcW w:w="1361" w:type="dxa"/>
            <w:vAlign w:val="center"/>
          </w:tcPr>
          <w:p>
            <w:pPr>
              <w:pStyle w:val="9"/>
            </w:pPr>
            <w:r>
              <w:t>100.11</w:t>
            </w:r>
          </w:p>
        </w:tc>
        <w:tc>
          <w:tcPr>
            <w:tcW w:w="1361" w:type="dxa"/>
            <w:vAlign w:val="center"/>
          </w:tcPr>
          <w:p>
            <w:pPr>
              <w:pStyle w:val="9"/>
            </w:pPr>
            <w:r>
              <w:t>17.00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20129</w:t>
            </w:r>
          </w:p>
        </w:tc>
        <w:tc>
          <w:tcPr>
            <w:tcW w:w="4536" w:type="dxa"/>
            <w:vAlign w:val="center"/>
          </w:tcPr>
          <w:p>
            <w:pPr>
              <w:pStyle w:val="10"/>
            </w:pPr>
            <w:r>
              <w:t>群众团体事务</w:t>
            </w:r>
          </w:p>
        </w:tc>
        <w:tc>
          <w:tcPr>
            <w:tcW w:w="1361" w:type="dxa"/>
            <w:vAlign w:val="center"/>
          </w:tcPr>
          <w:p>
            <w:pPr>
              <w:pStyle w:val="9"/>
            </w:pPr>
            <w:r>
              <w:t>117.11</w:t>
            </w:r>
          </w:p>
        </w:tc>
        <w:tc>
          <w:tcPr>
            <w:tcW w:w="1361" w:type="dxa"/>
            <w:vAlign w:val="center"/>
          </w:tcPr>
          <w:p>
            <w:pPr>
              <w:pStyle w:val="9"/>
            </w:pPr>
            <w:r>
              <w:t>100.11</w:t>
            </w:r>
          </w:p>
        </w:tc>
        <w:tc>
          <w:tcPr>
            <w:tcW w:w="1361" w:type="dxa"/>
            <w:vAlign w:val="center"/>
          </w:tcPr>
          <w:p>
            <w:pPr>
              <w:pStyle w:val="9"/>
            </w:pPr>
            <w:r>
              <w:t>17.00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2012950</w:t>
            </w:r>
          </w:p>
        </w:tc>
        <w:tc>
          <w:tcPr>
            <w:tcW w:w="4536" w:type="dxa"/>
            <w:vAlign w:val="center"/>
          </w:tcPr>
          <w:p>
            <w:pPr>
              <w:pStyle w:val="10"/>
            </w:pPr>
            <w:r>
              <w:t>事业运行</w:t>
            </w:r>
          </w:p>
        </w:tc>
        <w:tc>
          <w:tcPr>
            <w:tcW w:w="1361" w:type="dxa"/>
            <w:vAlign w:val="center"/>
          </w:tcPr>
          <w:p>
            <w:pPr>
              <w:pStyle w:val="9"/>
            </w:pPr>
            <w:r>
              <w:t>117.11</w:t>
            </w:r>
          </w:p>
        </w:tc>
        <w:tc>
          <w:tcPr>
            <w:tcW w:w="1361" w:type="dxa"/>
            <w:vAlign w:val="center"/>
          </w:tcPr>
          <w:p>
            <w:pPr>
              <w:pStyle w:val="9"/>
            </w:pPr>
            <w:r>
              <w:t>100.11</w:t>
            </w:r>
          </w:p>
        </w:tc>
        <w:tc>
          <w:tcPr>
            <w:tcW w:w="1361" w:type="dxa"/>
            <w:vAlign w:val="center"/>
          </w:tcPr>
          <w:p>
            <w:pPr>
              <w:pStyle w:val="9"/>
            </w:pPr>
            <w:r>
              <w:t>17.00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w:t>
            </w:r>
          </w:p>
        </w:tc>
        <w:tc>
          <w:tcPr>
            <w:tcW w:w="4536" w:type="dxa"/>
            <w:vAlign w:val="center"/>
          </w:tcPr>
          <w:p>
            <w:pPr>
              <w:pStyle w:val="10"/>
            </w:pPr>
            <w:r>
              <w:t>社会保障和就业支出</w:t>
            </w:r>
          </w:p>
        </w:tc>
        <w:tc>
          <w:tcPr>
            <w:tcW w:w="1361" w:type="dxa"/>
            <w:vAlign w:val="center"/>
          </w:tcPr>
          <w:p>
            <w:pPr>
              <w:pStyle w:val="9"/>
            </w:pPr>
            <w:r>
              <w:t>10.11</w:t>
            </w:r>
          </w:p>
        </w:tc>
        <w:tc>
          <w:tcPr>
            <w:tcW w:w="1361" w:type="dxa"/>
            <w:vAlign w:val="center"/>
          </w:tcPr>
          <w:p>
            <w:pPr>
              <w:pStyle w:val="9"/>
            </w:pPr>
            <w:r>
              <w:t>10.11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w:t>
            </w:r>
          </w:p>
        </w:tc>
        <w:tc>
          <w:tcPr>
            <w:tcW w:w="4536" w:type="dxa"/>
            <w:vAlign w:val="center"/>
          </w:tcPr>
          <w:p>
            <w:pPr>
              <w:pStyle w:val="10"/>
            </w:pPr>
            <w:r>
              <w:t>行政事业单位养老支出</w:t>
            </w:r>
          </w:p>
        </w:tc>
        <w:tc>
          <w:tcPr>
            <w:tcW w:w="1361" w:type="dxa"/>
            <w:vAlign w:val="center"/>
          </w:tcPr>
          <w:p>
            <w:pPr>
              <w:pStyle w:val="9"/>
            </w:pPr>
            <w:r>
              <w:t>10.11</w:t>
            </w:r>
          </w:p>
        </w:tc>
        <w:tc>
          <w:tcPr>
            <w:tcW w:w="1361" w:type="dxa"/>
            <w:vAlign w:val="center"/>
          </w:tcPr>
          <w:p>
            <w:pPr>
              <w:pStyle w:val="9"/>
            </w:pPr>
            <w:r>
              <w:t>10.11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2080505</w:t>
            </w:r>
          </w:p>
        </w:tc>
        <w:tc>
          <w:tcPr>
            <w:tcW w:w="4536" w:type="dxa"/>
            <w:vAlign w:val="center"/>
          </w:tcPr>
          <w:p>
            <w:pPr>
              <w:pStyle w:val="10"/>
            </w:pPr>
            <w:r>
              <w:t>机关事业单位基本养老保险缴费支出</w:t>
            </w:r>
          </w:p>
        </w:tc>
        <w:tc>
          <w:tcPr>
            <w:tcW w:w="1361" w:type="dxa"/>
            <w:vAlign w:val="center"/>
          </w:tcPr>
          <w:p>
            <w:pPr>
              <w:pStyle w:val="9"/>
            </w:pPr>
            <w:r>
              <w:t>10.11</w:t>
            </w:r>
          </w:p>
        </w:tc>
        <w:tc>
          <w:tcPr>
            <w:tcW w:w="1361" w:type="dxa"/>
            <w:vAlign w:val="center"/>
          </w:tcPr>
          <w:p>
            <w:pPr>
              <w:pStyle w:val="9"/>
            </w:pPr>
            <w:r>
              <w:t>10.11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210</w:t>
            </w:r>
          </w:p>
        </w:tc>
        <w:tc>
          <w:tcPr>
            <w:tcW w:w="4536" w:type="dxa"/>
            <w:vAlign w:val="center"/>
          </w:tcPr>
          <w:p>
            <w:pPr>
              <w:pStyle w:val="10"/>
            </w:pPr>
            <w:r>
              <w:t>卫生健康支出</w:t>
            </w:r>
          </w:p>
        </w:tc>
        <w:tc>
          <w:tcPr>
            <w:tcW w:w="1361" w:type="dxa"/>
            <w:vAlign w:val="center"/>
          </w:tcPr>
          <w:p>
            <w:pPr>
              <w:pStyle w:val="9"/>
            </w:pPr>
            <w:r>
              <w:t>7.46</w:t>
            </w:r>
          </w:p>
        </w:tc>
        <w:tc>
          <w:tcPr>
            <w:tcW w:w="1361" w:type="dxa"/>
            <w:vAlign w:val="center"/>
          </w:tcPr>
          <w:p>
            <w:pPr>
              <w:pStyle w:val="9"/>
            </w:pPr>
            <w:r>
              <w:t>7.46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21011</w:t>
            </w:r>
          </w:p>
        </w:tc>
        <w:tc>
          <w:tcPr>
            <w:tcW w:w="4536" w:type="dxa"/>
            <w:vAlign w:val="center"/>
          </w:tcPr>
          <w:p>
            <w:pPr>
              <w:pStyle w:val="10"/>
            </w:pPr>
            <w:r>
              <w:t>行政事业单位医疗</w:t>
            </w:r>
          </w:p>
        </w:tc>
        <w:tc>
          <w:tcPr>
            <w:tcW w:w="1361" w:type="dxa"/>
            <w:vAlign w:val="center"/>
          </w:tcPr>
          <w:p>
            <w:pPr>
              <w:pStyle w:val="9"/>
            </w:pPr>
            <w:r>
              <w:t>7.46</w:t>
            </w:r>
          </w:p>
        </w:tc>
        <w:tc>
          <w:tcPr>
            <w:tcW w:w="1361" w:type="dxa"/>
            <w:vAlign w:val="center"/>
          </w:tcPr>
          <w:p>
            <w:pPr>
              <w:pStyle w:val="9"/>
            </w:pPr>
            <w:r>
              <w:t>7.46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2101102</w:t>
            </w:r>
          </w:p>
        </w:tc>
        <w:tc>
          <w:tcPr>
            <w:tcW w:w="4536" w:type="dxa"/>
            <w:vAlign w:val="center"/>
          </w:tcPr>
          <w:p>
            <w:pPr>
              <w:pStyle w:val="10"/>
            </w:pPr>
            <w:r>
              <w:t>事业单位医疗</w:t>
            </w:r>
          </w:p>
        </w:tc>
        <w:tc>
          <w:tcPr>
            <w:tcW w:w="1361" w:type="dxa"/>
            <w:vAlign w:val="center"/>
          </w:tcPr>
          <w:p>
            <w:pPr>
              <w:pStyle w:val="9"/>
            </w:pPr>
            <w:r>
              <w:t>7.46</w:t>
            </w:r>
          </w:p>
        </w:tc>
        <w:tc>
          <w:tcPr>
            <w:tcW w:w="1361" w:type="dxa"/>
            <w:vAlign w:val="center"/>
          </w:tcPr>
          <w:p>
            <w:pPr>
              <w:pStyle w:val="9"/>
            </w:pPr>
            <w:r>
              <w:t>7.46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221</w:t>
            </w:r>
          </w:p>
        </w:tc>
        <w:tc>
          <w:tcPr>
            <w:tcW w:w="4536" w:type="dxa"/>
            <w:vAlign w:val="center"/>
          </w:tcPr>
          <w:p>
            <w:pPr>
              <w:pStyle w:val="10"/>
            </w:pPr>
            <w:r>
              <w:t>住房保障支出</w:t>
            </w:r>
          </w:p>
        </w:tc>
        <w:tc>
          <w:tcPr>
            <w:tcW w:w="1361" w:type="dxa"/>
            <w:vAlign w:val="center"/>
          </w:tcPr>
          <w:p>
            <w:pPr>
              <w:pStyle w:val="9"/>
            </w:pPr>
            <w:r>
              <w:t>10.04</w:t>
            </w:r>
          </w:p>
        </w:tc>
        <w:tc>
          <w:tcPr>
            <w:tcW w:w="1361" w:type="dxa"/>
            <w:vAlign w:val="center"/>
          </w:tcPr>
          <w:p>
            <w:pPr>
              <w:pStyle w:val="9"/>
            </w:pPr>
            <w:r>
              <w:t>10.04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22102</w:t>
            </w:r>
          </w:p>
        </w:tc>
        <w:tc>
          <w:tcPr>
            <w:tcW w:w="4536" w:type="dxa"/>
            <w:vAlign w:val="center"/>
          </w:tcPr>
          <w:p>
            <w:pPr>
              <w:pStyle w:val="10"/>
            </w:pPr>
            <w:r>
              <w:t>住房改革支出</w:t>
            </w:r>
          </w:p>
        </w:tc>
        <w:tc>
          <w:tcPr>
            <w:tcW w:w="1361" w:type="dxa"/>
            <w:vAlign w:val="center"/>
          </w:tcPr>
          <w:p>
            <w:pPr>
              <w:pStyle w:val="9"/>
            </w:pPr>
            <w:r>
              <w:t>10.04</w:t>
            </w:r>
          </w:p>
        </w:tc>
        <w:tc>
          <w:tcPr>
            <w:tcW w:w="1361" w:type="dxa"/>
            <w:vAlign w:val="center"/>
          </w:tcPr>
          <w:p>
            <w:pPr>
              <w:pStyle w:val="9"/>
            </w:pPr>
            <w:r>
              <w:t>10.04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2210201</w:t>
            </w:r>
          </w:p>
        </w:tc>
        <w:tc>
          <w:tcPr>
            <w:tcW w:w="4536" w:type="dxa"/>
            <w:vAlign w:val="center"/>
          </w:tcPr>
          <w:p>
            <w:pPr>
              <w:pStyle w:val="10"/>
            </w:pPr>
            <w:r>
              <w:t>住房公积金</w:t>
            </w:r>
          </w:p>
        </w:tc>
        <w:tc>
          <w:tcPr>
            <w:tcW w:w="1361" w:type="dxa"/>
            <w:vAlign w:val="center"/>
          </w:tcPr>
          <w:p>
            <w:pPr>
              <w:pStyle w:val="9"/>
            </w:pPr>
            <w:r>
              <w:t>10.04</w:t>
            </w:r>
          </w:p>
        </w:tc>
        <w:tc>
          <w:tcPr>
            <w:tcW w:w="1361" w:type="dxa"/>
            <w:vAlign w:val="center"/>
          </w:tcPr>
          <w:p>
            <w:pPr>
              <w:pStyle w:val="9"/>
            </w:pPr>
            <w:r>
              <w:t>10.04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4"/>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预算财政拨款收支总表</w:t>
      </w:r>
      <w:bookmarkEnd w:id="4"/>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rPr>
                <w:rFonts w:hint="eastAsia" w:eastAsia="方正小标宋_GBK"/>
                <w:lang w:val="en-US" w:eastAsia="zh-CN"/>
              </w:rPr>
            </w:pPr>
            <w:r>
              <w:t>721</w:t>
            </w:r>
            <w:r>
              <w:rPr>
                <w:rFonts w:hint="eastAsia"/>
                <w:lang w:val="en-US" w:eastAsia="zh-CN"/>
              </w:rPr>
              <w:t>001</w:t>
            </w:r>
            <w:r>
              <w:t>平乡县文学艺术界联合会</w:t>
            </w:r>
            <w:r>
              <w:rPr>
                <w:rFonts w:hint="eastAsia"/>
                <w:lang w:val="en-US" w:eastAsia="zh-CN"/>
              </w:rPr>
              <w:t>本级</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144.72</w:t>
            </w:r>
          </w:p>
        </w:tc>
        <w:tc>
          <w:tcPr>
            <w:tcW w:w="3402" w:type="dxa"/>
            <w:vAlign w:val="center"/>
          </w:tcPr>
          <w:p>
            <w:pPr>
              <w:pStyle w:val="10"/>
            </w:pPr>
            <w:r>
              <w:t>一、一般公共服务支出</w:t>
            </w:r>
          </w:p>
        </w:tc>
        <w:tc>
          <w:tcPr>
            <w:tcW w:w="1474" w:type="dxa"/>
            <w:vAlign w:val="center"/>
          </w:tcPr>
          <w:p>
            <w:pPr>
              <w:pStyle w:val="9"/>
            </w:pPr>
            <w:r>
              <w:t>117.11</w:t>
            </w:r>
          </w:p>
        </w:tc>
        <w:tc>
          <w:tcPr>
            <w:tcW w:w="1474" w:type="dxa"/>
            <w:vAlign w:val="center"/>
          </w:tcPr>
          <w:p>
            <w:pPr>
              <w:pStyle w:val="9"/>
            </w:pPr>
            <w:r>
              <w:t>117.11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10.11</w:t>
            </w:r>
          </w:p>
        </w:tc>
        <w:tc>
          <w:tcPr>
            <w:tcW w:w="1474" w:type="dxa"/>
            <w:vAlign w:val="center"/>
          </w:tcPr>
          <w:p>
            <w:pPr>
              <w:pStyle w:val="9"/>
            </w:pPr>
            <w:r>
              <w:t>10.11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7.46</w:t>
            </w:r>
          </w:p>
        </w:tc>
        <w:tc>
          <w:tcPr>
            <w:tcW w:w="1474" w:type="dxa"/>
            <w:vAlign w:val="center"/>
          </w:tcPr>
          <w:p>
            <w:pPr>
              <w:pStyle w:val="9"/>
            </w:pPr>
            <w:r>
              <w:t>7.46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10.04</w:t>
            </w:r>
          </w:p>
        </w:tc>
        <w:tc>
          <w:tcPr>
            <w:tcW w:w="1474" w:type="dxa"/>
            <w:vAlign w:val="center"/>
          </w:tcPr>
          <w:p>
            <w:pPr>
              <w:pStyle w:val="9"/>
            </w:pPr>
            <w:r>
              <w:t>10.04</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144.72</w:t>
            </w:r>
          </w:p>
        </w:tc>
        <w:tc>
          <w:tcPr>
            <w:tcW w:w="3402" w:type="dxa"/>
            <w:vAlign w:val="center"/>
          </w:tcPr>
          <w:p>
            <w:pPr>
              <w:pStyle w:val="12"/>
            </w:pPr>
            <w:r>
              <w:t>本年支出合计</w:t>
            </w:r>
          </w:p>
        </w:tc>
        <w:tc>
          <w:tcPr>
            <w:tcW w:w="1474" w:type="dxa"/>
            <w:vAlign w:val="center"/>
          </w:tcPr>
          <w:p>
            <w:pPr>
              <w:pStyle w:val="13"/>
            </w:pPr>
            <w:r>
              <w:t>144.72</w:t>
            </w:r>
          </w:p>
        </w:tc>
        <w:tc>
          <w:tcPr>
            <w:tcW w:w="1474" w:type="dxa"/>
            <w:vAlign w:val="center"/>
          </w:tcPr>
          <w:p>
            <w:pPr>
              <w:pStyle w:val="13"/>
            </w:pPr>
            <w:r>
              <w:t>144.72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pPr>
            <w:r>
              <w:t>144.72</w:t>
            </w:r>
          </w:p>
        </w:tc>
        <w:tc>
          <w:tcPr>
            <w:tcW w:w="3402" w:type="dxa"/>
            <w:vAlign w:val="center"/>
          </w:tcPr>
          <w:p>
            <w:pPr>
              <w:pStyle w:val="12"/>
            </w:pPr>
            <w:r>
              <w:t>支出总计</w:t>
            </w:r>
          </w:p>
        </w:tc>
        <w:tc>
          <w:tcPr>
            <w:tcW w:w="1474" w:type="dxa"/>
            <w:vAlign w:val="center"/>
          </w:tcPr>
          <w:p>
            <w:pPr>
              <w:pStyle w:val="13"/>
            </w:pPr>
            <w:r>
              <w:t>144.72</w:t>
            </w:r>
          </w:p>
        </w:tc>
        <w:tc>
          <w:tcPr>
            <w:tcW w:w="1474" w:type="dxa"/>
            <w:vAlign w:val="center"/>
          </w:tcPr>
          <w:p>
            <w:pPr>
              <w:pStyle w:val="13"/>
            </w:pPr>
            <w:r>
              <w:t>144.72</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5"/>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预算一般公共预算财政拨款支出表</w:t>
      </w:r>
      <w:bookmarkEnd w:id="5"/>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rPr>
                <w:rFonts w:hint="eastAsia" w:eastAsia="方正小标宋_GBK"/>
                <w:lang w:val="en-US" w:eastAsia="zh-CN"/>
              </w:rPr>
            </w:pPr>
            <w:r>
              <w:t>721</w:t>
            </w:r>
            <w:r>
              <w:rPr>
                <w:rFonts w:hint="eastAsia"/>
                <w:lang w:val="en-US" w:eastAsia="zh-CN"/>
              </w:rPr>
              <w:t>001</w:t>
            </w:r>
            <w:r>
              <w:t>平乡县文学艺术界联合会</w:t>
            </w:r>
            <w:r>
              <w:rPr>
                <w:rFonts w:hint="eastAsia"/>
                <w:lang w:val="en-US" w:eastAsia="zh-CN"/>
              </w:rPr>
              <w:t>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144.72</w:t>
            </w:r>
          </w:p>
        </w:tc>
        <w:tc>
          <w:tcPr>
            <w:tcW w:w="2551" w:type="dxa"/>
            <w:vAlign w:val="center"/>
          </w:tcPr>
          <w:p>
            <w:pPr>
              <w:pStyle w:val="13"/>
            </w:pPr>
            <w:r>
              <w:t>127.72</w:t>
            </w:r>
          </w:p>
        </w:tc>
        <w:tc>
          <w:tcPr>
            <w:tcW w:w="2551" w:type="dxa"/>
            <w:vAlign w:val="center"/>
          </w:tcPr>
          <w:p>
            <w:pPr>
              <w:pStyle w:val="13"/>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117.11</w:t>
            </w:r>
          </w:p>
        </w:tc>
        <w:tc>
          <w:tcPr>
            <w:tcW w:w="2551" w:type="dxa"/>
            <w:vAlign w:val="center"/>
          </w:tcPr>
          <w:p>
            <w:pPr>
              <w:pStyle w:val="9"/>
            </w:pPr>
            <w:r>
              <w:t>100.11</w:t>
            </w:r>
          </w:p>
        </w:tc>
        <w:tc>
          <w:tcPr>
            <w:tcW w:w="2551" w:type="dxa"/>
            <w:vAlign w:val="center"/>
          </w:tcPr>
          <w:p>
            <w:pPr>
              <w:pStyle w:val="9"/>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20129</w:t>
            </w:r>
          </w:p>
        </w:tc>
        <w:tc>
          <w:tcPr>
            <w:tcW w:w="4535" w:type="dxa"/>
            <w:vAlign w:val="center"/>
          </w:tcPr>
          <w:p>
            <w:pPr>
              <w:pStyle w:val="10"/>
            </w:pPr>
            <w:r>
              <w:t>群众团体事务</w:t>
            </w:r>
          </w:p>
        </w:tc>
        <w:tc>
          <w:tcPr>
            <w:tcW w:w="2551" w:type="dxa"/>
            <w:vAlign w:val="center"/>
          </w:tcPr>
          <w:p>
            <w:pPr>
              <w:pStyle w:val="9"/>
            </w:pPr>
            <w:r>
              <w:t>117.11</w:t>
            </w:r>
          </w:p>
        </w:tc>
        <w:tc>
          <w:tcPr>
            <w:tcW w:w="2551" w:type="dxa"/>
            <w:vAlign w:val="center"/>
          </w:tcPr>
          <w:p>
            <w:pPr>
              <w:pStyle w:val="9"/>
            </w:pPr>
            <w:r>
              <w:t>100.11</w:t>
            </w:r>
          </w:p>
        </w:tc>
        <w:tc>
          <w:tcPr>
            <w:tcW w:w="2551" w:type="dxa"/>
            <w:vAlign w:val="center"/>
          </w:tcPr>
          <w:p>
            <w:pPr>
              <w:pStyle w:val="9"/>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2012950</w:t>
            </w:r>
          </w:p>
        </w:tc>
        <w:tc>
          <w:tcPr>
            <w:tcW w:w="4535" w:type="dxa"/>
            <w:vAlign w:val="center"/>
          </w:tcPr>
          <w:p>
            <w:pPr>
              <w:pStyle w:val="10"/>
            </w:pPr>
            <w:r>
              <w:t>事业运行</w:t>
            </w:r>
          </w:p>
        </w:tc>
        <w:tc>
          <w:tcPr>
            <w:tcW w:w="2551" w:type="dxa"/>
            <w:vAlign w:val="center"/>
          </w:tcPr>
          <w:p>
            <w:pPr>
              <w:pStyle w:val="9"/>
            </w:pPr>
            <w:r>
              <w:t>117.11</w:t>
            </w:r>
          </w:p>
        </w:tc>
        <w:tc>
          <w:tcPr>
            <w:tcW w:w="2551" w:type="dxa"/>
            <w:vAlign w:val="center"/>
          </w:tcPr>
          <w:p>
            <w:pPr>
              <w:pStyle w:val="9"/>
            </w:pPr>
            <w:r>
              <w:t>100.11</w:t>
            </w:r>
          </w:p>
        </w:tc>
        <w:tc>
          <w:tcPr>
            <w:tcW w:w="2551" w:type="dxa"/>
            <w:vAlign w:val="center"/>
          </w:tcPr>
          <w:p>
            <w:pPr>
              <w:pStyle w:val="9"/>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10.11</w:t>
            </w:r>
          </w:p>
        </w:tc>
        <w:tc>
          <w:tcPr>
            <w:tcW w:w="2551" w:type="dxa"/>
            <w:vAlign w:val="center"/>
          </w:tcPr>
          <w:p>
            <w:pPr>
              <w:pStyle w:val="9"/>
            </w:pPr>
            <w:r>
              <w:t>10.11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10.11</w:t>
            </w:r>
          </w:p>
        </w:tc>
        <w:tc>
          <w:tcPr>
            <w:tcW w:w="2551" w:type="dxa"/>
            <w:vAlign w:val="center"/>
          </w:tcPr>
          <w:p>
            <w:pPr>
              <w:pStyle w:val="9"/>
            </w:pPr>
            <w:r>
              <w:t>10.11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10.11</w:t>
            </w:r>
          </w:p>
        </w:tc>
        <w:tc>
          <w:tcPr>
            <w:tcW w:w="2551" w:type="dxa"/>
            <w:vAlign w:val="center"/>
          </w:tcPr>
          <w:p>
            <w:pPr>
              <w:pStyle w:val="9"/>
            </w:pPr>
            <w:r>
              <w:t>10.11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7.46</w:t>
            </w:r>
          </w:p>
        </w:tc>
        <w:tc>
          <w:tcPr>
            <w:tcW w:w="2551" w:type="dxa"/>
            <w:vAlign w:val="center"/>
          </w:tcPr>
          <w:p>
            <w:pPr>
              <w:pStyle w:val="9"/>
            </w:pPr>
            <w:r>
              <w:t>7.46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7.46</w:t>
            </w:r>
          </w:p>
        </w:tc>
        <w:tc>
          <w:tcPr>
            <w:tcW w:w="2551" w:type="dxa"/>
            <w:vAlign w:val="center"/>
          </w:tcPr>
          <w:p>
            <w:pPr>
              <w:pStyle w:val="9"/>
            </w:pPr>
            <w:r>
              <w:t>7.46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9"/>
            </w:pPr>
            <w:r>
              <w:t>7.46</w:t>
            </w:r>
          </w:p>
        </w:tc>
        <w:tc>
          <w:tcPr>
            <w:tcW w:w="2551" w:type="dxa"/>
            <w:vAlign w:val="center"/>
          </w:tcPr>
          <w:p>
            <w:pPr>
              <w:pStyle w:val="9"/>
            </w:pPr>
            <w:r>
              <w:t>7.46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10.04</w:t>
            </w:r>
          </w:p>
        </w:tc>
        <w:tc>
          <w:tcPr>
            <w:tcW w:w="2551" w:type="dxa"/>
            <w:vAlign w:val="center"/>
          </w:tcPr>
          <w:p>
            <w:pPr>
              <w:pStyle w:val="9"/>
            </w:pPr>
            <w:r>
              <w:t>10.04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10.04</w:t>
            </w:r>
          </w:p>
        </w:tc>
        <w:tc>
          <w:tcPr>
            <w:tcW w:w="2551" w:type="dxa"/>
            <w:vAlign w:val="center"/>
          </w:tcPr>
          <w:p>
            <w:pPr>
              <w:pStyle w:val="9"/>
            </w:pPr>
            <w:r>
              <w:t>10.04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10.04</w:t>
            </w:r>
          </w:p>
        </w:tc>
        <w:tc>
          <w:tcPr>
            <w:tcW w:w="2551" w:type="dxa"/>
            <w:vAlign w:val="center"/>
          </w:tcPr>
          <w:p>
            <w:pPr>
              <w:pStyle w:val="9"/>
            </w:pPr>
            <w:r>
              <w:t>10.04</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6"/>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预算一般公共预算财政拨款基本支出表</w:t>
      </w:r>
      <w:bookmarkEnd w:id="6"/>
    </w:p>
    <w:tbl>
      <w:tblPr>
        <w:tblStyle w:val="2"/>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rPr>
                <w:rFonts w:hint="eastAsia" w:eastAsia="方正小标宋_GBK"/>
                <w:lang w:val="en-US" w:eastAsia="zh-CN"/>
              </w:rPr>
            </w:pPr>
            <w:r>
              <w:t>721</w:t>
            </w:r>
            <w:r>
              <w:rPr>
                <w:rFonts w:hint="eastAsia"/>
                <w:lang w:val="en-US" w:eastAsia="zh-CN"/>
              </w:rPr>
              <w:t>001</w:t>
            </w:r>
            <w:r>
              <w:t>平乡县文学艺术界联合会</w:t>
            </w:r>
            <w:r>
              <w:rPr>
                <w:rFonts w:hint="eastAsia"/>
                <w:lang w:val="en-US" w:eastAsia="zh-CN"/>
              </w:rPr>
              <w:t>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2"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2"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127.72</w:t>
            </w:r>
          </w:p>
        </w:tc>
        <w:tc>
          <w:tcPr>
            <w:tcW w:w="2551" w:type="dxa"/>
            <w:vAlign w:val="center"/>
          </w:tcPr>
          <w:p>
            <w:pPr>
              <w:pStyle w:val="13"/>
            </w:pPr>
            <w:r>
              <w:t>120.26</w:t>
            </w:r>
          </w:p>
        </w:tc>
        <w:tc>
          <w:tcPr>
            <w:tcW w:w="2552" w:type="dxa"/>
            <w:vAlign w:val="center"/>
          </w:tcPr>
          <w:p>
            <w:pPr>
              <w:pStyle w:val="13"/>
            </w:pPr>
            <w:r>
              <w:t>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119.51</w:t>
            </w:r>
          </w:p>
        </w:tc>
        <w:tc>
          <w:tcPr>
            <w:tcW w:w="2551" w:type="dxa"/>
            <w:vAlign w:val="center"/>
          </w:tcPr>
          <w:p>
            <w:pPr>
              <w:pStyle w:val="9"/>
            </w:pPr>
            <w:r>
              <w:t>119.51</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50.20</w:t>
            </w:r>
          </w:p>
        </w:tc>
        <w:tc>
          <w:tcPr>
            <w:tcW w:w="2551" w:type="dxa"/>
            <w:vAlign w:val="center"/>
          </w:tcPr>
          <w:p>
            <w:pPr>
              <w:pStyle w:val="9"/>
            </w:pPr>
            <w:r>
              <w:t>50.20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16.38</w:t>
            </w:r>
          </w:p>
        </w:tc>
        <w:tc>
          <w:tcPr>
            <w:tcW w:w="2551" w:type="dxa"/>
            <w:vAlign w:val="center"/>
          </w:tcPr>
          <w:p>
            <w:pPr>
              <w:pStyle w:val="9"/>
            </w:pPr>
            <w:r>
              <w:t>16.38</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16.26</w:t>
            </w:r>
          </w:p>
        </w:tc>
        <w:tc>
          <w:tcPr>
            <w:tcW w:w="2551" w:type="dxa"/>
            <w:vAlign w:val="center"/>
          </w:tcPr>
          <w:p>
            <w:pPr>
              <w:pStyle w:val="9"/>
            </w:pPr>
            <w:r>
              <w:t>16.26</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4.49</w:t>
            </w:r>
          </w:p>
        </w:tc>
        <w:tc>
          <w:tcPr>
            <w:tcW w:w="2551" w:type="dxa"/>
            <w:vAlign w:val="center"/>
          </w:tcPr>
          <w:p>
            <w:pPr>
              <w:pStyle w:val="9"/>
            </w:pPr>
            <w:r>
              <w:t>4.49</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10.11</w:t>
            </w:r>
          </w:p>
        </w:tc>
        <w:tc>
          <w:tcPr>
            <w:tcW w:w="2551" w:type="dxa"/>
            <w:vAlign w:val="center"/>
          </w:tcPr>
          <w:p>
            <w:pPr>
              <w:pStyle w:val="9"/>
            </w:pPr>
            <w:r>
              <w:t>10.11</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城镇职工基本医疗保险缴费</w:t>
            </w:r>
          </w:p>
        </w:tc>
        <w:tc>
          <w:tcPr>
            <w:tcW w:w="2551" w:type="dxa"/>
            <w:vAlign w:val="center"/>
          </w:tcPr>
          <w:p>
            <w:pPr>
              <w:pStyle w:val="9"/>
            </w:pPr>
            <w:r>
              <w:t>5.96</w:t>
            </w:r>
          </w:p>
        </w:tc>
        <w:tc>
          <w:tcPr>
            <w:tcW w:w="2551" w:type="dxa"/>
            <w:vAlign w:val="center"/>
          </w:tcPr>
          <w:p>
            <w:pPr>
              <w:pStyle w:val="9"/>
            </w:pPr>
            <w:r>
              <w:t>5.96</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1.50</w:t>
            </w:r>
          </w:p>
        </w:tc>
        <w:tc>
          <w:tcPr>
            <w:tcW w:w="2551" w:type="dxa"/>
            <w:vAlign w:val="center"/>
          </w:tcPr>
          <w:p>
            <w:pPr>
              <w:pStyle w:val="9"/>
            </w:pPr>
            <w:r>
              <w:t>1.50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0.37</w:t>
            </w:r>
          </w:p>
        </w:tc>
        <w:tc>
          <w:tcPr>
            <w:tcW w:w="2551" w:type="dxa"/>
            <w:vAlign w:val="center"/>
          </w:tcPr>
          <w:p>
            <w:pPr>
              <w:pStyle w:val="9"/>
            </w:pPr>
            <w:r>
              <w:t>0.37</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10.04</w:t>
            </w:r>
          </w:p>
        </w:tc>
        <w:tc>
          <w:tcPr>
            <w:tcW w:w="2551" w:type="dxa"/>
            <w:vAlign w:val="center"/>
          </w:tcPr>
          <w:p>
            <w:pPr>
              <w:pStyle w:val="9"/>
            </w:pPr>
            <w:r>
              <w:t>10.04</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4.20</w:t>
            </w:r>
          </w:p>
        </w:tc>
        <w:tc>
          <w:tcPr>
            <w:tcW w:w="2551" w:type="dxa"/>
            <w:vAlign w:val="center"/>
          </w:tcPr>
          <w:p>
            <w:pPr>
              <w:pStyle w:val="9"/>
            </w:pPr>
            <w:r>
              <w:t>4.20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7.46</w:t>
            </w:r>
          </w:p>
        </w:tc>
        <w:tc>
          <w:tcPr>
            <w:tcW w:w="2551" w:type="dxa"/>
            <w:vAlign w:val="center"/>
          </w:tcPr>
          <w:p>
            <w:pPr>
              <w:pStyle w:val="9"/>
            </w:pPr>
          </w:p>
        </w:tc>
        <w:tc>
          <w:tcPr>
            <w:tcW w:w="2552" w:type="dxa"/>
            <w:vAlign w:val="center"/>
          </w:tcPr>
          <w:p>
            <w:pPr>
              <w:pStyle w:val="9"/>
            </w:pPr>
            <w:r>
              <w:t>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2.00</w:t>
            </w:r>
          </w:p>
        </w:tc>
        <w:tc>
          <w:tcPr>
            <w:tcW w:w="2551" w:type="dxa"/>
            <w:vAlign w:val="center"/>
          </w:tcPr>
          <w:p>
            <w:pPr>
              <w:pStyle w:val="9"/>
            </w:pPr>
          </w:p>
        </w:tc>
        <w:tc>
          <w:tcPr>
            <w:tcW w:w="2552"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0.20</w:t>
            </w:r>
          </w:p>
        </w:tc>
        <w:tc>
          <w:tcPr>
            <w:tcW w:w="2551" w:type="dxa"/>
            <w:vAlign w:val="center"/>
          </w:tcPr>
          <w:p>
            <w:pPr>
              <w:pStyle w:val="9"/>
            </w:pPr>
          </w:p>
        </w:tc>
        <w:tc>
          <w:tcPr>
            <w:tcW w:w="2552" w:type="dxa"/>
            <w:vAlign w:val="center"/>
          </w:tcPr>
          <w:p>
            <w:pPr>
              <w:pStyle w:val="9"/>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0.26</w:t>
            </w:r>
          </w:p>
        </w:tc>
        <w:tc>
          <w:tcPr>
            <w:tcW w:w="2551" w:type="dxa"/>
            <w:vAlign w:val="center"/>
          </w:tcPr>
          <w:p>
            <w:pPr>
              <w:pStyle w:val="9"/>
            </w:pPr>
          </w:p>
        </w:tc>
        <w:tc>
          <w:tcPr>
            <w:tcW w:w="2552" w:type="dxa"/>
            <w:vAlign w:val="center"/>
          </w:tcPr>
          <w:p>
            <w:pPr>
              <w:pStyle w:val="9"/>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5.00</w:t>
            </w:r>
          </w:p>
        </w:tc>
        <w:tc>
          <w:tcPr>
            <w:tcW w:w="2551" w:type="dxa"/>
            <w:vAlign w:val="center"/>
          </w:tcPr>
          <w:p>
            <w:pPr>
              <w:pStyle w:val="9"/>
            </w:pPr>
          </w:p>
        </w:tc>
        <w:tc>
          <w:tcPr>
            <w:tcW w:w="2552"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0.75</w:t>
            </w:r>
          </w:p>
        </w:tc>
        <w:tc>
          <w:tcPr>
            <w:tcW w:w="2551" w:type="dxa"/>
            <w:vAlign w:val="center"/>
          </w:tcPr>
          <w:p>
            <w:pPr>
              <w:pStyle w:val="9"/>
            </w:pPr>
            <w:r>
              <w:t>0.75</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0.75</w:t>
            </w:r>
          </w:p>
        </w:tc>
        <w:tc>
          <w:tcPr>
            <w:tcW w:w="2551" w:type="dxa"/>
            <w:vAlign w:val="center"/>
          </w:tcPr>
          <w:p>
            <w:pPr>
              <w:pStyle w:val="9"/>
            </w:pPr>
            <w:r>
              <w:t>0.75</w:t>
            </w:r>
          </w:p>
        </w:tc>
        <w:tc>
          <w:tcPr>
            <w:tcW w:w="2552"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7"/>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预算政府基金预算财政拨款支出表</w:t>
      </w:r>
      <w:bookmarkEnd w:id="7"/>
    </w:p>
    <w:tbl>
      <w:tblPr>
        <w:tblStyle w:val="2"/>
        <w:tblW w:w="143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7"/>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83" w:type="dxa"/>
            <w:gridSpan w:val="3"/>
            <w:tcBorders>
              <w:top w:val="single" w:color="FFFFFF" w:sz="6" w:space="0"/>
              <w:left w:val="single" w:color="FFFFFF" w:sz="6" w:space="0"/>
              <w:right w:val="single" w:color="FFFFFF" w:sz="6" w:space="0"/>
            </w:tcBorders>
            <w:vAlign w:val="center"/>
          </w:tcPr>
          <w:p>
            <w:pPr>
              <w:pStyle w:val="7"/>
              <w:rPr>
                <w:rFonts w:hint="eastAsia" w:eastAsia="方正小标宋_GBK"/>
                <w:lang w:val="en-US" w:eastAsia="zh-CN"/>
              </w:rPr>
            </w:pPr>
            <w:r>
              <w:t>721</w:t>
            </w:r>
            <w:r>
              <w:rPr>
                <w:rFonts w:hint="eastAsia"/>
                <w:lang w:val="en-US" w:eastAsia="zh-CN"/>
              </w:rPr>
              <w:t>001</w:t>
            </w:r>
            <w:r>
              <w:t>平乡县文学艺术界联合会</w:t>
            </w:r>
            <w:r>
              <w:rPr>
                <w:rFonts w:hint="eastAsia"/>
                <w:lang w:val="en-US" w:eastAsia="zh-CN"/>
              </w:rPr>
              <w:t>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7"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7"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7"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210" w:firstLineChars="10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8" w:name="_Toc_2_2_0000000008"/>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预算国有资本经营预算财政拨款支出表</w:t>
      </w:r>
      <w:bookmarkEnd w:id="8"/>
    </w:p>
    <w:tbl>
      <w:tblPr>
        <w:tblStyle w:val="2"/>
        <w:tblW w:w="143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7"/>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53" w:type="dxa"/>
            <w:gridSpan w:val="3"/>
            <w:tcBorders>
              <w:top w:val="single" w:color="FFFFFF" w:sz="6" w:space="0"/>
              <w:left w:val="single" w:color="FFFFFF" w:sz="6" w:space="0"/>
              <w:right w:val="single" w:color="FFFFFF" w:sz="6" w:space="0"/>
            </w:tcBorders>
            <w:vAlign w:val="center"/>
          </w:tcPr>
          <w:p>
            <w:pPr>
              <w:pStyle w:val="7"/>
              <w:rPr>
                <w:rFonts w:hint="eastAsia" w:eastAsia="方正小标宋_GBK"/>
                <w:lang w:val="en-US" w:eastAsia="zh-CN"/>
              </w:rPr>
            </w:pPr>
            <w:r>
              <w:t>721</w:t>
            </w:r>
            <w:r>
              <w:rPr>
                <w:rFonts w:hint="eastAsia"/>
                <w:lang w:val="en-US" w:eastAsia="zh-CN"/>
              </w:rPr>
              <w:t>001</w:t>
            </w:r>
            <w:r>
              <w:t>平乡县文学艺术界联合会</w:t>
            </w:r>
            <w:r>
              <w:rPr>
                <w:rFonts w:hint="eastAsia"/>
                <w:lang w:val="en-US" w:eastAsia="zh-CN"/>
              </w:rPr>
              <w:t>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7"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7"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7"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210" w:firstLineChars="10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9" w:name="_Toc_2_2_0000000009"/>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预算财政拨款“三公”经费支出表</w:t>
      </w:r>
      <w:bookmarkEnd w:id="9"/>
    </w:p>
    <w:tbl>
      <w:tblPr>
        <w:tblStyle w:val="2"/>
        <w:tblW w:w="143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3"/>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73" w:type="dxa"/>
            <w:gridSpan w:val="3"/>
            <w:tcBorders>
              <w:top w:val="single" w:color="FFFFFF" w:sz="6" w:space="0"/>
              <w:left w:val="single" w:color="FFFFFF" w:sz="6" w:space="0"/>
              <w:right w:val="single" w:color="FFFFFF" w:sz="6" w:space="0"/>
            </w:tcBorders>
            <w:vAlign w:val="center"/>
          </w:tcPr>
          <w:p>
            <w:pPr>
              <w:pStyle w:val="7"/>
              <w:rPr>
                <w:rFonts w:hint="eastAsia" w:eastAsia="方正小标宋_GBK"/>
                <w:lang w:val="en-US" w:eastAsia="zh-CN"/>
              </w:rPr>
            </w:pPr>
            <w:r>
              <w:t>721</w:t>
            </w:r>
            <w:r>
              <w:rPr>
                <w:rFonts w:hint="eastAsia"/>
                <w:lang w:val="en-US" w:eastAsia="zh-CN"/>
              </w:rPr>
              <w:t>001</w:t>
            </w:r>
            <w:r>
              <w:t>平乡县文学艺术界联合会</w:t>
            </w:r>
            <w:r>
              <w:rPr>
                <w:rFonts w:hint="eastAsia"/>
                <w:lang w:val="en-US" w:eastAsia="zh-CN"/>
              </w:rPr>
              <w:t>本级</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3"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93"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93"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93" w:type="dxa"/>
            <w:vAlign w:val="center"/>
          </w:tcPr>
          <w:p>
            <w:pPr>
              <w:pStyle w:val="11"/>
            </w:pPr>
          </w:p>
        </w:tc>
        <w:tc>
          <w:tcPr>
            <w:tcW w:w="3798" w:type="dxa"/>
            <w:vAlign w:val="center"/>
          </w:tcPr>
          <w:p>
            <w:pPr>
              <w:pStyle w:val="10"/>
            </w:pP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210" w:firstLineChars="10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平乡县文学艺术界联合会2022年</w:t>
      </w:r>
      <w:r>
        <w:rPr>
          <w:rFonts w:hint="eastAsia" w:ascii="方正书宋_GBK" w:hAnsi="方正书宋_GBK" w:eastAsia="方正书宋_GBK" w:cs="方正书宋_GBK"/>
          <w:color w:val="FFFFFF"/>
          <w:sz w:val="21"/>
          <w:lang w:val="en-US" w:eastAsia="zh-CN"/>
        </w:rPr>
        <w:t>单位</w:t>
      </w:r>
      <w:r>
        <w:rPr>
          <w:rFonts w:ascii="方正书宋_GBK" w:hAnsi="方正书宋_GBK" w:eastAsia="方正书宋_GBK" w:cs="方正书宋_GBK"/>
          <w:color w:val="FFFFFF"/>
          <w:sz w:val="21"/>
        </w:rPr>
        <w:t>预算信息公开情况说明</w:t>
      </w:r>
    </w:p>
    <w:p>
      <w:pPr>
        <w:jc w:val="center"/>
      </w:pPr>
      <w:r>
        <w:rPr>
          <w:rFonts w:ascii="方正小标宋_GBK" w:hAnsi="方正小标宋_GBK" w:eastAsia="方正小标宋_GBK" w:cs="方正小标宋_GBK"/>
          <w:color w:val="000000"/>
          <w:sz w:val="44"/>
        </w:rPr>
        <w:t>平乡县文学艺术界联合会2022年</w:t>
      </w:r>
      <w:r>
        <w:rPr>
          <w:rFonts w:hint="eastAsia" w:ascii="方正小标宋_GBK" w:hAnsi="方正小标宋_GBK" w:eastAsia="方正小标宋_GBK" w:cs="方正小标宋_GBK"/>
          <w:color w:val="000000"/>
          <w:sz w:val="44"/>
          <w:lang w:val="en-US"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按照《预算法》、《地方预决算公开操作规程》和《关于进一步推进预算公开工作的实施意见》规定，现将平乡县文学艺术界联合会</w:t>
      </w:r>
      <w:r>
        <w:rPr>
          <w:rFonts w:hint="eastAsia" w:eastAsia="方正仿宋_GBK"/>
          <w:color w:val="000000"/>
          <w:sz w:val="28"/>
          <w:lang w:val="en-US" w:eastAsia="zh-CN"/>
        </w:rPr>
        <w:t>本级</w:t>
      </w:r>
      <w:r>
        <w:rPr>
          <w:rFonts w:eastAsia="方正仿宋_GBK"/>
          <w:color w:val="000000"/>
          <w:sz w:val="28"/>
        </w:rPr>
        <w:t>2022年</w:t>
      </w:r>
      <w:r>
        <w:rPr>
          <w:rFonts w:hint="eastAsia" w:eastAsia="方正仿宋_GBK"/>
          <w:color w:val="000000"/>
          <w:sz w:val="28"/>
          <w:lang w:val="en-US" w:eastAsia="zh-CN"/>
        </w:rPr>
        <w:t>单位</w:t>
      </w:r>
      <w:r>
        <w:rPr>
          <w:rFonts w:eastAsia="方正仿宋_GBK"/>
          <w:color w:val="000000"/>
          <w:sz w:val="28"/>
        </w:rPr>
        <w:t>预算公开如下：</w:t>
      </w:r>
    </w:p>
    <w:p>
      <w:pPr>
        <w:spacing w:before="10" w:after="10" w:line="360" w:lineRule="auto"/>
        <w:ind w:firstLine="640"/>
        <w:outlineLvl w:val="2"/>
      </w:pPr>
      <w:bookmarkStart w:id="10" w:name="_Toc_3_3_0000000010"/>
      <w:r>
        <w:rPr>
          <w:rFonts w:ascii="黑体" w:hAnsi="黑体" w:eastAsia="黑体" w:cs="黑体"/>
          <w:color w:val="000000"/>
          <w:sz w:val="32"/>
        </w:rPr>
        <w:t>一、</w:t>
      </w:r>
      <w:r>
        <w:rPr>
          <w:rFonts w:hint="eastAsia" w:ascii="黑体" w:hAnsi="黑体" w:eastAsia="黑体" w:cs="黑体"/>
          <w:color w:val="000000"/>
          <w:sz w:val="32"/>
          <w:lang w:val="en-US" w:eastAsia="zh-CN"/>
        </w:rPr>
        <w:t>单位</w:t>
      </w:r>
      <w:r>
        <w:rPr>
          <w:rFonts w:ascii="黑体" w:hAnsi="黑体" w:eastAsia="黑体" w:cs="黑体"/>
          <w:color w:val="000000"/>
          <w:sz w:val="32"/>
        </w:rPr>
        <w:t>职责及机构设置情况</w:t>
      </w:r>
      <w:bookmarkEnd w:id="10"/>
    </w:p>
    <w:p>
      <w:pPr>
        <w:ind w:firstLine="640"/>
      </w:pPr>
      <w:r>
        <w:rPr>
          <w:rFonts w:hint="eastAsia" w:ascii="方正楷体_GBK" w:hAnsi="方正楷体_GBK" w:eastAsia="方正楷体_GBK" w:cs="方正楷体_GBK"/>
          <w:b/>
          <w:color w:val="000000"/>
          <w:sz w:val="32"/>
          <w:lang w:val="en-US" w:eastAsia="zh-CN"/>
        </w:rPr>
        <w:t>单位</w:t>
      </w:r>
      <w:r>
        <w:rPr>
          <w:rFonts w:ascii="方正楷体_GBK" w:hAnsi="方正楷体_GBK" w:eastAsia="方正楷体_GBK" w:cs="方正楷体_GBK"/>
          <w:b/>
          <w:color w:val="000000"/>
          <w:sz w:val="32"/>
        </w:rPr>
        <w:t>职责：</w:t>
      </w:r>
    </w:p>
    <w:p>
      <w:pPr>
        <w:pStyle w:val="15"/>
      </w:pPr>
      <w:r>
        <w:t>（一）贯彻落实党和国家关于文学艺术工作的路线、方针、政策。研究拟订具体实施意见、措施，并指导执行。</w:t>
      </w:r>
    </w:p>
    <w:p>
      <w:pPr>
        <w:pStyle w:val="15"/>
      </w:pPr>
      <w:r>
        <w:t>（二）组织广大文学艺术者学习马列主义、毛泽东思想和邓小平理论，学习党的文艺方针政策，学习文艺业务和科学文化知识。</w:t>
      </w:r>
    </w:p>
    <w:p>
      <w:pPr>
        <w:pStyle w:val="15"/>
      </w:pPr>
      <w:r>
        <w:t>（三）领导县文艺工作者协会的工作，听取和反映文艺界的情况和意见。</w:t>
      </w:r>
    </w:p>
    <w:p>
      <w:pPr>
        <w:pStyle w:val="15"/>
      </w:pPr>
      <w:r>
        <w:t>（四）繁荣文学艺术创作，认真抓好文学艺术精品的生产。</w:t>
      </w:r>
    </w:p>
    <w:p>
      <w:pPr>
        <w:pStyle w:val="15"/>
      </w:pPr>
      <w:r>
        <w:t>（五）加强对青年文艺工作者的培养和扶植，不断扩大文艺队伍。</w:t>
      </w:r>
    </w:p>
    <w:p>
      <w:pPr>
        <w:pStyle w:val="15"/>
      </w:pPr>
      <w:r>
        <w:t>（六）协同文化行政部门和工、青、妇等群众团体，团结社会各界力量，正确执行党的文艺工作方针。政策，当好党和政府领导文艺工作的得力助手。</w:t>
      </w:r>
    </w:p>
    <w:p>
      <w:pPr>
        <w:pStyle w:val="15"/>
      </w:pPr>
      <w:r>
        <w:t>（七）维护文艺工作者的合法权益。</w:t>
      </w:r>
    </w:p>
    <w:p>
      <w:pPr>
        <w:pStyle w:val="15"/>
      </w:pPr>
      <w:r>
        <w:t>（八）承办县委、县政府交办的其他事项。</w:t>
      </w:r>
    </w:p>
    <w:p>
      <w:pPr>
        <w:pStyle w:val="15"/>
      </w:pP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val="en-US" w:eastAsia="zh-CN"/>
        </w:rPr>
        <w:t>单位</w:t>
      </w:r>
      <w:r>
        <w:rPr>
          <w:rFonts w:ascii="方正小标宋_GBK" w:hAnsi="方正小标宋_GBK" w:eastAsia="方正小标宋_GBK" w:cs="方正小标宋_GBK"/>
          <w:color w:val="000000"/>
          <w:sz w:val="32"/>
        </w:rPr>
        <w:t>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平乡县文学艺术界联合会本级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outlineLvl w:val="2"/>
      </w:pPr>
      <w:bookmarkStart w:id="11" w:name="_Toc_3_3_0000000011"/>
      <w:r>
        <w:rPr>
          <w:rFonts w:ascii="黑体" w:hAnsi="黑体" w:eastAsia="黑体" w:cs="黑体"/>
          <w:color w:val="000000"/>
          <w:sz w:val="32"/>
        </w:rPr>
        <w:t>二、</w:t>
      </w:r>
      <w:r>
        <w:rPr>
          <w:rFonts w:hint="eastAsia" w:ascii="黑体" w:hAnsi="黑体" w:eastAsia="黑体" w:cs="黑体"/>
          <w:color w:val="000000"/>
          <w:sz w:val="32"/>
          <w:lang w:val="en-US" w:eastAsia="zh-CN"/>
        </w:rPr>
        <w:t>单位</w:t>
      </w:r>
      <w:r>
        <w:rPr>
          <w:rFonts w:ascii="黑体" w:hAnsi="黑体" w:eastAsia="黑体" w:cs="黑体"/>
          <w:color w:val="000000"/>
          <w:sz w:val="32"/>
        </w:rPr>
        <w:t>预算安排的总体情况</w:t>
      </w:r>
      <w:bookmarkEnd w:id="11"/>
    </w:p>
    <w:p>
      <w:pPr>
        <w:pStyle w:val="16"/>
      </w:pPr>
      <w:r>
        <w:t>按照预算管理有关规定，目前我</w:t>
      </w:r>
      <w:r>
        <w:rPr>
          <w:rFonts w:hint="eastAsia"/>
          <w:lang w:val="en-US" w:eastAsia="zh-CN"/>
        </w:rPr>
        <w:t>单位</w:t>
      </w:r>
      <w:r>
        <w:t>预算编制实行综合预算制度，即全部收入和支出都反映在预算中。</w:t>
      </w:r>
    </w:p>
    <w:p>
      <w:pPr>
        <w:pStyle w:val="16"/>
      </w:pPr>
      <w:r>
        <w:t>（一）收入说明</w:t>
      </w:r>
    </w:p>
    <w:p>
      <w:pPr>
        <w:pStyle w:val="16"/>
      </w:pPr>
      <w:r>
        <w:t>反应本</w:t>
      </w:r>
      <w:r>
        <w:rPr>
          <w:rFonts w:hint="eastAsia"/>
          <w:lang w:val="en-US" w:eastAsia="zh-CN"/>
        </w:rPr>
        <w:t>单位</w:t>
      </w:r>
      <w:r>
        <w:t>当年全部收入。2022年预算收入144.72万元，其中：一般公共预算收入144.72万元，基金预算收入0万元，财政专户核拨收入0万元，其他来源收入0万元。</w:t>
      </w:r>
    </w:p>
    <w:p>
      <w:pPr>
        <w:pStyle w:val="16"/>
      </w:pPr>
      <w:r>
        <w:t>（二）支出说明</w:t>
      </w:r>
    </w:p>
    <w:p>
      <w:pPr>
        <w:pStyle w:val="16"/>
      </w:pPr>
      <w:r>
        <w:t>收支预算总表支出栏、基本支出表、项目支出表按经济分类和支出功能分类科目编制，反映平乡县文学艺术界联合会</w:t>
      </w:r>
      <w:r>
        <w:rPr>
          <w:rFonts w:hint="eastAsia"/>
          <w:lang w:eastAsia="zh-CN"/>
        </w:rPr>
        <w:t>（</w:t>
      </w:r>
      <w:r>
        <w:rPr>
          <w:rFonts w:hint="eastAsia"/>
          <w:lang w:val="en-US" w:eastAsia="zh-CN"/>
        </w:rPr>
        <w:t>本级</w:t>
      </w:r>
      <w:r>
        <w:rPr>
          <w:rFonts w:hint="eastAsia"/>
          <w:lang w:eastAsia="zh-CN"/>
        </w:rPr>
        <w:t>）</w:t>
      </w:r>
      <w:r>
        <w:t>年度</w:t>
      </w:r>
      <w:r>
        <w:rPr>
          <w:rFonts w:hint="eastAsia"/>
          <w:lang w:val="en-US" w:eastAsia="zh-CN"/>
        </w:rPr>
        <w:t>单位</w:t>
      </w:r>
      <w:r>
        <w:t>预算中支出预算的总体情况。2022年支出预算为144.72万元，其中基本支出127.72万元，包括人员经费120.26万元和日常公用经费7.46万元；项目支出17万元，主要为文艺宣传、展示展赛文艺作品。</w:t>
      </w:r>
    </w:p>
    <w:p>
      <w:pPr>
        <w:pStyle w:val="16"/>
      </w:pPr>
      <w:r>
        <w:t>（三）比上年增减情况</w:t>
      </w:r>
    </w:p>
    <w:p>
      <w:pPr>
        <w:pStyle w:val="16"/>
      </w:pPr>
      <w:r>
        <w:t>2022年预算收支安排144.72万元，较2021年增加44.99万元，其中：基本支出增加35.99万元，主要是增加人员经费支出；项目支出增加9万元，主要是新项目的开展。</w:t>
      </w:r>
    </w:p>
    <w:p>
      <w:pPr>
        <w:pStyle w:val="16"/>
      </w:pPr>
    </w:p>
    <w:p>
      <w:pPr>
        <w:pStyle w:val="16"/>
      </w:pPr>
      <w:r>
        <w:t> </w:t>
      </w:r>
    </w:p>
    <w:p>
      <w:pPr>
        <w:pStyle w:val="16"/>
      </w:pPr>
    </w:p>
    <w:p>
      <w:pPr>
        <w:spacing w:before="10" w:after="10" w:line="360" w:lineRule="auto"/>
        <w:ind w:firstLine="640"/>
        <w:outlineLvl w:val="2"/>
      </w:pPr>
      <w:bookmarkStart w:id="12" w:name="_Toc_3_3_0000000012"/>
      <w:r>
        <w:rPr>
          <w:rFonts w:ascii="黑体" w:hAnsi="黑体" w:eastAsia="黑体" w:cs="黑体"/>
          <w:color w:val="000000"/>
          <w:sz w:val="32"/>
        </w:rPr>
        <w:t>三、机关运行经费安排情况</w:t>
      </w:r>
      <w:bookmarkEnd w:id="12"/>
    </w:p>
    <w:p>
      <w:pPr>
        <w:pStyle w:val="17"/>
      </w:pPr>
      <w:r>
        <w:t>2022年，我单位机关运行经费共计安排7.46万元，主要用于保证机关正常运转的办公费、车补等支出。</w:t>
      </w:r>
    </w:p>
    <w:p>
      <w:pPr>
        <w:spacing w:before="10" w:after="10" w:line="360" w:lineRule="auto"/>
        <w:ind w:firstLine="640"/>
        <w:outlineLvl w:val="2"/>
      </w:pPr>
      <w:bookmarkStart w:id="13" w:name="_Toc_3_3_0000000013"/>
      <w:r>
        <w:rPr>
          <w:rFonts w:ascii="黑体" w:hAnsi="黑体" w:eastAsia="黑体" w:cs="黑体"/>
          <w:color w:val="000000"/>
          <w:sz w:val="32"/>
        </w:rPr>
        <w:t>四、财政拨款“三公”经费预算情况及增减变化原因</w:t>
      </w:r>
      <w:bookmarkEnd w:id="13"/>
    </w:p>
    <w:p>
      <w:pPr>
        <w:pStyle w:val="18"/>
      </w:pPr>
      <w:r>
        <w:t>2022年，我</w:t>
      </w:r>
      <w:r>
        <w:rPr>
          <w:rFonts w:hint="eastAsia"/>
          <w:lang w:val="en-US" w:eastAsia="zh-CN"/>
        </w:rPr>
        <w:t>单位</w:t>
      </w:r>
      <w:r>
        <w:t>拨款“三公”经费预算安排0万元，其中因公出国（境）费0万元；公务用车购置及运维费0万元（其中：公务用车购置费为0万元，公务用车运维费0万元)；公务接待费0万元。与2021年持平，无增减变化。</w:t>
      </w:r>
    </w:p>
    <w:p>
      <w:pPr>
        <w:pStyle w:val="18"/>
      </w:pPr>
    </w:p>
    <w:p>
      <w:pPr>
        <w:spacing w:before="10" w:after="10" w:line="360" w:lineRule="auto"/>
        <w:ind w:firstLine="640"/>
        <w:outlineLvl w:val="2"/>
      </w:pPr>
      <w:bookmarkStart w:id="14" w:name="_Toc_3_3_0000000014"/>
      <w:r>
        <w:rPr>
          <w:rFonts w:ascii="黑体" w:hAnsi="黑体" w:eastAsia="黑体" w:cs="黑体"/>
          <w:color w:val="000000"/>
          <w:sz w:val="32"/>
        </w:rPr>
        <w:t>五、预算绩效信息</w:t>
      </w:r>
      <w:bookmarkEnd w:id="14"/>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val="en-US"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19"/>
      </w:pPr>
      <w:r>
        <w:t>贯彻落实党的文艺工作方针，深入学习贯彻习近平总书记文艺工作座谈会和系列重要讲话精神,紧紧围绕“四个全面”战略布局,全面贯彻“二为”方向和“双百”方针,坚持以人民为中心,以社会主义核心价值观为引领,发挥文联团结引导、联络协调、服务管理、自律维权的职能,扎实开展“书画之城•人文滏漳”建设工作,努力推出更多无愧于民族、无愧于时代的文艺精品,开展丰富多彩的文化交流活动,不断满足人民群众精神文化需求,为实现伟大的中国梦、富强平乡美丽平乡建设提供强大的价值引导力、文化凝聚力、精神推动力。</w:t>
      </w:r>
    </w:p>
    <w:p>
      <w:pPr>
        <w:pStyle w:val="19"/>
      </w:pPr>
    </w:p>
    <w:p>
      <w:pPr>
        <w:spacing w:line="500" w:lineRule="exact"/>
        <w:ind w:firstLine="560"/>
      </w:pPr>
      <w:r>
        <w:rPr>
          <w:rFonts w:eastAsia="方正仿宋_GBK"/>
          <w:color w:val="000000"/>
          <w:sz w:val="28"/>
        </w:rPr>
        <w:t>（二）分项绩效目标</w:t>
      </w:r>
    </w:p>
    <w:p>
      <w:pPr>
        <w:pStyle w:val="20"/>
      </w:pPr>
      <w:r>
        <w:t>1、做好文艺管理指导工作</w:t>
      </w:r>
    </w:p>
    <w:p>
      <w:pPr>
        <w:pStyle w:val="20"/>
      </w:pPr>
      <w:r>
        <w:t>绩效目标：组织召开文联及所属十二个协会的工作会议。负责开展各文学艺术家协会、管理、联络、协调、服务和指导工作,听取和反映文艺界的情况和意见。</w:t>
      </w:r>
    </w:p>
    <w:p>
      <w:pPr>
        <w:pStyle w:val="20"/>
      </w:pPr>
      <w:r>
        <w:t>绩效指标：推进协会管理科学规范、保障文联正常有序运行,召开联络会议,组织会员活动,组织各类文艺专业培训,为平乡文艺事业健康快速发展提供组织保障。</w:t>
      </w:r>
    </w:p>
    <w:p>
      <w:pPr>
        <w:pStyle w:val="20"/>
      </w:pPr>
      <w:r>
        <w:t xml:space="preserve">2、做好文学艺术研讨推介扶持工作    </w:t>
      </w:r>
    </w:p>
    <w:p>
      <w:pPr>
        <w:pStyle w:val="20"/>
      </w:pPr>
      <w:r>
        <w:t>绩效目标:动员、组织广大文艺工作者致力于繁荣发展我县的文学艺术事业,组织作家、艺术家深入生活,进行创作,打造出一批体现时代精神,具有本地特色的艺术精品。举办论坛、研讨、展示、展演、评奖活动,积极申报全国性、全省性文艺奖项,弘扬优秀传统文化,推动文化强市建设。</w:t>
      </w:r>
    </w:p>
    <w:p>
      <w:pPr>
        <w:pStyle w:val="20"/>
      </w:pPr>
      <w:r>
        <w:t>绩效指标：完善文艺精品扶持和奖励机制,落实责任制,论证确定一批既具有地域特色,又具备创作空间和社会影响力的题材,力推精品生产和文艺名家。</w:t>
      </w:r>
    </w:p>
    <w:p>
      <w:pPr>
        <w:pStyle w:val="20"/>
      </w:pPr>
      <w:r>
        <w:t>3、继续做好文艺宣传和编辑出版工作</w:t>
      </w:r>
    </w:p>
    <w:p>
      <w:pPr>
        <w:pStyle w:val="20"/>
      </w:pPr>
      <w:r>
        <w:t>绩效目标:广泛利用媒体多种形式推介优秀作品和人才。编辑各类文艺画册和书籍。</w:t>
      </w:r>
    </w:p>
    <w:p>
      <w:pPr>
        <w:pStyle w:val="20"/>
      </w:pPr>
      <w:r>
        <w:t>绩效指标:建好本地文艺网站和各艺术门类内刊,营造积极向上的文化氛围,编辑出版多种文艺画册。维护文联网络建设、切实扩大文艺工作的覆盖面和社会影响力。</w:t>
      </w:r>
    </w:p>
    <w:p>
      <w:pPr>
        <w:pStyle w:val="20"/>
      </w:pPr>
      <w:r>
        <w:t>4、继续加强文学艺术交流提高工作</w:t>
      </w:r>
    </w:p>
    <w:p>
      <w:pPr>
        <w:pStyle w:val="20"/>
      </w:pPr>
      <w:r>
        <w:t>绩效目标:坚持正确导向,发扬文艺民主,组织文学艺术研讨和学术交流工作，加强省市内外文学艺术兄弟单位的联合和交流。</w:t>
      </w:r>
    </w:p>
    <w:p>
      <w:pPr>
        <w:pStyle w:val="20"/>
      </w:pPr>
      <w:r>
        <w:t>绩效指标：发挥独特优势,整合资源,积极参加文化交流活动,广泛开展对外、对内和民间文艺交流及文艺志愿服务活动,提升提高文化的凝聚力和影响力。维护团体会员、作家、艺术家的知识产权等合法权益。完成县内外文化交流计划,促进本地文化艺术的影响力和美誉度进一步提高。</w:t>
      </w:r>
    </w:p>
    <w:p>
      <w:pPr>
        <w:pStyle w:val="20"/>
      </w:pPr>
    </w:p>
    <w:p>
      <w:pPr>
        <w:pStyle w:val="20"/>
      </w:pPr>
    </w:p>
    <w:p>
      <w:pPr>
        <w:spacing w:line="500" w:lineRule="exact"/>
        <w:ind w:firstLine="560"/>
      </w:pPr>
      <w:r>
        <w:rPr>
          <w:rFonts w:eastAsia="方正仿宋_GBK"/>
          <w:color w:val="000000"/>
          <w:sz w:val="28"/>
        </w:rPr>
        <w:t>（三）工作保障措施</w:t>
      </w:r>
    </w:p>
    <w:p>
      <w:pPr>
        <w:pStyle w:val="21"/>
      </w:pPr>
      <w:r>
        <w:rPr>
          <w:rFonts w:hint="eastAsia" w:eastAsiaTheme="minorEastAsia"/>
          <w:lang w:eastAsia="zh-CN"/>
        </w:rPr>
        <w:t>1</w:t>
      </w:r>
      <w:r>
        <w:t>、加强制度建设。</w:t>
      </w:r>
    </w:p>
    <w:p>
      <w:pPr>
        <w:pStyle w:val="21"/>
      </w:pPr>
      <w:r>
        <w:t>认真制定本单位绩效考核管理办法，积极开展事前绩效、事中绩效、事后绩效机制。一是做好活动主题、调研、采访、录制、宣传准备；二是组织好专家对活动内容进行研讨；三是做好每一个细节；四是高质量地完成活动内容</w:t>
      </w:r>
      <w:r>
        <w:rPr>
          <w:rFonts w:hint="eastAsia"/>
          <w:lang w:eastAsia="zh-CN"/>
        </w:rPr>
        <w:t>；</w:t>
      </w:r>
      <w:r>
        <w:t>五是活动结束后的大量宣传工作</w:t>
      </w:r>
      <w:r>
        <w:rPr>
          <w:rFonts w:hint="eastAsia"/>
          <w:lang w:eastAsia="zh-CN"/>
        </w:rPr>
        <w:t>；</w:t>
      </w:r>
      <w:r>
        <w:t>六是做好活动外的其他大量宣传工作。</w:t>
      </w:r>
    </w:p>
    <w:p>
      <w:pPr>
        <w:pStyle w:val="21"/>
      </w:pPr>
      <w:r>
        <w:t>2、严格资金的使用。</w:t>
      </w:r>
    </w:p>
    <w:p>
      <w:pPr>
        <w:pStyle w:val="21"/>
      </w:pPr>
      <w:r>
        <w:t>严格落实财务制度，资金不得用于项目以外的其它的支出，切实做到经费的专款专用。</w:t>
      </w:r>
    </w:p>
    <w:p>
      <w:pPr>
        <w:pStyle w:val="21"/>
      </w:pPr>
      <w:r>
        <w:t>3、做好绩效自评。</w:t>
      </w:r>
    </w:p>
    <w:p>
      <w:pPr>
        <w:pStyle w:val="21"/>
      </w:pPr>
      <w:r>
        <w:t>按要求开展上年度</w:t>
      </w:r>
      <w:r>
        <w:rPr>
          <w:rFonts w:hint="eastAsia"/>
          <w:lang w:val="en-US" w:eastAsia="zh-CN"/>
        </w:rPr>
        <w:t>单位</w:t>
      </w:r>
      <w:r>
        <w:t>预算绩效自评和重点评价工作，对评价中发现的问题及时整改，调整优化支出结构，提高财政资金使用效益。</w:t>
      </w:r>
    </w:p>
    <w:p>
      <w:pPr>
        <w:pStyle w:val="21"/>
      </w:pPr>
      <w:r>
        <w:t>4、加强绩效运行监控。</w:t>
      </w:r>
    </w:p>
    <w:p>
      <w:pPr>
        <w:pStyle w:val="21"/>
      </w:pPr>
      <w:r>
        <w:t>按要求开展绩效运行监控，发现问题及时采取措施，确保绩效目标如期保质实现。</w:t>
      </w:r>
    </w:p>
    <w:p>
      <w:pPr>
        <w:pStyle w:val="21"/>
      </w:pPr>
      <w:r>
        <w:t>5、加强宣传培训调研等。</w:t>
      </w:r>
    </w:p>
    <w:p>
      <w:pPr>
        <w:pStyle w:val="21"/>
      </w:pPr>
      <w:r>
        <w:t>加强人员培训，提高本</w:t>
      </w:r>
      <w:r>
        <w:rPr>
          <w:rFonts w:hint="eastAsia"/>
          <w:lang w:val="en-US" w:eastAsia="zh-CN"/>
        </w:rPr>
        <w:t>单位</w:t>
      </w:r>
      <w:r>
        <w:t>职工业务素质；加强调研，提出优化财政资金配置、提高资金使用效益的意见；加大宣传力度，强化预算绩效管理意识，促进预算绩效管理水平进一步提升。</w:t>
      </w:r>
    </w:p>
    <w:p>
      <w:pPr>
        <w:pStyle w:val="21"/>
      </w:pPr>
    </w:p>
    <w:p>
      <w:pPr>
        <w:pStyle w:val="21"/>
      </w:pP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1、编辑图书并组织书画摄影展项目绩效目标表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1.根据文联部门职责，组织书画摄影展，并辑印成册，宣传我县文学艺术、传统文化。</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出版册数</w:t>
            </w:r>
          </w:p>
        </w:tc>
        <w:tc>
          <w:tcPr>
            <w:tcW w:w="2835" w:type="dxa"/>
            <w:vAlign w:val="center"/>
          </w:tcPr>
          <w:p>
            <w:pPr>
              <w:pStyle w:val="10"/>
            </w:pPr>
            <w:r>
              <w:t>编辑图书册数</w:t>
            </w:r>
          </w:p>
        </w:tc>
        <w:tc>
          <w:tcPr>
            <w:tcW w:w="2551" w:type="dxa"/>
            <w:vAlign w:val="center"/>
          </w:tcPr>
          <w:p>
            <w:pPr>
              <w:pStyle w:val="10"/>
            </w:pPr>
            <w:r>
              <w:t>2000册</w:t>
            </w:r>
          </w:p>
        </w:tc>
        <w:tc>
          <w:tcPr>
            <w:tcW w:w="2268" w:type="dxa"/>
            <w:vAlign w:val="center"/>
          </w:tcPr>
          <w:p>
            <w:pPr>
              <w:pStyle w:val="10"/>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出版完成率</w:t>
            </w:r>
          </w:p>
        </w:tc>
        <w:tc>
          <w:tcPr>
            <w:tcW w:w="2835" w:type="dxa"/>
            <w:vAlign w:val="center"/>
          </w:tcPr>
          <w:p>
            <w:pPr>
              <w:pStyle w:val="10"/>
            </w:pPr>
            <w:r>
              <w:t>实际出版占应出版的比例</w:t>
            </w:r>
          </w:p>
        </w:tc>
        <w:tc>
          <w:tcPr>
            <w:tcW w:w="2551" w:type="dxa"/>
            <w:vAlign w:val="center"/>
          </w:tcPr>
          <w:p>
            <w:pPr>
              <w:pStyle w:val="10"/>
            </w:pPr>
            <w:r>
              <w:t>≥95%</w:t>
            </w:r>
          </w:p>
        </w:tc>
        <w:tc>
          <w:tcPr>
            <w:tcW w:w="2268" w:type="dxa"/>
            <w:vAlign w:val="center"/>
          </w:tcPr>
          <w:p>
            <w:pPr>
              <w:pStyle w:val="10"/>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出版完成及时率</w:t>
            </w:r>
          </w:p>
        </w:tc>
        <w:tc>
          <w:tcPr>
            <w:tcW w:w="2835" w:type="dxa"/>
            <w:vAlign w:val="center"/>
          </w:tcPr>
          <w:p>
            <w:pPr>
              <w:pStyle w:val="10"/>
            </w:pPr>
            <w:r>
              <w:t>实际出版时间占应出版时间的比例</w:t>
            </w:r>
          </w:p>
        </w:tc>
        <w:tc>
          <w:tcPr>
            <w:tcW w:w="2551" w:type="dxa"/>
            <w:vAlign w:val="center"/>
          </w:tcPr>
          <w:p>
            <w:pPr>
              <w:pStyle w:val="10"/>
            </w:pPr>
            <w:r>
              <w:t>≥95%</w:t>
            </w:r>
          </w:p>
        </w:tc>
        <w:tc>
          <w:tcPr>
            <w:tcW w:w="2268" w:type="dxa"/>
            <w:vAlign w:val="center"/>
          </w:tcPr>
          <w:p>
            <w:pPr>
              <w:pStyle w:val="10"/>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单册单价</w:t>
            </w:r>
          </w:p>
        </w:tc>
        <w:tc>
          <w:tcPr>
            <w:tcW w:w="2835" w:type="dxa"/>
            <w:vAlign w:val="center"/>
          </w:tcPr>
          <w:p>
            <w:pPr>
              <w:pStyle w:val="10"/>
            </w:pPr>
            <w:r>
              <w:t>每册图书的单价</w:t>
            </w:r>
          </w:p>
        </w:tc>
        <w:tc>
          <w:tcPr>
            <w:tcW w:w="2551" w:type="dxa"/>
            <w:vAlign w:val="center"/>
          </w:tcPr>
          <w:p>
            <w:pPr>
              <w:pStyle w:val="10"/>
            </w:pPr>
            <w:r>
              <w:t>50元</w:t>
            </w:r>
          </w:p>
        </w:tc>
        <w:tc>
          <w:tcPr>
            <w:tcW w:w="2268" w:type="dxa"/>
            <w:vAlign w:val="center"/>
          </w:tcPr>
          <w:p>
            <w:pPr>
              <w:pStyle w:val="10"/>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推动文学事业发展</w:t>
            </w:r>
          </w:p>
        </w:tc>
        <w:tc>
          <w:tcPr>
            <w:tcW w:w="2835" w:type="dxa"/>
            <w:vAlign w:val="center"/>
          </w:tcPr>
          <w:p>
            <w:pPr>
              <w:pStyle w:val="10"/>
            </w:pPr>
            <w:r>
              <w:t>推动文学事业发展</w:t>
            </w:r>
          </w:p>
        </w:tc>
        <w:tc>
          <w:tcPr>
            <w:tcW w:w="2551" w:type="dxa"/>
            <w:vAlign w:val="center"/>
          </w:tcPr>
          <w:p>
            <w:pPr>
              <w:pStyle w:val="10"/>
            </w:pPr>
            <w:r>
              <w:t>我单位开展的书画摄影展活动得到广泛好评</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扩大知名度</w:t>
            </w:r>
          </w:p>
        </w:tc>
        <w:tc>
          <w:tcPr>
            <w:tcW w:w="2835" w:type="dxa"/>
            <w:vAlign w:val="center"/>
          </w:tcPr>
          <w:p>
            <w:pPr>
              <w:pStyle w:val="10"/>
            </w:pPr>
            <w:r>
              <w:t>提升我县文学艺术影响力</w:t>
            </w:r>
          </w:p>
        </w:tc>
        <w:tc>
          <w:tcPr>
            <w:tcW w:w="2551" w:type="dxa"/>
            <w:vAlign w:val="center"/>
          </w:tcPr>
          <w:p>
            <w:pPr>
              <w:pStyle w:val="10"/>
            </w:pPr>
            <w:r>
              <w:t>我单位开展的书画摄影展活动得到广泛好评</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传播推广平乡文化</w:t>
            </w:r>
          </w:p>
        </w:tc>
        <w:tc>
          <w:tcPr>
            <w:tcW w:w="2835" w:type="dxa"/>
            <w:vAlign w:val="center"/>
          </w:tcPr>
          <w:p>
            <w:pPr>
              <w:pStyle w:val="10"/>
            </w:pPr>
            <w:r>
              <w:t>通过编辑图书传播平乡文化</w:t>
            </w:r>
          </w:p>
        </w:tc>
        <w:tc>
          <w:tcPr>
            <w:tcW w:w="2551" w:type="dxa"/>
            <w:vAlign w:val="center"/>
          </w:tcPr>
          <w:p>
            <w:pPr>
              <w:pStyle w:val="10"/>
            </w:pPr>
            <w:r>
              <w:t>广泛传播</w:t>
            </w:r>
          </w:p>
        </w:tc>
        <w:tc>
          <w:tcPr>
            <w:tcW w:w="2268" w:type="dxa"/>
            <w:vAlign w:val="center"/>
          </w:tcPr>
          <w:p>
            <w:pPr>
              <w:pStyle w:val="10"/>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通过问卷调查，满意的调查对象占所有调查对象的比例</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2、艺术门类培训及交流绩效目标表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1.根据文联部门职责，扩展民间文化艺术交流活动，为艺术工作者对外文化交流做好服务工作。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开展培训次数</w:t>
            </w:r>
          </w:p>
        </w:tc>
        <w:tc>
          <w:tcPr>
            <w:tcW w:w="2835" w:type="dxa"/>
            <w:vAlign w:val="center"/>
          </w:tcPr>
          <w:p>
            <w:pPr>
              <w:pStyle w:val="10"/>
            </w:pPr>
            <w:r>
              <w:t>开展艺术门类培训及交流次数</w:t>
            </w:r>
          </w:p>
        </w:tc>
        <w:tc>
          <w:tcPr>
            <w:tcW w:w="2551" w:type="dxa"/>
            <w:vAlign w:val="center"/>
          </w:tcPr>
          <w:p>
            <w:pPr>
              <w:pStyle w:val="10"/>
            </w:pPr>
            <w:r>
              <w:t>≥5次</w:t>
            </w:r>
          </w:p>
        </w:tc>
        <w:tc>
          <w:tcPr>
            <w:tcW w:w="2268" w:type="dxa"/>
            <w:vAlign w:val="center"/>
          </w:tcPr>
          <w:p>
            <w:pPr>
              <w:pStyle w:val="10"/>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实际开展占应开展的比例</w:t>
            </w:r>
          </w:p>
        </w:tc>
        <w:tc>
          <w:tcPr>
            <w:tcW w:w="2835" w:type="dxa"/>
            <w:vAlign w:val="center"/>
          </w:tcPr>
          <w:p>
            <w:pPr>
              <w:pStyle w:val="10"/>
            </w:pPr>
            <w:r>
              <w:t>实际开展占全年培训次数的覆盖率</w:t>
            </w:r>
          </w:p>
        </w:tc>
        <w:tc>
          <w:tcPr>
            <w:tcW w:w="2551" w:type="dxa"/>
            <w:vAlign w:val="center"/>
          </w:tcPr>
          <w:p>
            <w:pPr>
              <w:pStyle w:val="10"/>
            </w:pPr>
            <w:r>
              <w:t>≥95%</w:t>
            </w:r>
          </w:p>
        </w:tc>
        <w:tc>
          <w:tcPr>
            <w:tcW w:w="2268" w:type="dxa"/>
            <w:vAlign w:val="center"/>
          </w:tcPr>
          <w:p>
            <w:pPr>
              <w:pStyle w:val="10"/>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开展频率</w:t>
            </w:r>
          </w:p>
        </w:tc>
        <w:tc>
          <w:tcPr>
            <w:tcW w:w="2835" w:type="dxa"/>
            <w:vAlign w:val="center"/>
          </w:tcPr>
          <w:p>
            <w:pPr>
              <w:pStyle w:val="10"/>
            </w:pPr>
            <w:r>
              <w:t>每两个月开展一次</w:t>
            </w:r>
          </w:p>
        </w:tc>
        <w:tc>
          <w:tcPr>
            <w:tcW w:w="2551" w:type="dxa"/>
            <w:vAlign w:val="center"/>
          </w:tcPr>
          <w:p>
            <w:pPr>
              <w:pStyle w:val="10"/>
            </w:pPr>
            <w:r>
              <w:t>每两个月开展一次培训或交流</w:t>
            </w:r>
          </w:p>
        </w:tc>
        <w:tc>
          <w:tcPr>
            <w:tcW w:w="2268" w:type="dxa"/>
            <w:vAlign w:val="center"/>
          </w:tcPr>
          <w:p>
            <w:pPr>
              <w:pStyle w:val="10"/>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培训费用</w:t>
            </w:r>
          </w:p>
        </w:tc>
        <w:tc>
          <w:tcPr>
            <w:tcW w:w="2835" w:type="dxa"/>
            <w:vAlign w:val="center"/>
          </w:tcPr>
          <w:p>
            <w:pPr>
              <w:pStyle w:val="10"/>
            </w:pPr>
            <w:r>
              <w:t>每次培训及交流所需费用</w:t>
            </w:r>
          </w:p>
        </w:tc>
        <w:tc>
          <w:tcPr>
            <w:tcW w:w="2551" w:type="dxa"/>
            <w:vAlign w:val="center"/>
          </w:tcPr>
          <w:p>
            <w:pPr>
              <w:pStyle w:val="10"/>
            </w:pPr>
            <w:r>
              <w:t>≤6000元</w:t>
            </w:r>
          </w:p>
        </w:tc>
        <w:tc>
          <w:tcPr>
            <w:tcW w:w="2268" w:type="dxa"/>
            <w:vAlign w:val="center"/>
          </w:tcPr>
          <w:p>
            <w:pPr>
              <w:pStyle w:val="10"/>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推动文学事业发展</w:t>
            </w:r>
          </w:p>
        </w:tc>
        <w:tc>
          <w:tcPr>
            <w:tcW w:w="2835" w:type="dxa"/>
            <w:vAlign w:val="center"/>
          </w:tcPr>
          <w:p>
            <w:pPr>
              <w:pStyle w:val="10"/>
            </w:pPr>
            <w:r>
              <w:t>推动文学事业发展</w:t>
            </w:r>
          </w:p>
        </w:tc>
        <w:tc>
          <w:tcPr>
            <w:tcW w:w="2551" w:type="dxa"/>
            <w:vAlign w:val="center"/>
          </w:tcPr>
          <w:p>
            <w:pPr>
              <w:pStyle w:val="10"/>
            </w:pPr>
            <w:r>
              <w:t>得到广泛好评</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扩大知名度</w:t>
            </w:r>
          </w:p>
        </w:tc>
        <w:tc>
          <w:tcPr>
            <w:tcW w:w="2835" w:type="dxa"/>
            <w:vAlign w:val="center"/>
          </w:tcPr>
          <w:p>
            <w:pPr>
              <w:pStyle w:val="10"/>
            </w:pPr>
            <w:r>
              <w:t>提升我县文学艺术影响力</w:t>
            </w:r>
          </w:p>
        </w:tc>
        <w:tc>
          <w:tcPr>
            <w:tcW w:w="2551" w:type="dxa"/>
            <w:vAlign w:val="center"/>
          </w:tcPr>
          <w:p>
            <w:pPr>
              <w:pStyle w:val="10"/>
            </w:pPr>
            <w:r>
              <w:t>明显提升</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提升公共服务水平和质量</w:t>
            </w:r>
          </w:p>
        </w:tc>
        <w:tc>
          <w:tcPr>
            <w:tcW w:w="2835" w:type="dxa"/>
            <w:vAlign w:val="center"/>
          </w:tcPr>
          <w:p>
            <w:pPr>
              <w:pStyle w:val="10"/>
            </w:pPr>
            <w:r>
              <w:t>通过培训及交流，提升文化服务水平</w:t>
            </w:r>
          </w:p>
        </w:tc>
        <w:tc>
          <w:tcPr>
            <w:tcW w:w="2551" w:type="dxa"/>
            <w:vAlign w:val="center"/>
          </w:tcPr>
          <w:p>
            <w:pPr>
              <w:pStyle w:val="10"/>
            </w:pPr>
            <w:r>
              <w:t>明显提升</w:t>
            </w:r>
          </w:p>
        </w:tc>
        <w:tc>
          <w:tcPr>
            <w:tcW w:w="2268" w:type="dxa"/>
            <w:vAlign w:val="center"/>
          </w:tcPr>
          <w:p>
            <w:pPr>
              <w:pStyle w:val="10"/>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通过问卷调查，满意的服务对象占所有调查对象的比例</w:t>
            </w:r>
          </w:p>
        </w:tc>
        <w:tc>
          <w:tcPr>
            <w:tcW w:w="2551" w:type="dxa"/>
            <w:vAlign w:val="center"/>
          </w:tcPr>
          <w:p>
            <w:pPr>
              <w:pStyle w:val="10"/>
            </w:pPr>
            <w:r>
              <w:t>≥90%</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3、艺术门类展赛活动绩效目标表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1.根据文联部门职责，积极开展文艺活动，组织文艺工作者深入生活，繁荣创作。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开展展览、比赛次数</w:t>
            </w:r>
          </w:p>
        </w:tc>
        <w:tc>
          <w:tcPr>
            <w:tcW w:w="2835" w:type="dxa"/>
            <w:vAlign w:val="center"/>
          </w:tcPr>
          <w:p>
            <w:pPr>
              <w:pStyle w:val="10"/>
            </w:pPr>
            <w:r>
              <w:t>开展艺术门类展赛活动的次数</w:t>
            </w:r>
          </w:p>
        </w:tc>
        <w:tc>
          <w:tcPr>
            <w:tcW w:w="2551" w:type="dxa"/>
            <w:vAlign w:val="center"/>
          </w:tcPr>
          <w:p>
            <w:pPr>
              <w:pStyle w:val="10"/>
            </w:pPr>
            <w:r>
              <w:t>≥10次</w:t>
            </w:r>
          </w:p>
        </w:tc>
        <w:tc>
          <w:tcPr>
            <w:tcW w:w="2268" w:type="dxa"/>
            <w:vAlign w:val="center"/>
          </w:tcPr>
          <w:p>
            <w:pPr>
              <w:pStyle w:val="10"/>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实际开展占应开展活动的比例</w:t>
            </w:r>
          </w:p>
        </w:tc>
        <w:tc>
          <w:tcPr>
            <w:tcW w:w="2835" w:type="dxa"/>
            <w:vAlign w:val="center"/>
          </w:tcPr>
          <w:p>
            <w:pPr>
              <w:pStyle w:val="10"/>
            </w:pPr>
            <w:r>
              <w:t>实际开展占全年活动的覆盖率</w:t>
            </w:r>
          </w:p>
        </w:tc>
        <w:tc>
          <w:tcPr>
            <w:tcW w:w="2551" w:type="dxa"/>
            <w:vAlign w:val="center"/>
          </w:tcPr>
          <w:p>
            <w:pPr>
              <w:pStyle w:val="10"/>
            </w:pPr>
            <w:r>
              <w:t>≥95%</w:t>
            </w:r>
          </w:p>
        </w:tc>
        <w:tc>
          <w:tcPr>
            <w:tcW w:w="2268" w:type="dxa"/>
            <w:vAlign w:val="center"/>
          </w:tcPr>
          <w:p>
            <w:pPr>
              <w:pStyle w:val="10"/>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开展活动频率</w:t>
            </w:r>
          </w:p>
        </w:tc>
        <w:tc>
          <w:tcPr>
            <w:tcW w:w="2835" w:type="dxa"/>
            <w:vAlign w:val="center"/>
          </w:tcPr>
          <w:p>
            <w:pPr>
              <w:pStyle w:val="10"/>
            </w:pPr>
            <w:r>
              <w:t>一年约开展10次</w:t>
            </w:r>
          </w:p>
        </w:tc>
        <w:tc>
          <w:tcPr>
            <w:tcW w:w="2551" w:type="dxa"/>
            <w:vAlign w:val="center"/>
          </w:tcPr>
          <w:p>
            <w:pPr>
              <w:pStyle w:val="10"/>
            </w:pPr>
            <w:r>
              <w:t>一年内约开展10次文艺活动</w:t>
            </w:r>
          </w:p>
        </w:tc>
        <w:tc>
          <w:tcPr>
            <w:tcW w:w="2268" w:type="dxa"/>
            <w:vAlign w:val="center"/>
          </w:tcPr>
          <w:p>
            <w:pPr>
              <w:pStyle w:val="10"/>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展赛费用</w:t>
            </w:r>
          </w:p>
        </w:tc>
        <w:tc>
          <w:tcPr>
            <w:tcW w:w="2835" w:type="dxa"/>
            <w:vAlign w:val="center"/>
          </w:tcPr>
          <w:p>
            <w:pPr>
              <w:pStyle w:val="10"/>
            </w:pPr>
            <w:r>
              <w:t>每期展赛活动费用</w:t>
            </w:r>
          </w:p>
        </w:tc>
        <w:tc>
          <w:tcPr>
            <w:tcW w:w="2551" w:type="dxa"/>
            <w:vAlign w:val="center"/>
          </w:tcPr>
          <w:p>
            <w:pPr>
              <w:pStyle w:val="10"/>
            </w:pPr>
            <w:r>
              <w:t>≤4000元</w:t>
            </w:r>
          </w:p>
        </w:tc>
        <w:tc>
          <w:tcPr>
            <w:tcW w:w="2268" w:type="dxa"/>
            <w:vAlign w:val="center"/>
          </w:tcPr>
          <w:p>
            <w:pPr>
              <w:pStyle w:val="10"/>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推动文学事业发展</w:t>
            </w:r>
          </w:p>
        </w:tc>
        <w:tc>
          <w:tcPr>
            <w:tcW w:w="2835" w:type="dxa"/>
            <w:vAlign w:val="center"/>
          </w:tcPr>
          <w:p>
            <w:pPr>
              <w:pStyle w:val="10"/>
            </w:pPr>
            <w:r>
              <w:t>推动平乡文学事业大发展、大繁荣</w:t>
            </w:r>
          </w:p>
        </w:tc>
        <w:tc>
          <w:tcPr>
            <w:tcW w:w="2551" w:type="dxa"/>
            <w:vAlign w:val="center"/>
          </w:tcPr>
          <w:p>
            <w:pPr>
              <w:pStyle w:val="10"/>
            </w:pPr>
            <w:r>
              <w:t>明显推动文学事业发展</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展赛影响力</w:t>
            </w:r>
          </w:p>
        </w:tc>
        <w:tc>
          <w:tcPr>
            <w:tcW w:w="2835" w:type="dxa"/>
            <w:vAlign w:val="center"/>
          </w:tcPr>
          <w:p>
            <w:pPr>
              <w:pStyle w:val="10"/>
            </w:pPr>
            <w:r>
              <w:t>通过展赛提升文化社会影响力</w:t>
            </w:r>
          </w:p>
        </w:tc>
        <w:tc>
          <w:tcPr>
            <w:tcW w:w="2551" w:type="dxa"/>
            <w:vAlign w:val="center"/>
          </w:tcPr>
          <w:p>
            <w:pPr>
              <w:pStyle w:val="10"/>
            </w:pPr>
            <w:r>
              <w:t>明显提升</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创作文艺精品</w:t>
            </w:r>
          </w:p>
        </w:tc>
        <w:tc>
          <w:tcPr>
            <w:tcW w:w="2835" w:type="dxa"/>
            <w:vAlign w:val="center"/>
          </w:tcPr>
          <w:p>
            <w:pPr>
              <w:pStyle w:val="10"/>
            </w:pPr>
            <w:r>
              <w:t>积极繁荣创作文艺精品</w:t>
            </w:r>
          </w:p>
        </w:tc>
        <w:tc>
          <w:tcPr>
            <w:tcW w:w="2551" w:type="dxa"/>
            <w:vAlign w:val="center"/>
          </w:tcPr>
          <w:p>
            <w:pPr>
              <w:pStyle w:val="10"/>
            </w:pPr>
            <w:r>
              <w:t>创作大量文艺精品</w:t>
            </w:r>
          </w:p>
        </w:tc>
        <w:tc>
          <w:tcPr>
            <w:tcW w:w="2268" w:type="dxa"/>
            <w:vAlign w:val="center"/>
          </w:tcPr>
          <w:p>
            <w:pPr>
              <w:pStyle w:val="10"/>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满意的服务对象占所有服务对象的比例</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5" w:name="_Toc_3_3_0000000015"/>
      <w:r>
        <w:rPr>
          <w:rFonts w:ascii="黑体" w:hAnsi="黑体" w:eastAsia="黑体" w:cs="黑体"/>
          <w:color w:val="000000"/>
          <w:sz w:val="32"/>
        </w:rPr>
        <w:t>六、政府采购预算情况</w:t>
      </w:r>
      <w:bookmarkEnd w:id="15"/>
    </w:p>
    <w:p>
      <w:pPr>
        <w:spacing w:line="500" w:lineRule="exact"/>
        <w:ind w:firstLine="560"/>
      </w:pPr>
      <w:r>
        <w:rPr>
          <w:rFonts w:eastAsia="方正仿宋_GBK"/>
          <w:color w:val="000000"/>
          <w:sz w:val="28"/>
        </w:rPr>
        <w:t>2022年，平乡县文学艺术界联合会</w:t>
      </w:r>
      <w:r>
        <w:rPr>
          <w:rFonts w:hint="eastAsia" w:eastAsia="方正仿宋_GBK"/>
          <w:color w:val="000000"/>
          <w:sz w:val="28"/>
          <w:lang w:val="en-US" w:eastAsia="zh-CN"/>
        </w:rPr>
        <w:t>本级</w:t>
      </w:r>
      <w:r>
        <w:rPr>
          <w:rFonts w:eastAsia="方正仿宋_GBK"/>
          <w:color w:val="000000"/>
          <w:sz w:val="28"/>
        </w:rPr>
        <w:t>安排政府采购预算0.00万元。具体内容见下表。</w:t>
      </w:r>
    </w:p>
    <w:p>
      <w:pPr>
        <w:jc w:val="center"/>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政府采购预算</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9"/>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120" w:type="dxa"/>
            <w:gridSpan w:val="7"/>
            <w:tcBorders>
              <w:top w:val="single" w:color="FFFFFF" w:sz="6" w:space="0"/>
              <w:left w:val="single" w:color="FFFFFF" w:sz="6" w:space="0"/>
              <w:right w:val="single" w:color="FFFFFF" w:sz="6" w:space="0"/>
            </w:tcBorders>
            <w:vAlign w:val="center"/>
          </w:tcPr>
          <w:p>
            <w:pPr>
              <w:pStyle w:val="7"/>
              <w:rPr>
                <w:rFonts w:hint="eastAsia" w:eastAsia="方正小标宋_GBK"/>
                <w:lang w:val="en-US" w:eastAsia="zh-CN"/>
              </w:rPr>
            </w:pPr>
            <w:r>
              <w:t>721</w:t>
            </w:r>
            <w:r>
              <w:rPr>
                <w:rFonts w:hint="eastAsia"/>
                <w:lang w:val="en-US" w:eastAsia="zh-CN"/>
              </w:rPr>
              <w:t>001</w:t>
            </w:r>
            <w:r>
              <w:t>平乡县文学艺术界联合会</w:t>
            </w:r>
            <w:r>
              <w:rPr>
                <w:rFonts w:hint="eastAsia"/>
                <w:lang w:val="en-US" w:eastAsia="zh-CN"/>
              </w:rPr>
              <w:t>本级</w:t>
            </w:r>
          </w:p>
        </w:tc>
        <w:tc>
          <w:tcPr>
            <w:tcW w:w="8676"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43"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2"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479"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79"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pPr>
      <w:r>
        <w:rPr>
          <w:rFonts w:ascii="方正书宋_GBK" w:hAnsi="方正书宋_GBK" w:eastAsia="方正书宋_GBK" w:cs="方正书宋_GBK"/>
          <w:color w:val="000000"/>
          <w:sz w:val="21"/>
        </w:rPr>
        <w:t>注：同一采购目录序号的物品，其单价会因配置规格不同而变动，均符合资产配置标准。采购事项按照相关规定执行。</w:t>
      </w:r>
    </w:p>
    <w:p>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6" w:name="_Toc_3_3_0000000016"/>
      <w:r>
        <w:rPr>
          <w:rFonts w:ascii="黑体" w:hAnsi="黑体" w:eastAsia="黑体" w:cs="黑体"/>
          <w:color w:val="000000"/>
          <w:sz w:val="32"/>
        </w:rPr>
        <w:t>七、国有资产信息</w:t>
      </w:r>
      <w:bookmarkEnd w:id="16"/>
    </w:p>
    <w:p>
      <w:pPr>
        <w:spacing w:line="500" w:lineRule="exact"/>
        <w:ind w:firstLine="560"/>
      </w:pPr>
      <w:r>
        <w:rPr>
          <w:rFonts w:eastAsia="方正仿宋_GBK"/>
          <w:color w:val="000000"/>
          <w:sz w:val="28"/>
        </w:rPr>
        <w:t>平乡县文学艺术界联合会</w:t>
      </w:r>
      <w:r>
        <w:rPr>
          <w:rFonts w:hint="eastAsia" w:eastAsia="方正仿宋_GBK"/>
          <w:color w:val="000000"/>
          <w:sz w:val="28"/>
          <w:lang w:val="en-US" w:eastAsia="zh-CN"/>
        </w:rPr>
        <w:t>本级</w:t>
      </w:r>
      <w:r>
        <w:rPr>
          <w:rFonts w:eastAsia="方正仿宋_GBK"/>
          <w:color w:val="000000"/>
          <w:sz w:val="28"/>
        </w:rPr>
        <w:t>上年末固定资产金额为0.00万元（详见下表）。本年度拟购置固定资产总额为0.00万元，已按要求列入政府采购预算，详见政府采购预算表。</w:t>
      </w:r>
    </w:p>
    <w:p>
      <w:pPr>
        <w:jc w:val="center"/>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固定资产占用情况表</w:t>
      </w:r>
    </w:p>
    <w:tbl>
      <w:tblPr>
        <w:tblStyle w:val="2"/>
        <w:tblW w:w="131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72"/>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472" w:type="dxa"/>
            <w:tcBorders>
              <w:top w:val="single" w:color="FFFFFF" w:sz="6" w:space="0"/>
              <w:left w:val="single" w:color="FFFFFF" w:sz="6" w:space="0"/>
              <w:right w:val="single" w:color="FFFFFF" w:sz="6" w:space="0"/>
            </w:tcBorders>
            <w:vAlign w:val="center"/>
          </w:tcPr>
          <w:p>
            <w:pPr>
              <w:pStyle w:val="7"/>
              <w:rPr>
                <w:rFonts w:hint="eastAsia" w:eastAsia="方正小标宋_GBK"/>
                <w:lang w:val="en-US" w:eastAsia="zh-CN"/>
              </w:rPr>
            </w:pPr>
            <w:r>
              <w:t>721</w:t>
            </w:r>
            <w:r>
              <w:rPr>
                <w:rFonts w:hint="eastAsia"/>
                <w:lang w:val="en-US" w:eastAsia="zh-CN"/>
              </w:rPr>
              <w:t>001</w:t>
            </w:r>
            <w:r>
              <w:t>平乡县文学艺术界联合会</w:t>
            </w:r>
            <w:r>
              <w:rPr>
                <w:rFonts w:hint="eastAsia"/>
                <w:lang w:val="en-US" w:eastAsia="zh-CN"/>
              </w:rPr>
              <w:t>本级</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472"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72" w:type="dxa"/>
            <w:vAlign w:val="center"/>
          </w:tcPr>
          <w:p>
            <w:pPr>
              <w:pStyle w:val="10"/>
            </w:pPr>
          </w:p>
        </w:tc>
        <w:tc>
          <w:tcPr>
            <w:tcW w:w="2835" w:type="dxa"/>
            <w:vAlign w:val="center"/>
          </w:tcPr>
          <w:p>
            <w:pPr>
              <w:pStyle w:val="11"/>
            </w:pPr>
          </w:p>
        </w:tc>
        <w:tc>
          <w:tcPr>
            <w:tcW w:w="2835" w:type="dxa"/>
            <w:vAlign w:val="center"/>
          </w:tcPr>
          <w:p>
            <w:pPr>
              <w:pStyle w:val="9"/>
            </w:pPr>
          </w:p>
        </w:tc>
      </w:tr>
    </w:tbl>
    <w:p>
      <w:pPr>
        <w:ind w:firstLine="787" w:firstLineChars="375"/>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7"/>
      <w:r>
        <w:rPr>
          <w:rFonts w:ascii="黑体" w:hAnsi="黑体" w:eastAsia="黑体" w:cs="黑体"/>
          <w:color w:val="000000"/>
          <w:sz w:val="32"/>
        </w:rPr>
        <w:t>八、名词解释</w:t>
      </w:r>
      <w:bookmarkEnd w:id="17"/>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县</w:t>
      </w:r>
      <w:r>
        <w:rPr>
          <w:rFonts w:eastAsia="方正仿宋_GBK"/>
          <w:color w:val="000000"/>
          <w:sz w:val="28"/>
        </w:rPr>
        <w:t>级财政预算管理的“三公”经费，是指</w:t>
      </w:r>
      <w:r>
        <w:rPr>
          <w:rFonts w:hint="eastAsia" w:eastAsiaTheme="minor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8" w:name="_Toc_3_3_0000000018"/>
      <w:r>
        <w:rPr>
          <w:rFonts w:ascii="黑体" w:hAnsi="黑体" w:eastAsia="黑体" w:cs="黑体"/>
          <w:color w:val="000000"/>
          <w:sz w:val="32"/>
        </w:rPr>
        <w:t>九、其他需要说明的事项</w:t>
      </w:r>
      <w:bookmarkEnd w:id="18"/>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w:t>
      </w:r>
      <w:r>
        <w:rPr>
          <w:rFonts w:hint="eastAsia" w:eastAsia="方正仿宋_GBK"/>
          <w:color w:val="000000"/>
          <w:sz w:val="28"/>
          <w:lang w:val="en-US" w:eastAsia="zh-CN"/>
        </w:rPr>
        <w:t>单位</w:t>
      </w:r>
      <w:r>
        <w:rPr>
          <w:rFonts w:eastAsia="方正仿宋_GBK"/>
          <w:color w:val="000000"/>
          <w:sz w:val="28"/>
        </w:rPr>
        <w:t>无其他需要说明的事项。</w:t>
      </w:r>
    </w:p>
    <w:p>
      <w:pPr>
        <w:jc w:val="both"/>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zcxYmUzZTRkMDUyYTJlNTdiZmMzYzZjMGY3MTA1Y2IifQ=="/>
  </w:docVars>
  <w:rsids>
    <w:rsidRoot w:val="004018E7"/>
    <w:rsid w:val="00214576"/>
    <w:rsid w:val="00302520"/>
    <w:rsid w:val="004018E7"/>
    <w:rsid w:val="00AD3B5C"/>
    <w:rsid w:val="00ED421E"/>
    <w:rsid w:val="18567F20"/>
    <w:rsid w:val="32CC4AA1"/>
    <w:rsid w:val="37210104"/>
    <w:rsid w:val="41F86D2F"/>
    <w:rsid w:val="4E77473A"/>
    <w:rsid w:val="54173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1" Target="../customXml/item6.xml" Type="http://schemas.openxmlformats.org/officeDocument/2006/relationships/customXml"/><Relationship Id="rId12" Target="../customXml/item7.xml" Type="http://schemas.openxmlformats.org/officeDocument/2006/relationships/customXml"/><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fontTable.xml" Type="http://schemas.openxmlformats.org/officeDocument/2006/relationships/fontTable"/><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customXml/item2.xml" Type="http://schemas.openxmlformats.org/officeDocument/2006/relationships/customXml"/><Relationship Id="rId8" Target="../customXml/item3.xml" Type="http://schemas.openxmlformats.org/officeDocument/2006/relationships/customXml"/><Relationship Id="rId9" Target="../customXml/item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2022-03-07T18:42:33Z</dcterms:created>
  <dcterms:modified xsi:type="dcterms:W3CDTF">2022-03-07T10:42:33Z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2022-03-07T18:42:31Z</dcterms:created>
  <dcterms:modified xsi:type="dcterms:W3CDTF">2022-03-07T10:42:31Z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2022-03-07T18:42:34Z</dcterms:created>
  <dcterms:modified xsi:type="dcterms:W3CDTF">2022-03-07T10:42:34Z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2022-03-07T18:42:31Z</dcterms:created>
  <dcterms:modified xsi:type="dcterms:W3CDTF">2022-03-07T10:42:31Z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2022-03-07T18:42:34Z</dcterms:created>
  <dcterms:modified xsi:type="dcterms:W3CDTF">2022-03-07T10:42:34Z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2022-03-07T18:42:34Z</dcterms:created>
  <dcterms:modified xsi:type="dcterms:W3CDTF">2022-03-07T10:42:34Z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2022-03-07T18:42:31Z</dcterms:created>
  <dcterms:modified xsi:type="dcterms:W3CDTF">2022-03-07T10:42:31Z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2022-03-07T18:42:31Z</dcterms:created>
  <dcterms:modified xsi:type="dcterms:W3CDTF">2022-03-07T10:42:31Z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2022-03-07T18:42:33Z</dcterms:created>
  <dcterms:modified xsi:type="dcterms:W3CDTF">2022-03-07T10:42:33Z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2022-03-07T18:42:31Z</dcterms:created>
  <dcterms:modified xsi:type="dcterms:W3CDTF">2022-03-07T10:42:31Z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2022-03-07T18:42:32Z</dcterms:created>
  <dcterms:modified xsi:type="dcterms:W3CDTF">2022-03-07T10:42:32Z</dcterms:modified>
</cp:coreProperties>
</file>

<file path=customXml/itemProps1.xml><?xml version="1.0" encoding="utf-8"?>
<ds:datastoreItem xmlns:ds="http://schemas.openxmlformats.org/officeDocument/2006/customXml" ds:itemID="{C91823DD-3892-483F-B998-43641F78324F}">
  <ds:schemaRefs/>
</ds:datastoreItem>
</file>

<file path=customXml/itemProps10.xml><?xml version="1.0" encoding="utf-8"?>
<ds:datastoreItem xmlns:ds="http://schemas.openxmlformats.org/officeDocument/2006/customXml" ds:itemID="{5C275327-B5F6-401E-AA22-3DEF555820D3}">
  <ds:schemaRefs/>
</ds:datastoreItem>
</file>

<file path=customXml/itemProps11.xml><?xml version="1.0" encoding="utf-8"?>
<ds:datastoreItem xmlns:ds="http://schemas.openxmlformats.org/officeDocument/2006/customXml" ds:itemID="{24CC1A56-7430-4039-9D6D-3413456E72E8}">
  <ds:schemaRefs/>
</ds:datastoreItem>
</file>

<file path=customXml/itemProps12.xml><?xml version="1.0" encoding="utf-8"?>
<ds:datastoreItem xmlns:ds="http://schemas.openxmlformats.org/officeDocument/2006/customXml" ds:itemID="{2766BFE4-D4C9-48BB-B1D9-494E057B0983}">
  <ds:schemaRefs/>
</ds:datastoreItem>
</file>

<file path=customXml/itemProps13.xml><?xml version="1.0" encoding="utf-8"?>
<ds:datastoreItem xmlns:ds="http://schemas.openxmlformats.org/officeDocument/2006/customXml" ds:itemID="{E9EE6FCB-921A-4875-97B2-A3C9E46DB35C}">
  <ds:schemaRefs/>
</ds:datastoreItem>
</file>

<file path=customXml/itemProps14.xml><?xml version="1.0" encoding="utf-8"?>
<ds:datastoreItem xmlns:ds="http://schemas.openxmlformats.org/officeDocument/2006/customXml" ds:itemID="{6D98EC46-6516-49A3-A7D0-D0E50A2418DB}">
  <ds:schemaRefs/>
</ds:datastoreItem>
</file>

<file path=customXml/itemProps15.xml><?xml version="1.0" encoding="utf-8"?>
<ds:datastoreItem xmlns:ds="http://schemas.openxmlformats.org/officeDocument/2006/customXml" ds:itemID="{8EC6D1B2-81FB-471B-A904-939C0440E083}">
  <ds:schemaRefs/>
</ds:datastoreItem>
</file>

<file path=customXml/itemProps16.xml><?xml version="1.0" encoding="utf-8"?>
<ds:datastoreItem xmlns:ds="http://schemas.openxmlformats.org/officeDocument/2006/customXml" ds:itemID="{16C26C38-B3E2-4FAD-A7E8-EF87D10EAF3A}">
  <ds:schemaRefs/>
</ds:datastoreItem>
</file>

<file path=customXml/itemProps17.xml><?xml version="1.0" encoding="utf-8"?>
<ds:datastoreItem xmlns:ds="http://schemas.openxmlformats.org/officeDocument/2006/customXml" ds:itemID="{C5B8C5B2-6A64-4501-B457-28DC1772D0DC}">
  <ds:schemaRefs/>
</ds:datastoreItem>
</file>

<file path=customXml/itemProps18.xml><?xml version="1.0" encoding="utf-8"?>
<ds:datastoreItem xmlns:ds="http://schemas.openxmlformats.org/officeDocument/2006/customXml" ds:itemID="{5B5CECDC-2B49-428A-803C-5A3B182A87F7}">
  <ds:schemaRefs/>
</ds:datastoreItem>
</file>

<file path=customXml/itemProps19.xml><?xml version="1.0" encoding="utf-8"?>
<ds:datastoreItem xmlns:ds="http://schemas.openxmlformats.org/officeDocument/2006/customXml" ds:itemID="{B907277E-0A70-4B3D-A8F3-E6112B6B8DB3}">
  <ds:schemaRefs/>
</ds:datastoreItem>
</file>

<file path=customXml/itemProps2.xml><?xml version="1.0" encoding="utf-8"?>
<ds:datastoreItem xmlns:ds="http://schemas.openxmlformats.org/officeDocument/2006/customXml" ds:itemID="{91E2E5F4-C1F9-477D-A460-243F0D3E7955}">
  <ds:schemaRefs/>
</ds:datastoreItem>
</file>

<file path=customXml/itemProps20.xml><?xml version="1.0" encoding="utf-8"?>
<ds:datastoreItem xmlns:ds="http://schemas.openxmlformats.org/officeDocument/2006/customXml" ds:itemID="{D0D96F54-CF78-4DC4-BC24-5768BCC0A023}">
  <ds:schemaRefs/>
</ds:datastoreItem>
</file>

<file path=customXml/itemProps21.xml><?xml version="1.0" encoding="utf-8"?>
<ds:datastoreItem xmlns:ds="http://schemas.openxmlformats.org/officeDocument/2006/customXml" ds:itemID="{7DAB0552-D3F2-402A-A82F-B33A9B62C403}">
  <ds:schemaRefs/>
</ds:datastoreItem>
</file>

<file path=customXml/itemProps22.xml><?xml version="1.0" encoding="utf-8"?>
<ds:datastoreItem xmlns:ds="http://schemas.openxmlformats.org/officeDocument/2006/customXml" ds:itemID="{A95167FF-943F-4CA4-84B9-D86E8D9639AE}">
  <ds:schemaRefs/>
</ds:datastoreItem>
</file>

<file path=customXml/itemProps3.xml><?xml version="1.0" encoding="utf-8"?>
<ds:datastoreItem xmlns:ds="http://schemas.openxmlformats.org/officeDocument/2006/customXml" ds:itemID="{24E74817-D03C-4266-B8C1-C81EFA30CBB9}">
  <ds:schemaRefs/>
</ds:datastoreItem>
</file>

<file path=customXml/itemProps4.xml><?xml version="1.0" encoding="utf-8"?>
<ds:datastoreItem xmlns:ds="http://schemas.openxmlformats.org/officeDocument/2006/customXml" ds:itemID="{0A43FCEA-FC7F-480B-B5DF-18068D887A6F}">
  <ds:schemaRefs/>
</ds:datastoreItem>
</file>

<file path=customXml/itemProps5.xml><?xml version="1.0" encoding="utf-8"?>
<ds:datastoreItem xmlns:ds="http://schemas.openxmlformats.org/officeDocument/2006/customXml" ds:itemID="{15DABE2C-016B-444E-868F-B8E5D94E1B01}">
  <ds:schemaRefs/>
</ds:datastoreItem>
</file>

<file path=customXml/itemProps6.xml><?xml version="1.0" encoding="utf-8"?>
<ds:datastoreItem xmlns:ds="http://schemas.openxmlformats.org/officeDocument/2006/customXml" ds:itemID="{64B355FD-912C-4B7F-816D-E01C6727FE8D}">
  <ds:schemaRefs/>
</ds:datastoreItem>
</file>

<file path=customXml/itemProps7.xml><?xml version="1.0" encoding="utf-8"?>
<ds:datastoreItem xmlns:ds="http://schemas.openxmlformats.org/officeDocument/2006/customXml" ds:itemID="{1CDFE778-8C91-478E-96BD-0EABAB764941}">
  <ds:schemaRefs/>
</ds:datastoreItem>
</file>

<file path=customXml/itemProps8.xml><?xml version="1.0" encoding="utf-8"?>
<ds:datastoreItem xmlns:ds="http://schemas.openxmlformats.org/officeDocument/2006/customXml" ds:itemID="{DD3AB941-A813-4129-BA66-E7F622FE1A61}">
  <ds:schemaRefs/>
</ds:datastoreItem>
</file>

<file path=customXml/itemProps9.xml><?xml version="1.0" encoding="utf-8"?>
<ds:datastoreItem xmlns:ds="http://schemas.openxmlformats.org/officeDocument/2006/customXml" ds:itemID="{9B2F5F04-B106-415C-98E9-683981FA6FD4}">
  <ds:schemaRefs/>
</ds:datastoreItem>
</file>

<file path=docProps/app.xml><?xml version="1.0" encoding="utf-8"?>
<Properties xmlns="http://schemas.openxmlformats.org/officeDocument/2006/extended-properties" xmlns:vt="http://schemas.openxmlformats.org/officeDocument/2006/docPropsVTypes">
  <Template>Normal</Template>
  <Pages>26</Pages>
  <Words>7240</Words>
  <Characters>8366</Characters>
  <Lines>137</Lines>
  <Paragraphs>38</Paragraphs>
  <TotalTime>16</TotalTime>
  <ScaleCrop>false</ScaleCrop>
  <LinksUpToDate>false</LinksUpToDate>
  <CharactersWithSpaces>8516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2022-03-07T10:49:00Z</dcterms:created>
  <dc:creator>Administrator</dc:creator>
  <cp:lastModifiedBy>Administrator</cp:lastModifiedBy>
  <dcterms:modified xsi:type="dcterms:W3CDTF">2023-09-06T08:51:20Z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165CE394D90C49918ED0A5C22FB38792_12</vt:lpwstr>
  </property>
</Properties>
</file>