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平乡县市场监督管理局所属单位</w:t>
      </w:r>
      <w:r>
        <w:rPr>
          <w:rFonts w:ascii="黑体" w:hAnsi="黑体" w:eastAsia="黑体" w:cs="黑体"/>
          <w:b/>
          <w:color w:val="000000"/>
          <w:sz w:val="44"/>
        </w:rPr>
        <w:t>2023年单位预算信息公开</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pStyle w:val="2"/>
        <w:tabs>
          <w:tab w:val="right" w:leader="dot" w:pos="14562"/>
        </w:tabs>
        <w:jc w:val="center"/>
        <w:rPr>
          <w:rFonts w:hint="eastAsia" w:ascii="黑体" w:hAnsi="黑体" w:eastAsia="黑体" w:cs="黑体"/>
          <w:b w:val="0"/>
          <w:bCs/>
          <w:color w:val="000000"/>
          <w:sz w:val="30"/>
          <w:lang w:val="en-US"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平乡县市场监督管理局本级收支预算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01"/>
      <w:r>
        <w:rPr>
          <w:rFonts w:ascii="方正小标宋_GBK" w:hAnsi="方正小标宋_GBK" w:eastAsia="方正小标宋_GBK" w:cs="方正小标宋_GBK"/>
          <w:b w:val="0"/>
          <w:color w:val="000000"/>
          <w:sz w:val="44"/>
        </w:rPr>
        <w:t>一、平乡县市场监督管理局本级收支预算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2581.38</w:t>
            </w:r>
          </w:p>
        </w:tc>
        <w:tc>
          <w:tcPr>
            <w:tcW w:w="2959" w:type="dxa"/>
            <w:vAlign w:val="center"/>
          </w:tcPr>
          <w:p>
            <w:pPr>
              <w:pStyle w:val="12"/>
            </w:pPr>
            <w:r>
              <w:t>一、一般公共服务支出</w:t>
            </w:r>
          </w:p>
        </w:tc>
        <w:tc>
          <w:tcPr>
            <w:tcW w:w="2959" w:type="dxa"/>
            <w:vAlign w:val="center"/>
          </w:tcPr>
          <w:p>
            <w:pPr>
              <w:pStyle w:val="11"/>
            </w:pPr>
            <w:r>
              <w:t>2581.38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2581.38</w:t>
            </w:r>
          </w:p>
        </w:tc>
        <w:tc>
          <w:tcPr>
            <w:tcW w:w="2959" w:type="dxa"/>
            <w:vAlign w:val="center"/>
          </w:tcPr>
          <w:p>
            <w:pPr>
              <w:pStyle w:val="14"/>
            </w:pPr>
            <w:r>
              <w:t>本年支出合计</w:t>
            </w:r>
          </w:p>
        </w:tc>
        <w:tc>
          <w:tcPr>
            <w:tcW w:w="2959" w:type="dxa"/>
            <w:vAlign w:val="center"/>
          </w:tcPr>
          <w:p>
            <w:pPr>
              <w:pStyle w:val="15"/>
            </w:pPr>
            <w:r>
              <w:t>2581.38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2581.38</w:t>
            </w:r>
          </w:p>
        </w:tc>
        <w:tc>
          <w:tcPr>
            <w:tcW w:w="2959" w:type="dxa"/>
            <w:vAlign w:val="center"/>
          </w:tcPr>
          <w:p>
            <w:pPr>
              <w:pStyle w:val="14"/>
            </w:pPr>
            <w:r>
              <w:t>支出总计</w:t>
            </w:r>
          </w:p>
        </w:tc>
        <w:tc>
          <w:tcPr>
            <w:tcW w:w="2959" w:type="dxa"/>
            <w:vAlign w:val="center"/>
          </w:tcPr>
          <w:p>
            <w:pPr>
              <w:pStyle w:val="15"/>
            </w:pPr>
            <w:r>
              <w:t>2581.38</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sectPr>
      </w:pPr>
    </w:p>
    <w:tbl>
      <w:tblPr>
        <w:tblStyle w:val="5"/>
        <w:tblpPr w:leftFromText="180" w:rightFromText="180" w:vertAnchor="text" w:horzAnchor="page" w:tblpX="1426" w:tblpY="882"/>
        <w:tblOverlap w:val="never"/>
        <w:tblW w:w="147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380"/>
        <w:gridCol w:w="2070"/>
        <w:gridCol w:w="1095"/>
        <w:gridCol w:w="1020"/>
        <w:gridCol w:w="1020"/>
        <w:gridCol w:w="915"/>
        <w:gridCol w:w="660"/>
        <w:gridCol w:w="735"/>
        <w:gridCol w:w="1155"/>
        <w:gridCol w:w="1290"/>
        <w:gridCol w:w="1095"/>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4715" w:type="dxa"/>
            <w:gridSpan w:val="13"/>
            <w:tcBorders>
              <w:top w:val="nil"/>
              <w:left w:val="nil"/>
              <w:bottom w:val="single" w:color="auto" w:sz="4" w:space="0"/>
              <w:right w:val="nil"/>
            </w:tcBorders>
            <w:vAlign w:val="center"/>
          </w:tcPr>
          <w:p>
            <w:pPr>
              <w:pStyle w:val="10"/>
              <w:tabs>
                <w:tab w:val="left" w:pos="2480"/>
                <w:tab w:val="center" w:pos="4497"/>
              </w:tabs>
              <w:jc w:val="left"/>
            </w:pPr>
            <w:r>
              <w:t>414001平乡县市场监督管理局本级</w:t>
            </w:r>
            <w:r>
              <w:rPr>
                <w:rFonts w:hint="eastAsia"/>
                <w:lang w:val="en-US" w:eastAsia="zh-CN"/>
              </w:rPr>
              <w:t xml:space="preserve">                                      </w:t>
            </w:r>
            <w:r>
              <w:t>预算年度：2023</w:t>
            </w:r>
            <w:r>
              <w:rPr>
                <w:rFonts w:hint="eastAsia"/>
                <w:lang w:val="en-US" w:eastAsia="zh-CN"/>
              </w:rPr>
              <w:t xml:space="preserve">      </w:t>
            </w:r>
            <w:r>
              <w:rPr>
                <w:rFonts w:hint="eastAsia"/>
                <w:lang w:eastAsia="zh-CN"/>
              </w:rPr>
              <w:tab/>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Merge w:val="restart"/>
            <w:tcBorders>
              <w:top w:val="single" w:color="auto" w:sz="4" w:space="0"/>
            </w:tcBorders>
            <w:vAlign w:val="center"/>
          </w:tcPr>
          <w:p>
            <w:pPr>
              <w:pStyle w:val="10"/>
            </w:pPr>
            <w:r>
              <w:t>序号</w:t>
            </w:r>
          </w:p>
        </w:tc>
        <w:tc>
          <w:tcPr>
            <w:tcW w:w="3450" w:type="dxa"/>
            <w:gridSpan w:val="2"/>
            <w:tcBorders>
              <w:top w:val="single" w:color="auto" w:sz="4" w:space="0"/>
            </w:tcBorders>
            <w:vAlign w:val="center"/>
          </w:tcPr>
          <w:p>
            <w:pPr>
              <w:pStyle w:val="10"/>
            </w:pPr>
            <w:r>
              <w:t>功能分类科目</w:t>
            </w:r>
          </w:p>
        </w:tc>
        <w:tc>
          <w:tcPr>
            <w:tcW w:w="1095" w:type="dxa"/>
            <w:vMerge w:val="restart"/>
            <w:tcBorders>
              <w:top w:val="single" w:color="auto" w:sz="4" w:space="0"/>
            </w:tcBorders>
            <w:vAlign w:val="center"/>
          </w:tcPr>
          <w:p>
            <w:pPr>
              <w:pStyle w:val="10"/>
            </w:pPr>
            <w:r>
              <w:t>合计</w:t>
            </w:r>
          </w:p>
        </w:tc>
        <w:tc>
          <w:tcPr>
            <w:tcW w:w="7890" w:type="dxa"/>
            <w:gridSpan w:val="8"/>
            <w:tcBorders>
              <w:top w:val="single" w:color="auto" w:sz="4" w:space="0"/>
            </w:tcBorders>
            <w:vAlign w:val="center"/>
          </w:tcPr>
          <w:p>
            <w:pPr>
              <w:pStyle w:val="10"/>
            </w:pPr>
            <w:r>
              <w:t>本年收入</w:t>
            </w:r>
          </w:p>
        </w:tc>
        <w:tc>
          <w:tcPr>
            <w:tcW w:w="1200" w:type="dxa"/>
            <w:tcBorders>
              <w:top w:val="single" w:color="auto" w:sz="4"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Merge w:val="continue"/>
          </w:tcPr>
          <w:p/>
        </w:tc>
        <w:tc>
          <w:tcPr>
            <w:tcW w:w="1380" w:type="dxa"/>
            <w:vAlign w:val="center"/>
          </w:tcPr>
          <w:p>
            <w:pPr>
              <w:pStyle w:val="10"/>
            </w:pPr>
            <w:r>
              <w:t>科目    编码</w:t>
            </w:r>
          </w:p>
        </w:tc>
        <w:tc>
          <w:tcPr>
            <w:tcW w:w="2070" w:type="dxa"/>
            <w:vAlign w:val="center"/>
          </w:tcPr>
          <w:p>
            <w:pPr>
              <w:pStyle w:val="10"/>
            </w:pPr>
            <w:r>
              <w:t>科目名称</w:t>
            </w:r>
          </w:p>
        </w:tc>
        <w:tc>
          <w:tcPr>
            <w:tcW w:w="1095" w:type="dxa"/>
            <w:vMerge w:val="continue"/>
          </w:tcPr>
          <w:p/>
        </w:tc>
        <w:tc>
          <w:tcPr>
            <w:tcW w:w="1020" w:type="dxa"/>
            <w:vAlign w:val="center"/>
          </w:tcPr>
          <w:p>
            <w:pPr>
              <w:pStyle w:val="10"/>
            </w:pPr>
            <w:r>
              <w:t>小计</w:t>
            </w:r>
          </w:p>
        </w:tc>
        <w:tc>
          <w:tcPr>
            <w:tcW w:w="1020" w:type="dxa"/>
            <w:vAlign w:val="center"/>
          </w:tcPr>
          <w:p>
            <w:pPr>
              <w:pStyle w:val="10"/>
            </w:pPr>
            <w:r>
              <w:t>财政拨款 收入</w:t>
            </w:r>
          </w:p>
        </w:tc>
        <w:tc>
          <w:tcPr>
            <w:tcW w:w="915" w:type="dxa"/>
            <w:vAlign w:val="center"/>
          </w:tcPr>
          <w:p>
            <w:pPr>
              <w:pStyle w:val="10"/>
            </w:pPr>
            <w:r>
              <w:t>财政专户 收入</w:t>
            </w:r>
          </w:p>
        </w:tc>
        <w:tc>
          <w:tcPr>
            <w:tcW w:w="660" w:type="dxa"/>
            <w:vAlign w:val="center"/>
          </w:tcPr>
          <w:p>
            <w:pPr>
              <w:pStyle w:val="10"/>
            </w:pPr>
            <w:r>
              <w:t>事业收入</w:t>
            </w:r>
          </w:p>
        </w:tc>
        <w:tc>
          <w:tcPr>
            <w:tcW w:w="735" w:type="dxa"/>
            <w:vAlign w:val="center"/>
          </w:tcPr>
          <w:p>
            <w:pPr>
              <w:pStyle w:val="10"/>
            </w:pPr>
            <w:r>
              <w:t>经营收入</w:t>
            </w:r>
          </w:p>
        </w:tc>
        <w:tc>
          <w:tcPr>
            <w:tcW w:w="1155" w:type="dxa"/>
            <w:vAlign w:val="center"/>
          </w:tcPr>
          <w:p>
            <w:pPr>
              <w:pStyle w:val="10"/>
            </w:pPr>
            <w:r>
              <w:t>上级补助收入</w:t>
            </w:r>
          </w:p>
        </w:tc>
        <w:tc>
          <w:tcPr>
            <w:tcW w:w="1290" w:type="dxa"/>
            <w:vAlign w:val="center"/>
          </w:tcPr>
          <w:p>
            <w:pPr>
              <w:pStyle w:val="10"/>
            </w:pPr>
            <w:r>
              <w:t>附属单位上缴收入</w:t>
            </w:r>
          </w:p>
        </w:tc>
        <w:tc>
          <w:tcPr>
            <w:tcW w:w="1095" w:type="dxa"/>
            <w:vAlign w:val="center"/>
          </w:tcPr>
          <w:p>
            <w:pPr>
              <w:pStyle w:val="10"/>
            </w:pPr>
            <w:r>
              <w:t>其他收入</w:t>
            </w:r>
          </w:p>
        </w:tc>
        <w:tc>
          <w:tcPr>
            <w:tcW w:w="120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0"/>
            </w:pPr>
            <w:r>
              <w:t>栏次</w:t>
            </w:r>
          </w:p>
        </w:tc>
        <w:tc>
          <w:tcPr>
            <w:tcW w:w="1380" w:type="dxa"/>
            <w:vAlign w:val="center"/>
          </w:tcPr>
          <w:p>
            <w:pPr>
              <w:pStyle w:val="10"/>
            </w:pPr>
            <w:r>
              <w:t>1</w:t>
            </w:r>
          </w:p>
        </w:tc>
        <w:tc>
          <w:tcPr>
            <w:tcW w:w="2070" w:type="dxa"/>
            <w:vAlign w:val="center"/>
          </w:tcPr>
          <w:p>
            <w:pPr>
              <w:pStyle w:val="10"/>
            </w:pPr>
            <w:r>
              <w:t>2</w:t>
            </w:r>
          </w:p>
        </w:tc>
        <w:tc>
          <w:tcPr>
            <w:tcW w:w="1095" w:type="dxa"/>
            <w:vAlign w:val="center"/>
          </w:tcPr>
          <w:p>
            <w:pPr>
              <w:pStyle w:val="10"/>
            </w:pPr>
            <w:r>
              <w:t>3</w:t>
            </w:r>
          </w:p>
        </w:tc>
        <w:tc>
          <w:tcPr>
            <w:tcW w:w="1020" w:type="dxa"/>
            <w:vAlign w:val="center"/>
          </w:tcPr>
          <w:p>
            <w:pPr>
              <w:pStyle w:val="10"/>
            </w:pPr>
            <w:r>
              <w:t>4</w:t>
            </w:r>
          </w:p>
        </w:tc>
        <w:tc>
          <w:tcPr>
            <w:tcW w:w="1020" w:type="dxa"/>
            <w:vAlign w:val="center"/>
          </w:tcPr>
          <w:p>
            <w:pPr>
              <w:pStyle w:val="10"/>
            </w:pPr>
            <w:r>
              <w:t>5</w:t>
            </w:r>
          </w:p>
        </w:tc>
        <w:tc>
          <w:tcPr>
            <w:tcW w:w="915" w:type="dxa"/>
            <w:vAlign w:val="center"/>
          </w:tcPr>
          <w:p>
            <w:pPr>
              <w:pStyle w:val="10"/>
            </w:pPr>
            <w:r>
              <w:t>6</w:t>
            </w:r>
          </w:p>
        </w:tc>
        <w:tc>
          <w:tcPr>
            <w:tcW w:w="660" w:type="dxa"/>
            <w:vAlign w:val="center"/>
          </w:tcPr>
          <w:p>
            <w:pPr>
              <w:pStyle w:val="10"/>
            </w:pPr>
            <w:r>
              <w:t>7</w:t>
            </w:r>
          </w:p>
        </w:tc>
        <w:tc>
          <w:tcPr>
            <w:tcW w:w="735" w:type="dxa"/>
            <w:vAlign w:val="center"/>
          </w:tcPr>
          <w:p>
            <w:pPr>
              <w:pStyle w:val="10"/>
            </w:pPr>
            <w:r>
              <w:t>8</w:t>
            </w:r>
          </w:p>
        </w:tc>
        <w:tc>
          <w:tcPr>
            <w:tcW w:w="1155" w:type="dxa"/>
            <w:vAlign w:val="center"/>
          </w:tcPr>
          <w:p>
            <w:pPr>
              <w:pStyle w:val="10"/>
            </w:pPr>
            <w:r>
              <w:t>9</w:t>
            </w:r>
          </w:p>
        </w:tc>
        <w:tc>
          <w:tcPr>
            <w:tcW w:w="1290" w:type="dxa"/>
            <w:vAlign w:val="center"/>
          </w:tcPr>
          <w:p>
            <w:pPr>
              <w:pStyle w:val="10"/>
            </w:pPr>
            <w:r>
              <w:t>10</w:t>
            </w:r>
          </w:p>
        </w:tc>
        <w:tc>
          <w:tcPr>
            <w:tcW w:w="1095" w:type="dxa"/>
            <w:vAlign w:val="center"/>
          </w:tcPr>
          <w:p>
            <w:pPr>
              <w:pStyle w:val="10"/>
            </w:pPr>
            <w:r>
              <w:t>11</w:t>
            </w:r>
          </w:p>
        </w:tc>
        <w:tc>
          <w:tcPr>
            <w:tcW w:w="120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1</w:t>
            </w:r>
          </w:p>
        </w:tc>
        <w:tc>
          <w:tcPr>
            <w:tcW w:w="1380" w:type="dxa"/>
            <w:vAlign w:val="center"/>
          </w:tcPr>
          <w:p>
            <w:pPr>
              <w:pStyle w:val="16"/>
            </w:pPr>
          </w:p>
        </w:tc>
        <w:tc>
          <w:tcPr>
            <w:tcW w:w="2070" w:type="dxa"/>
            <w:vAlign w:val="center"/>
          </w:tcPr>
          <w:p>
            <w:pPr>
              <w:pStyle w:val="14"/>
            </w:pPr>
            <w:r>
              <w:t>合计</w:t>
            </w:r>
          </w:p>
        </w:tc>
        <w:tc>
          <w:tcPr>
            <w:tcW w:w="1095" w:type="dxa"/>
            <w:vAlign w:val="center"/>
          </w:tcPr>
          <w:p>
            <w:pPr>
              <w:pStyle w:val="15"/>
            </w:pPr>
            <w:r>
              <w:t>2581.38</w:t>
            </w:r>
          </w:p>
        </w:tc>
        <w:tc>
          <w:tcPr>
            <w:tcW w:w="1020" w:type="dxa"/>
            <w:vAlign w:val="center"/>
          </w:tcPr>
          <w:p>
            <w:pPr>
              <w:pStyle w:val="15"/>
            </w:pPr>
            <w:r>
              <w:t>2581.38</w:t>
            </w:r>
          </w:p>
        </w:tc>
        <w:tc>
          <w:tcPr>
            <w:tcW w:w="1020" w:type="dxa"/>
            <w:vAlign w:val="center"/>
          </w:tcPr>
          <w:p>
            <w:pPr>
              <w:pStyle w:val="15"/>
            </w:pPr>
            <w:r>
              <w:t>2581.38</w:t>
            </w:r>
          </w:p>
        </w:tc>
        <w:tc>
          <w:tcPr>
            <w:tcW w:w="915" w:type="dxa"/>
            <w:vAlign w:val="center"/>
          </w:tcPr>
          <w:p>
            <w:pPr>
              <w:pStyle w:val="15"/>
            </w:pPr>
          </w:p>
        </w:tc>
        <w:tc>
          <w:tcPr>
            <w:tcW w:w="660" w:type="dxa"/>
            <w:vAlign w:val="center"/>
          </w:tcPr>
          <w:p>
            <w:pPr>
              <w:pStyle w:val="15"/>
            </w:pPr>
          </w:p>
        </w:tc>
        <w:tc>
          <w:tcPr>
            <w:tcW w:w="735" w:type="dxa"/>
            <w:vAlign w:val="center"/>
          </w:tcPr>
          <w:p>
            <w:pPr>
              <w:pStyle w:val="15"/>
            </w:pPr>
          </w:p>
        </w:tc>
        <w:tc>
          <w:tcPr>
            <w:tcW w:w="1155" w:type="dxa"/>
            <w:vAlign w:val="center"/>
          </w:tcPr>
          <w:p>
            <w:pPr>
              <w:pStyle w:val="15"/>
            </w:pPr>
          </w:p>
        </w:tc>
        <w:tc>
          <w:tcPr>
            <w:tcW w:w="1290" w:type="dxa"/>
            <w:vAlign w:val="center"/>
          </w:tcPr>
          <w:p>
            <w:pPr>
              <w:pStyle w:val="15"/>
            </w:pPr>
          </w:p>
        </w:tc>
        <w:tc>
          <w:tcPr>
            <w:tcW w:w="1095" w:type="dxa"/>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2</w:t>
            </w:r>
          </w:p>
        </w:tc>
        <w:tc>
          <w:tcPr>
            <w:tcW w:w="1380" w:type="dxa"/>
            <w:vAlign w:val="center"/>
          </w:tcPr>
          <w:p>
            <w:pPr>
              <w:pStyle w:val="12"/>
            </w:pPr>
            <w:r>
              <w:t>201</w:t>
            </w:r>
          </w:p>
        </w:tc>
        <w:tc>
          <w:tcPr>
            <w:tcW w:w="2070" w:type="dxa"/>
            <w:vAlign w:val="center"/>
          </w:tcPr>
          <w:p>
            <w:pPr>
              <w:pStyle w:val="12"/>
            </w:pPr>
            <w:r>
              <w:t>一般公共服务支出</w:t>
            </w:r>
          </w:p>
        </w:tc>
        <w:tc>
          <w:tcPr>
            <w:tcW w:w="1095" w:type="dxa"/>
            <w:vAlign w:val="center"/>
          </w:tcPr>
          <w:p>
            <w:pPr>
              <w:pStyle w:val="11"/>
            </w:pPr>
            <w:r>
              <w:t>2581.38</w:t>
            </w:r>
          </w:p>
        </w:tc>
        <w:tc>
          <w:tcPr>
            <w:tcW w:w="1020" w:type="dxa"/>
            <w:vAlign w:val="center"/>
          </w:tcPr>
          <w:p>
            <w:pPr>
              <w:pStyle w:val="11"/>
            </w:pPr>
            <w:r>
              <w:t>2581.38</w:t>
            </w:r>
          </w:p>
        </w:tc>
        <w:tc>
          <w:tcPr>
            <w:tcW w:w="1020" w:type="dxa"/>
            <w:vAlign w:val="center"/>
          </w:tcPr>
          <w:p>
            <w:pPr>
              <w:pStyle w:val="11"/>
            </w:pPr>
            <w:r>
              <w:t>2581.38</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3</w:t>
            </w:r>
          </w:p>
        </w:tc>
        <w:tc>
          <w:tcPr>
            <w:tcW w:w="1380" w:type="dxa"/>
            <w:vAlign w:val="center"/>
          </w:tcPr>
          <w:p>
            <w:pPr>
              <w:pStyle w:val="12"/>
            </w:pPr>
            <w:r>
              <w:t>20138</w:t>
            </w:r>
          </w:p>
        </w:tc>
        <w:tc>
          <w:tcPr>
            <w:tcW w:w="2070" w:type="dxa"/>
            <w:vAlign w:val="center"/>
          </w:tcPr>
          <w:p>
            <w:pPr>
              <w:pStyle w:val="12"/>
            </w:pPr>
            <w:r>
              <w:t>市场监督管理事务</w:t>
            </w:r>
          </w:p>
        </w:tc>
        <w:tc>
          <w:tcPr>
            <w:tcW w:w="1095" w:type="dxa"/>
            <w:vAlign w:val="center"/>
          </w:tcPr>
          <w:p>
            <w:pPr>
              <w:pStyle w:val="11"/>
            </w:pPr>
            <w:r>
              <w:t>2581.38</w:t>
            </w:r>
          </w:p>
        </w:tc>
        <w:tc>
          <w:tcPr>
            <w:tcW w:w="1020" w:type="dxa"/>
            <w:vAlign w:val="center"/>
          </w:tcPr>
          <w:p>
            <w:pPr>
              <w:pStyle w:val="11"/>
            </w:pPr>
            <w:r>
              <w:t>2581.38</w:t>
            </w:r>
          </w:p>
        </w:tc>
        <w:tc>
          <w:tcPr>
            <w:tcW w:w="1020" w:type="dxa"/>
            <w:vAlign w:val="center"/>
          </w:tcPr>
          <w:p>
            <w:pPr>
              <w:pStyle w:val="11"/>
            </w:pPr>
            <w:r>
              <w:t>2581.38</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4</w:t>
            </w:r>
          </w:p>
        </w:tc>
        <w:tc>
          <w:tcPr>
            <w:tcW w:w="1380" w:type="dxa"/>
            <w:vAlign w:val="center"/>
          </w:tcPr>
          <w:p>
            <w:pPr>
              <w:pStyle w:val="12"/>
            </w:pPr>
            <w:r>
              <w:t>2013801</w:t>
            </w:r>
          </w:p>
        </w:tc>
        <w:tc>
          <w:tcPr>
            <w:tcW w:w="2070" w:type="dxa"/>
            <w:vAlign w:val="center"/>
          </w:tcPr>
          <w:p>
            <w:pPr>
              <w:pStyle w:val="12"/>
            </w:pPr>
            <w:r>
              <w:t>行政运行</w:t>
            </w:r>
          </w:p>
        </w:tc>
        <w:tc>
          <w:tcPr>
            <w:tcW w:w="1095" w:type="dxa"/>
            <w:vAlign w:val="center"/>
          </w:tcPr>
          <w:p>
            <w:pPr>
              <w:pStyle w:val="11"/>
            </w:pPr>
            <w:r>
              <w:t>2001.05</w:t>
            </w:r>
          </w:p>
        </w:tc>
        <w:tc>
          <w:tcPr>
            <w:tcW w:w="1020" w:type="dxa"/>
            <w:vAlign w:val="center"/>
          </w:tcPr>
          <w:p>
            <w:pPr>
              <w:pStyle w:val="11"/>
            </w:pPr>
            <w:r>
              <w:t>2001.05</w:t>
            </w:r>
          </w:p>
        </w:tc>
        <w:tc>
          <w:tcPr>
            <w:tcW w:w="1020" w:type="dxa"/>
            <w:vAlign w:val="center"/>
          </w:tcPr>
          <w:p>
            <w:pPr>
              <w:pStyle w:val="11"/>
            </w:pPr>
            <w:r>
              <w:t>2001.05</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5</w:t>
            </w:r>
          </w:p>
        </w:tc>
        <w:tc>
          <w:tcPr>
            <w:tcW w:w="1380" w:type="dxa"/>
            <w:vAlign w:val="center"/>
          </w:tcPr>
          <w:p>
            <w:pPr>
              <w:pStyle w:val="12"/>
            </w:pPr>
            <w:r>
              <w:t>2013802</w:t>
            </w:r>
          </w:p>
        </w:tc>
        <w:tc>
          <w:tcPr>
            <w:tcW w:w="2070" w:type="dxa"/>
            <w:vAlign w:val="center"/>
          </w:tcPr>
          <w:p>
            <w:pPr>
              <w:pStyle w:val="12"/>
            </w:pPr>
            <w:r>
              <w:t>一般行政管理事务</w:t>
            </w:r>
          </w:p>
        </w:tc>
        <w:tc>
          <w:tcPr>
            <w:tcW w:w="1095" w:type="dxa"/>
            <w:vAlign w:val="center"/>
          </w:tcPr>
          <w:p>
            <w:pPr>
              <w:pStyle w:val="11"/>
            </w:pPr>
            <w:r>
              <w:t>93.00</w:t>
            </w:r>
          </w:p>
        </w:tc>
        <w:tc>
          <w:tcPr>
            <w:tcW w:w="1020" w:type="dxa"/>
            <w:vAlign w:val="center"/>
          </w:tcPr>
          <w:p>
            <w:pPr>
              <w:pStyle w:val="11"/>
            </w:pPr>
            <w:r>
              <w:t>93.00</w:t>
            </w:r>
          </w:p>
        </w:tc>
        <w:tc>
          <w:tcPr>
            <w:tcW w:w="1020" w:type="dxa"/>
            <w:vAlign w:val="center"/>
          </w:tcPr>
          <w:p>
            <w:pPr>
              <w:pStyle w:val="11"/>
            </w:pPr>
            <w:r>
              <w:t>93.00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6</w:t>
            </w:r>
          </w:p>
        </w:tc>
        <w:tc>
          <w:tcPr>
            <w:tcW w:w="1380" w:type="dxa"/>
            <w:vAlign w:val="center"/>
          </w:tcPr>
          <w:p>
            <w:pPr>
              <w:pStyle w:val="12"/>
            </w:pPr>
            <w:r>
              <w:t>2013804</w:t>
            </w:r>
          </w:p>
        </w:tc>
        <w:tc>
          <w:tcPr>
            <w:tcW w:w="2070" w:type="dxa"/>
            <w:vAlign w:val="center"/>
          </w:tcPr>
          <w:p>
            <w:pPr>
              <w:pStyle w:val="12"/>
            </w:pPr>
            <w:r>
              <w:t>市场主体管理</w:t>
            </w:r>
          </w:p>
        </w:tc>
        <w:tc>
          <w:tcPr>
            <w:tcW w:w="1095" w:type="dxa"/>
            <w:vAlign w:val="center"/>
          </w:tcPr>
          <w:p>
            <w:pPr>
              <w:pStyle w:val="11"/>
            </w:pPr>
            <w:r>
              <w:t>43.00</w:t>
            </w:r>
          </w:p>
        </w:tc>
        <w:tc>
          <w:tcPr>
            <w:tcW w:w="1020" w:type="dxa"/>
            <w:vAlign w:val="center"/>
          </w:tcPr>
          <w:p>
            <w:pPr>
              <w:pStyle w:val="11"/>
            </w:pPr>
            <w:r>
              <w:t>43.00</w:t>
            </w:r>
          </w:p>
        </w:tc>
        <w:tc>
          <w:tcPr>
            <w:tcW w:w="1020" w:type="dxa"/>
            <w:vAlign w:val="center"/>
          </w:tcPr>
          <w:p>
            <w:pPr>
              <w:pStyle w:val="11"/>
            </w:pPr>
            <w:r>
              <w:t>43.00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7</w:t>
            </w:r>
          </w:p>
        </w:tc>
        <w:tc>
          <w:tcPr>
            <w:tcW w:w="1380" w:type="dxa"/>
            <w:vAlign w:val="center"/>
          </w:tcPr>
          <w:p>
            <w:pPr>
              <w:pStyle w:val="12"/>
            </w:pPr>
            <w:r>
              <w:t>2013805</w:t>
            </w:r>
          </w:p>
        </w:tc>
        <w:tc>
          <w:tcPr>
            <w:tcW w:w="2070" w:type="dxa"/>
            <w:vAlign w:val="center"/>
          </w:tcPr>
          <w:p>
            <w:pPr>
              <w:pStyle w:val="12"/>
            </w:pPr>
            <w:r>
              <w:t>市场秩序执法</w:t>
            </w:r>
          </w:p>
        </w:tc>
        <w:tc>
          <w:tcPr>
            <w:tcW w:w="1095" w:type="dxa"/>
            <w:vAlign w:val="center"/>
          </w:tcPr>
          <w:p>
            <w:pPr>
              <w:pStyle w:val="11"/>
            </w:pPr>
            <w:r>
              <w:t>18.00</w:t>
            </w:r>
          </w:p>
        </w:tc>
        <w:tc>
          <w:tcPr>
            <w:tcW w:w="1020" w:type="dxa"/>
            <w:vAlign w:val="center"/>
          </w:tcPr>
          <w:p>
            <w:pPr>
              <w:pStyle w:val="11"/>
            </w:pPr>
            <w:r>
              <w:t>18.00</w:t>
            </w:r>
          </w:p>
        </w:tc>
        <w:tc>
          <w:tcPr>
            <w:tcW w:w="1020" w:type="dxa"/>
            <w:vAlign w:val="center"/>
          </w:tcPr>
          <w:p>
            <w:pPr>
              <w:pStyle w:val="11"/>
            </w:pPr>
            <w:r>
              <w:t>18.00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8</w:t>
            </w:r>
          </w:p>
        </w:tc>
        <w:tc>
          <w:tcPr>
            <w:tcW w:w="1380" w:type="dxa"/>
            <w:vAlign w:val="center"/>
          </w:tcPr>
          <w:p>
            <w:pPr>
              <w:pStyle w:val="12"/>
            </w:pPr>
            <w:r>
              <w:t>2013810</w:t>
            </w:r>
          </w:p>
        </w:tc>
        <w:tc>
          <w:tcPr>
            <w:tcW w:w="2070" w:type="dxa"/>
            <w:vAlign w:val="center"/>
          </w:tcPr>
          <w:p>
            <w:pPr>
              <w:pStyle w:val="12"/>
            </w:pPr>
            <w:r>
              <w:t>质量基础</w:t>
            </w:r>
          </w:p>
        </w:tc>
        <w:tc>
          <w:tcPr>
            <w:tcW w:w="1095" w:type="dxa"/>
            <w:vAlign w:val="center"/>
          </w:tcPr>
          <w:p>
            <w:pPr>
              <w:pStyle w:val="11"/>
            </w:pPr>
            <w:r>
              <w:t>241.33</w:t>
            </w:r>
          </w:p>
        </w:tc>
        <w:tc>
          <w:tcPr>
            <w:tcW w:w="1020" w:type="dxa"/>
            <w:vAlign w:val="center"/>
          </w:tcPr>
          <w:p>
            <w:pPr>
              <w:pStyle w:val="11"/>
            </w:pPr>
            <w:r>
              <w:t>241.33</w:t>
            </w:r>
          </w:p>
        </w:tc>
        <w:tc>
          <w:tcPr>
            <w:tcW w:w="1020" w:type="dxa"/>
            <w:vAlign w:val="center"/>
          </w:tcPr>
          <w:p>
            <w:pPr>
              <w:pStyle w:val="11"/>
            </w:pPr>
            <w:r>
              <w:t>241.33</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9</w:t>
            </w:r>
          </w:p>
        </w:tc>
        <w:tc>
          <w:tcPr>
            <w:tcW w:w="1380" w:type="dxa"/>
            <w:vAlign w:val="center"/>
          </w:tcPr>
          <w:p>
            <w:pPr>
              <w:pStyle w:val="12"/>
            </w:pPr>
            <w:r>
              <w:t>2013815</w:t>
            </w:r>
          </w:p>
        </w:tc>
        <w:tc>
          <w:tcPr>
            <w:tcW w:w="2070" w:type="dxa"/>
            <w:vAlign w:val="center"/>
          </w:tcPr>
          <w:p>
            <w:pPr>
              <w:pStyle w:val="12"/>
            </w:pPr>
            <w:r>
              <w:t>质量安全监管</w:t>
            </w:r>
          </w:p>
        </w:tc>
        <w:tc>
          <w:tcPr>
            <w:tcW w:w="1095" w:type="dxa"/>
            <w:vAlign w:val="center"/>
          </w:tcPr>
          <w:p>
            <w:pPr>
              <w:pStyle w:val="11"/>
            </w:pPr>
            <w:r>
              <w:t>30.00</w:t>
            </w:r>
          </w:p>
        </w:tc>
        <w:tc>
          <w:tcPr>
            <w:tcW w:w="1020" w:type="dxa"/>
            <w:vAlign w:val="center"/>
          </w:tcPr>
          <w:p>
            <w:pPr>
              <w:pStyle w:val="11"/>
            </w:pPr>
            <w:r>
              <w:t>30.00</w:t>
            </w:r>
          </w:p>
        </w:tc>
        <w:tc>
          <w:tcPr>
            <w:tcW w:w="1020" w:type="dxa"/>
            <w:vAlign w:val="center"/>
          </w:tcPr>
          <w:p>
            <w:pPr>
              <w:pStyle w:val="11"/>
            </w:pPr>
            <w:r>
              <w:t>30.00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10</w:t>
            </w:r>
          </w:p>
        </w:tc>
        <w:tc>
          <w:tcPr>
            <w:tcW w:w="1380" w:type="dxa"/>
            <w:vAlign w:val="center"/>
          </w:tcPr>
          <w:p>
            <w:pPr>
              <w:pStyle w:val="12"/>
            </w:pPr>
            <w:r>
              <w:t>2013816</w:t>
            </w:r>
          </w:p>
        </w:tc>
        <w:tc>
          <w:tcPr>
            <w:tcW w:w="2070" w:type="dxa"/>
            <w:vAlign w:val="center"/>
          </w:tcPr>
          <w:p>
            <w:pPr>
              <w:pStyle w:val="12"/>
            </w:pPr>
            <w:r>
              <w:t>食品安全监管</w:t>
            </w:r>
          </w:p>
        </w:tc>
        <w:tc>
          <w:tcPr>
            <w:tcW w:w="1095" w:type="dxa"/>
            <w:vAlign w:val="center"/>
          </w:tcPr>
          <w:p>
            <w:pPr>
              <w:pStyle w:val="11"/>
            </w:pPr>
            <w:r>
              <w:t>141.00</w:t>
            </w:r>
          </w:p>
        </w:tc>
        <w:tc>
          <w:tcPr>
            <w:tcW w:w="1020" w:type="dxa"/>
            <w:vAlign w:val="center"/>
          </w:tcPr>
          <w:p>
            <w:pPr>
              <w:pStyle w:val="11"/>
            </w:pPr>
            <w:r>
              <w:t>141.00</w:t>
            </w:r>
          </w:p>
        </w:tc>
        <w:tc>
          <w:tcPr>
            <w:tcW w:w="1020" w:type="dxa"/>
            <w:vAlign w:val="center"/>
          </w:tcPr>
          <w:p>
            <w:pPr>
              <w:pStyle w:val="11"/>
            </w:pPr>
            <w:r>
              <w:t>141.00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80" w:type="dxa"/>
            <w:vAlign w:val="center"/>
          </w:tcPr>
          <w:p>
            <w:pPr>
              <w:pStyle w:val="13"/>
            </w:pPr>
            <w:r>
              <w:t>11</w:t>
            </w:r>
          </w:p>
        </w:tc>
        <w:tc>
          <w:tcPr>
            <w:tcW w:w="1380" w:type="dxa"/>
            <w:vAlign w:val="center"/>
          </w:tcPr>
          <w:p>
            <w:pPr>
              <w:pStyle w:val="12"/>
            </w:pPr>
            <w:r>
              <w:t>2013899</w:t>
            </w:r>
          </w:p>
        </w:tc>
        <w:tc>
          <w:tcPr>
            <w:tcW w:w="2070" w:type="dxa"/>
            <w:vAlign w:val="center"/>
          </w:tcPr>
          <w:p>
            <w:pPr>
              <w:pStyle w:val="12"/>
            </w:pPr>
            <w:r>
              <w:t>其他市场监督管理事务</w:t>
            </w:r>
          </w:p>
        </w:tc>
        <w:tc>
          <w:tcPr>
            <w:tcW w:w="1095" w:type="dxa"/>
            <w:vAlign w:val="center"/>
          </w:tcPr>
          <w:p>
            <w:pPr>
              <w:pStyle w:val="11"/>
            </w:pPr>
            <w:r>
              <w:t>14.00</w:t>
            </w:r>
          </w:p>
        </w:tc>
        <w:tc>
          <w:tcPr>
            <w:tcW w:w="1020" w:type="dxa"/>
            <w:vAlign w:val="center"/>
          </w:tcPr>
          <w:p>
            <w:pPr>
              <w:pStyle w:val="11"/>
            </w:pPr>
            <w:r>
              <w:t>14.00</w:t>
            </w:r>
          </w:p>
        </w:tc>
        <w:tc>
          <w:tcPr>
            <w:tcW w:w="1020" w:type="dxa"/>
            <w:vAlign w:val="center"/>
          </w:tcPr>
          <w:p>
            <w:pPr>
              <w:pStyle w:val="11"/>
            </w:pPr>
            <w:r>
              <w:t>14.00</w:t>
            </w:r>
          </w:p>
        </w:tc>
        <w:tc>
          <w:tcPr>
            <w:tcW w:w="915" w:type="dxa"/>
            <w:vAlign w:val="center"/>
          </w:tcPr>
          <w:p>
            <w:pPr>
              <w:pStyle w:val="11"/>
            </w:pPr>
          </w:p>
        </w:tc>
        <w:tc>
          <w:tcPr>
            <w:tcW w:w="660" w:type="dxa"/>
            <w:vAlign w:val="center"/>
          </w:tcPr>
          <w:p>
            <w:pPr>
              <w:pStyle w:val="11"/>
            </w:pPr>
          </w:p>
        </w:tc>
        <w:tc>
          <w:tcPr>
            <w:tcW w:w="735" w:type="dxa"/>
            <w:vAlign w:val="center"/>
          </w:tcPr>
          <w:p>
            <w:pPr>
              <w:pStyle w:val="11"/>
            </w:pPr>
          </w:p>
        </w:tc>
        <w:tc>
          <w:tcPr>
            <w:tcW w:w="1155" w:type="dxa"/>
            <w:vAlign w:val="center"/>
          </w:tcPr>
          <w:p>
            <w:pPr>
              <w:pStyle w:val="11"/>
            </w:pPr>
          </w:p>
        </w:tc>
        <w:tc>
          <w:tcPr>
            <w:tcW w:w="1290" w:type="dxa"/>
            <w:vAlign w:val="center"/>
          </w:tcPr>
          <w:p>
            <w:pPr>
              <w:pStyle w:val="11"/>
            </w:pPr>
          </w:p>
        </w:tc>
        <w:tc>
          <w:tcPr>
            <w:tcW w:w="1095" w:type="dxa"/>
            <w:vAlign w:val="center"/>
          </w:tcPr>
          <w:p>
            <w:pPr>
              <w:pStyle w:val="11"/>
            </w:pPr>
          </w:p>
        </w:tc>
        <w:tc>
          <w:tcPr>
            <w:tcW w:w="1200" w:type="dxa"/>
            <w:vAlign w:val="center"/>
          </w:tcPr>
          <w:p>
            <w:pPr>
              <w:pStyle w:val="11"/>
            </w:pPr>
          </w:p>
        </w:tc>
      </w:tr>
    </w:tbl>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单位预算收入总表</w:t>
      </w:r>
    </w:p>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4"/>
        <w:rPr>
          <w:rFonts w:hint="default" w:ascii="方正小标宋_GBK" w:hAnsi="方正小标宋_GBK" w:eastAsia="方正小标宋_GBK" w:cs="方正小标宋_GBK"/>
          <w:color w:val="000000"/>
          <w:sz w:val="36"/>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635" w:type="dxa"/>
        <w:jc w:val="center"/>
        <w:tblInd w:w="-47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2"/>
        <w:gridCol w:w="1815"/>
        <w:gridCol w:w="2835"/>
        <w:gridCol w:w="1710"/>
        <w:gridCol w:w="1603"/>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42"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3313"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92" w:type="dxa"/>
            <w:vMerge w:val="restart"/>
            <w:vAlign w:val="center"/>
          </w:tcPr>
          <w:p>
            <w:pPr>
              <w:pStyle w:val="10"/>
            </w:pPr>
            <w:r>
              <w:t>序号</w:t>
            </w:r>
          </w:p>
        </w:tc>
        <w:tc>
          <w:tcPr>
            <w:tcW w:w="4650" w:type="dxa"/>
            <w:gridSpan w:val="2"/>
            <w:vAlign w:val="center"/>
          </w:tcPr>
          <w:p>
            <w:pPr>
              <w:pStyle w:val="10"/>
            </w:pPr>
            <w:r>
              <w:t>功能分类科目</w:t>
            </w:r>
          </w:p>
        </w:tc>
        <w:tc>
          <w:tcPr>
            <w:tcW w:w="1710" w:type="dxa"/>
            <w:vMerge w:val="restart"/>
            <w:vAlign w:val="center"/>
          </w:tcPr>
          <w:p>
            <w:pPr>
              <w:pStyle w:val="10"/>
            </w:pPr>
            <w:r>
              <w:t>合计</w:t>
            </w:r>
          </w:p>
        </w:tc>
        <w:tc>
          <w:tcPr>
            <w:tcW w:w="1603"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92" w:type="dxa"/>
            <w:vMerge w:val="continue"/>
          </w:tcPr>
          <w:p/>
        </w:tc>
        <w:tc>
          <w:tcPr>
            <w:tcW w:w="1815" w:type="dxa"/>
            <w:vAlign w:val="center"/>
          </w:tcPr>
          <w:p>
            <w:pPr>
              <w:pStyle w:val="10"/>
            </w:pPr>
            <w:r>
              <w:t>科目    编码</w:t>
            </w:r>
          </w:p>
        </w:tc>
        <w:tc>
          <w:tcPr>
            <w:tcW w:w="2835" w:type="dxa"/>
            <w:vAlign w:val="center"/>
          </w:tcPr>
          <w:p>
            <w:pPr>
              <w:pStyle w:val="10"/>
            </w:pPr>
            <w:r>
              <w:t>科目名称</w:t>
            </w:r>
          </w:p>
        </w:tc>
        <w:tc>
          <w:tcPr>
            <w:tcW w:w="1710" w:type="dxa"/>
            <w:vMerge w:val="continue"/>
          </w:tcPr>
          <w:p/>
        </w:tc>
        <w:tc>
          <w:tcPr>
            <w:tcW w:w="1603"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92" w:type="dxa"/>
            <w:vAlign w:val="center"/>
          </w:tcPr>
          <w:p>
            <w:pPr>
              <w:pStyle w:val="10"/>
            </w:pPr>
            <w:r>
              <w:t>栏次</w:t>
            </w:r>
          </w:p>
        </w:tc>
        <w:tc>
          <w:tcPr>
            <w:tcW w:w="1815" w:type="dxa"/>
            <w:vAlign w:val="center"/>
          </w:tcPr>
          <w:p>
            <w:pPr>
              <w:pStyle w:val="10"/>
            </w:pPr>
            <w:r>
              <w:t>1</w:t>
            </w:r>
          </w:p>
        </w:tc>
        <w:tc>
          <w:tcPr>
            <w:tcW w:w="2835" w:type="dxa"/>
            <w:vAlign w:val="center"/>
          </w:tcPr>
          <w:p>
            <w:pPr>
              <w:pStyle w:val="10"/>
            </w:pPr>
            <w:r>
              <w:t>2</w:t>
            </w:r>
          </w:p>
        </w:tc>
        <w:tc>
          <w:tcPr>
            <w:tcW w:w="1710" w:type="dxa"/>
            <w:vAlign w:val="center"/>
          </w:tcPr>
          <w:p>
            <w:pPr>
              <w:pStyle w:val="10"/>
            </w:pPr>
            <w:r>
              <w:t>3</w:t>
            </w:r>
          </w:p>
        </w:tc>
        <w:tc>
          <w:tcPr>
            <w:tcW w:w="1603"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1</w:t>
            </w:r>
          </w:p>
        </w:tc>
        <w:tc>
          <w:tcPr>
            <w:tcW w:w="1815" w:type="dxa"/>
            <w:vAlign w:val="center"/>
          </w:tcPr>
          <w:p>
            <w:pPr>
              <w:pStyle w:val="16"/>
            </w:pPr>
          </w:p>
        </w:tc>
        <w:tc>
          <w:tcPr>
            <w:tcW w:w="2835" w:type="dxa"/>
            <w:vAlign w:val="center"/>
          </w:tcPr>
          <w:p>
            <w:pPr>
              <w:pStyle w:val="14"/>
            </w:pPr>
            <w:r>
              <w:t>合计</w:t>
            </w:r>
          </w:p>
        </w:tc>
        <w:tc>
          <w:tcPr>
            <w:tcW w:w="1710" w:type="dxa"/>
            <w:vAlign w:val="center"/>
          </w:tcPr>
          <w:p>
            <w:pPr>
              <w:pStyle w:val="15"/>
            </w:pPr>
            <w:r>
              <w:t>2581.38</w:t>
            </w:r>
          </w:p>
        </w:tc>
        <w:tc>
          <w:tcPr>
            <w:tcW w:w="1603" w:type="dxa"/>
            <w:vAlign w:val="center"/>
          </w:tcPr>
          <w:p>
            <w:pPr>
              <w:pStyle w:val="15"/>
            </w:pPr>
            <w:r>
              <w:t>2001.05</w:t>
            </w:r>
          </w:p>
        </w:tc>
        <w:tc>
          <w:tcPr>
            <w:tcW w:w="1095" w:type="dxa"/>
            <w:vAlign w:val="center"/>
          </w:tcPr>
          <w:p>
            <w:pPr>
              <w:pStyle w:val="15"/>
            </w:pPr>
            <w:r>
              <w:t>580.33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2</w:t>
            </w:r>
          </w:p>
        </w:tc>
        <w:tc>
          <w:tcPr>
            <w:tcW w:w="1815" w:type="dxa"/>
            <w:vAlign w:val="center"/>
          </w:tcPr>
          <w:p>
            <w:pPr>
              <w:pStyle w:val="12"/>
            </w:pPr>
            <w:r>
              <w:t>201</w:t>
            </w:r>
          </w:p>
        </w:tc>
        <w:tc>
          <w:tcPr>
            <w:tcW w:w="2835" w:type="dxa"/>
            <w:vAlign w:val="center"/>
          </w:tcPr>
          <w:p>
            <w:pPr>
              <w:pStyle w:val="12"/>
            </w:pPr>
            <w:r>
              <w:t>一般公共服务支出</w:t>
            </w:r>
          </w:p>
        </w:tc>
        <w:tc>
          <w:tcPr>
            <w:tcW w:w="1710" w:type="dxa"/>
            <w:vAlign w:val="center"/>
          </w:tcPr>
          <w:p>
            <w:pPr>
              <w:pStyle w:val="11"/>
            </w:pPr>
            <w:r>
              <w:t>2581.38</w:t>
            </w:r>
          </w:p>
        </w:tc>
        <w:tc>
          <w:tcPr>
            <w:tcW w:w="1603" w:type="dxa"/>
            <w:vAlign w:val="center"/>
          </w:tcPr>
          <w:p>
            <w:pPr>
              <w:pStyle w:val="11"/>
            </w:pPr>
            <w:r>
              <w:t>2001.05</w:t>
            </w:r>
          </w:p>
        </w:tc>
        <w:tc>
          <w:tcPr>
            <w:tcW w:w="1095" w:type="dxa"/>
            <w:vAlign w:val="center"/>
          </w:tcPr>
          <w:p>
            <w:pPr>
              <w:pStyle w:val="11"/>
            </w:pPr>
            <w:r>
              <w:t>580.33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3</w:t>
            </w:r>
          </w:p>
        </w:tc>
        <w:tc>
          <w:tcPr>
            <w:tcW w:w="1815" w:type="dxa"/>
            <w:vAlign w:val="center"/>
          </w:tcPr>
          <w:p>
            <w:pPr>
              <w:pStyle w:val="12"/>
            </w:pPr>
            <w:r>
              <w:t>20138</w:t>
            </w:r>
          </w:p>
        </w:tc>
        <w:tc>
          <w:tcPr>
            <w:tcW w:w="2835" w:type="dxa"/>
            <w:vAlign w:val="center"/>
          </w:tcPr>
          <w:p>
            <w:pPr>
              <w:pStyle w:val="12"/>
            </w:pPr>
            <w:r>
              <w:t>市场监督管理事务</w:t>
            </w:r>
          </w:p>
        </w:tc>
        <w:tc>
          <w:tcPr>
            <w:tcW w:w="1710" w:type="dxa"/>
            <w:vAlign w:val="center"/>
          </w:tcPr>
          <w:p>
            <w:pPr>
              <w:pStyle w:val="11"/>
            </w:pPr>
            <w:r>
              <w:t>2581.38</w:t>
            </w:r>
          </w:p>
        </w:tc>
        <w:tc>
          <w:tcPr>
            <w:tcW w:w="1603" w:type="dxa"/>
            <w:vAlign w:val="center"/>
          </w:tcPr>
          <w:p>
            <w:pPr>
              <w:pStyle w:val="11"/>
            </w:pPr>
            <w:r>
              <w:t>2001.05</w:t>
            </w:r>
          </w:p>
        </w:tc>
        <w:tc>
          <w:tcPr>
            <w:tcW w:w="1095" w:type="dxa"/>
            <w:vAlign w:val="center"/>
          </w:tcPr>
          <w:p>
            <w:pPr>
              <w:pStyle w:val="11"/>
            </w:pPr>
            <w:r>
              <w:t>580.33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4</w:t>
            </w:r>
          </w:p>
        </w:tc>
        <w:tc>
          <w:tcPr>
            <w:tcW w:w="1815" w:type="dxa"/>
            <w:vAlign w:val="center"/>
          </w:tcPr>
          <w:p>
            <w:pPr>
              <w:pStyle w:val="12"/>
            </w:pPr>
            <w:r>
              <w:t>2013801</w:t>
            </w:r>
          </w:p>
        </w:tc>
        <w:tc>
          <w:tcPr>
            <w:tcW w:w="2835" w:type="dxa"/>
            <w:vAlign w:val="center"/>
          </w:tcPr>
          <w:p>
            <w:pPr>
              <w:pStyle w:val="12"/>
            </w:pPr>
            <w:r>
              <w:t>行政运行</w:t>
            </w:r>
          </w:p>
        </w:tc>
        <w:tc>
          <w:tcPr>
            <w:tcW w:w="1710" w:type="dxa"/>
            <w:vAlign w:val="center"/>
          </w:tcPr>
          <w:p>
            <w:pPr>
              <w:pStyle w:val="11"/>
            </w:pPr>
            <w:r>
              <w:t>2001.05</w:t>
            </w:r>
          </w:p>
        </w:tc>
        <w:tc>
          <w:tcPr>
            <w:tcW w:w="1603" w:type="dxa"/>
            <w:vAlign w:val="center"/>
          </w:tcPr>
          <w:p>
            <w:pPr>
              <w:pStyle w:val="11"/>
            </w:pPr>
            <w:r>
              <w:t>2001.05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5</w:t>
            </w:r>
          </w:p>
        </w:tc>
        <w:tc>
          <w:tcPr>
            <w:tcW w:w="1815" w:type="dxa"/>
            <w:vAlign w:val="center"/>
          </w:tcPr>
          <w:p>
            <w:pPr>
              <w:pStyle w:val="12"/>
            </w:pPr>
            <w:r>
              <w:t>2013802</w:t>
            </w:r>
          </w:p>
        </w:tc>
        <w:tc>
          <w:tcPr>
            <w:tcW w:w="2835" w:type="dxa"/>
            <w:vAlign w:val="center"/>
          </w:tcPr>
          <w:p>
            <w:pPr>
              <w:pStyle w:val="12"/>
            </w:pPr>
            <w:r>
              <w:t>一般行政管理事务</w:t>
            </w:r>
          </w:p>
        </w:tc>
        <w:tc>
          <w:tcPr>
            <w:tcW w:w="1710" w:type="dxa"/>
            <w:vAlign w:val="center"/>
          </w:tcPr>
          <w:p>
            <w:pPr>
              <w:pStyle w:val="11"/>
            </w:pPr>
            <w:r>
              <w:t>93.00</w:t>
            </w:r>
          </w:p>
        </w:tc>
        <w:tc>
          <w:tcPr>
            <w:tcW w:w="1603" w:type="dxa"/>
            <w:vAlign w:val="center"/>
          </w:tcPr>
          <w:p>
            <w:pPr>
              <w:pStyle w:val="11"/>
            </w:pPr>
          </w:p>
        </w:tc>
        <w:tc>
          <w:tcPr>
            <w:tcW w:w="1095" w:type="dxa"/>
            <w:vAlign w:val="center"/>
          </w:tcPr>
          <w:p>
            <w:pPr>
              <w:pStyle w:val="11"/>
            </w:pPr>
            <w:r>
              <w:t>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6</w:t>
            </w:r>
          </w:p>
        </w:tc>
        <w:tc>
          <w:tcPr>
            <w:tcW w:w="1815" w:type="dxa"/>
            <w:vAlign w:val="center"/>
          </w:tcPr>
          <w:p>
            <w:pPr>
              <w:pStyle w:val="12"/>
            </w:pPr>
            <w:r>
              <w:t>2013804</w:t>
            </w:r>
          </w:p>
        </w:tc>
        <w:tc>
          <w:tcPr>
            <w:tcW w:w="2835" w:type="dxa"/>
            <w:vAlign w:val="center"/>
          </w:tcPr>
          <w:p>
            <w:pPr>
              <w:pStyle w:val="12"/>
            </w:pPr>
            <w:r>
              <w:t>市场主体管理</w:t>
            </w:r>
          </w:p>
        </w:tc>
        <w:tc>
          <w:tcPr>
            <w:tcW w:w="1710" w:type="dxa"/>
            <w:vAlign w:val="center"/>
          </w:tcPr>
          <w:p>
            <w:pPr>
              <w:pStyle w:val="11"/>
            </w:pPr>
            <w:r>
              <w:t>43.00</w:t>
            </w:r>
          </w:p>
        </w:tc>
        <w:tc>
          <w:tcPr>
            <w:tcW w:w="1603"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7</w:t>
            </w:r>
          </w:p>
        </w:tc>
        <w:tc>
          <w:tcPr>
            <w:tcW w:w="1815" w:type="dxa"/>
            <w:vAlign w:val="center"/>
          </w:tcPr>
          <w:p>
            <w:pPr>
              <w:pStyle w:val="12"/>
            </w:pPr>
            <w:r>
              <w:t>2013805</w:t>
            </w:r>
          </w:p>
        </w:tc>
        <w:tc>
          <w:tcPr>
            <w:tcW w:w="2835" w:type="dxa"/>
            <w:vAlign w:val="center"/>
          </w:tcPr>
          <w:p>
            <w:pPr>
              <w:pStyle w:val="12"/>
            </w:pPr>
            <w:r>
              <w:t>市场秩序执法</w:t>
            </w:r>
          </w:p>
        </w:tc>
        <w:tc>
          <w:tcPr>
            <w:tcW w:w="1710" w:type="dxa"/>
            <w:vAlign w:val="center"/>
          </w:tcPr>
          <w:p>
            <w:pPr>
              <w:pStyle w:val="11"/>
            </w:pPr>
            <w:r>
              <w:t>18.00</w:t>
            </w:r>
          </w:p>
        </w:tc>
        <w:tc>
          <w:tcPr>
            <w:tcW w:w="1603" w:type="dxa"/>
            <w:vAlign w:val="center"/>
          </w:tcPr>
          <w:p>
            <w:pPr>
              <w:pStyle w:val="11"/>
            </w:pPr>
          </w:p>
        </w:tc>
        <w:tc>
          <w:tcPr>
            <w:tcW w:w="1095" w:type="dxa"/>
            <w:vAlign w:val="center"/>
          </w:tcPr>
          <w:p>
            <w:pPr>
              <w:pStyle w:val="11"/>
            </w:pPr>
            <w:r>
              <w:t>18.00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8</w:t>
            </w:r>
          </w:p>
        </w:tc>
        <w:tc>
          <w:tcPr>
            <w:tcW w:w="1815" w:type="dxa"/>
            <w:vAlign w:val="center"/>
          </w:tcPr>
          <w:p>
            <w:pPr>
              <w:pStyle w:val="12"/>
            </w:pPr>
            <w:r>
              <w:t>2013810</w:t>
            </w:r>
          </w:p>
        </w:tc>
        <w:tc>
          <w:tcPr>
            <w:tcW w:w="2835" w:type="dxa"/>
            <w:vAlign w:val="center"/>
          </w:tcPr>
          <w:p>
            <w:pPr>
              <w:pStyle w:val="12"/>
            </w:pPr>
            <w:r>
              <w:t>质量基础</w:t>
            </w:r>
          </w:p>
        </w:tc>
        <w:tc>
          <w:tcPr>
            <w:tcW w:w="1710" w:type="dxa"/>
            <w:vAlign w:val="center"/>
          </w:tcPr>
          <w:p>
            <w:pPr>
              <w:pStyle w:val="11"/>
            </w:pPr>
            <w:r>
              <w:t>241.33</w:t>
            </w:r>
          </w:p>
        </w:tc>
        <w:tc>
          <w:tcPr>
            <w:tcW w:w="1603" w:type="dxa"/>
            <w:vAlign w:val="center"/>
          </w:tcPr>
          <w:p>
            <w:pPr>
              <w:pStyle w:val="11"/>
            </w:pPr>
          </w:p>
        </w:tc>
        <w:tc>
          <w:tcPr>
            <w:tcW w:w="1095" w:type="dxa"/>
            <w:vAlign w:val="center"/>
          </w:tcPr>
          <w:p>
            <w:pPr>
              <w:pStyle w:val="11"/>
            </w:pPr>
            <w:r>
              <w:t>241.33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9</w:t>
            </w:r>
          </w:p>
        </w:tc>
        <w:tc>
          <w:tcPr>
            <w:tcW w:w="1815" w:type="dxa"/>
            <w:vAlign w:val="center"/>
          </w:tcPr>
          <w:p>
            <w:pPr>
              <w:pStyle w:val="12"/>
            </w:pPr>
            <w:r>
              <w:t>2013815</w:t>
            </w:r>
          </w:p>
        </w:tc>
        <w:tc>
          <w:tcPr>
            <w:tcW w:w="2835" w:type="dxa"/>
            <w:vAlign w:val="center"/>
          </w:tcPr>
          <w:p>
            <w:pPr>
              <w:pStyle w:val="12"/>
            </w:pPr>
            <w:r>
              <w:t>质量安全监管</w:t>
            </w:r>
          </w:p>
        </w:tc>
        <w:tc>
          <w:tcPr>
            <w:tcW w:w="1710" w:type="dxa"/>
            <w:vAlign w:val="center"/>
          </w:tcPr>
          <w:p>
            <w:pPr>
              <w:pStyle w:val="11"/>
            </w:pPr>
            <w:r>
              <w:t>30.00</w:t>
            </w:r>
          </w:p>
        </w:tc>
        <w:tc>
          <w:tcPr>
            <w:tcW w:w="1603"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10</w:t>
            </w:r>
          </w:p>
        </w:tc>
        <w:tc>
          <w:tcPr>
            <w:tcW w:w="1815" w:type="dxa"/>
            <w:vAlign w:val="center"/>
          </w:tcPr>
          <w:p>
            <w:pPr>
              <w:pStyle w:val="12"/>
            </w:pPr>
            <w:r>
              <w:t>2013816</w:t>
            </w:r>
          </w:p>
        </w:tc>
        <w:tc>
          <w:tcPr>
            <w:tcW w:w="2835" w:type="dxa"/>
            <w:vAlign w:val="center"/>
          </w:tcPr>
          <w:p>
            <w:pPr>
              <w:pStyle w:val="12"/>
            </w:pPr>
            <w:r>
              <w:t>食品安全监管</w:t>
            </w:r>
          </w:p>
        </w:tc>
        <w:tc>
          <w:tcPr>
            <w:tcW w:w="1710" w:type="dxa"/>
            <w:vAlign w:val="center"/>
          </w:tcPr>
          <w:p>
            <w:pPr>
              <w:pStyle w:val="11"/>
            </w:pPr>
            <w:r>
              <w:t>141.00</w:t>
            </w:r>
          </w:p>
        </w:tc>
        <w:tc>
          <w:tcPr>
            <w:tcW w:w="1603" w:type="dxa"/>
            <w:vAlign w:val="center"/>
          </w:tcPr>
          <w:p>
            <w:pPr>
              <w:pStyle w:val="11"/>
            </w:pPr>
          </w:p>
        </w:tc>
        <w:tc>
          <w:tcPr>
            <w:tcW w:w="1095" w:type="dxa"/>
            <w:vAlign w:val="center"/>
          </w:tcPr>
          <w:p>
            <w:pPr>
              <w:pStyle w:val="11"/>
            </w:pPr>
            <w:r>
              <w:t>141.00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92" w:type="dxa"/>
            <w:vAlign w:val="center"/>
          </w:tcPr>
          <w:p>
            <w:pPr>
              <w:pStyle w:val="13"/>
            </w:pPr>
            <w:r>
              <w:t>11</w:t>
            </w:r>
          </w:p>
        </w:tc>
        <w:tc>
          <w:tcPr>
            <w:tcW w:w="1815" w:type="dxa"/>
            <w:vAlign w:val="center"/>
          </w:tcPr>
          <w:p>
            <w:pPr>
              <w:pStyle w:val="12"/>
            </w:pPr>
            <w:r>
              <w:t>2013899</w:t>
            </w:r>
          </w:p>
        </w:tc>
        <w:tc>
          <w:tcPr>
            <w:tcW w:w="2835" w:type="dxa"/>
            <w:vAlign w:val="center"/>
          </w:tcPr>
          <w:p>
            <w:pPr>
              <w:pStyle w:val="12"/>
            </w:pPr>
            <w:r>
              <w:t>其他市场监督管理事务</w:t>
            </w:r>
          </w:p>
        </w:tc>
        <w:tc>
          <w:tcPr>
            <w:tcW w:w="1710" w:type="dxa"/>
            <w:vAlign w:val="center"/>
          </w:tcPr>
          <w:p>
            <w:pPr>
              <w:pStyle w:val="11"/>
            </w:pPr>
            <w:r>
              <w:t>14.00</w:t>
            </w:r>
          </w:p>
        </w:tc>
        <w:tc>
          <w:tcPr>
            <w:tcW w:w="1603" w:type="dxa"/>
            <w:vAlign w:val="center"/>
          </w:tcPr>
          <w:p>
            <w:pPr>
              <w:pStyle w:val="11"/>
            </w:pPr>
          </w:p>
        </w:tc>
        <w:tc>
          <w:tcPr>
            <w:tcW w:w="1095" w:type="dxa"/>
            <w:vAlign w:val="center"/>
          </w:tcPr>
          <w:p>
            <w:pPr>
              <w:pStyle w:val="11"/>
            </w:pPr>
            <w:r>
              <w:t>14.00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098" w:type="dxa"/>
        <w:jc w:val="center"/>
        <w:tblInd w:w="-42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2940"/>
        <w:gridCol w:w="1725"/>
        <w:gridCol w:w="3465"/>
        <w:gridCol w:w="1433"/>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04"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3465" w:type="dxa"/>
            <w:tcBorders>
              <w:top w:val="single" w:color="FFFFFF" w:sz="6" w:space="0"/>
              <w:left w:val="single" w:color="FFFFFF" w:sz="6" w:space="0"/>
              <w:right w:val="single" w:color="FFFFFF" w:sz="6" w:space="0"/>
            </w:tcBorders>
            <w:vAlign w:val="center"/>
          </w:tcPr>
          <w:p>
            <w:pPr>
              <w:pStyle w:val="8"/>
            </w:pPr>
            <w:r>
              <w:t>预算年度：2023</w:t>
            </w:r>
          </w:p>
        </w:tc>
        <w:tc>
          <w:tcPr>
            <w:tcW w:w="512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10"/>
            </w:pPr>
            <w:r>
              <w:t>序号</w:t>
            </w:r>
          </w:p>
        </w:tc>
        <w:tc>
          <w:tcPr>
            <w:tcW w:w="4665" w:type="dxa"/>
            <w:gridSpan w:val="2"/>
            <w:vAlign w:val="center"/>
          </w:tcPr>
          <w:p>
            <w:pPr>
              <w:pStyle w:val="10"/>
            </w:pPr>
            <w:r>
              <w:t>收入</w:t>
            </w:r>
          </w:p>
        </w:tc>
        <w:tc>
          <w:tcPr>
            <w:tcW w:w="859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9" w:type="dxa"/>
            <w:vMerge w:val="continue"/>
          </w:tcPr>
          <w:p/>
        </w:tc>
        <w:tc>
          <w:tcPr>
            <w:tcW w:w="2940" w:type="dxa"/>
            <w:vAlign w:val="center"/>
          </w:tcPr>
          <w:p>
            <w:pPr>
              <w:pStyle w:val="10"/>
            </w:pPr>
            <w:r>
              <w:t>项  目</w:t>
            </w:r>
          </w:p>
        </w:tc>
        <w:tc>
          <w:tcPr>
            <w:tcW w:w="1725" w:type="dxa"/>
            <w:vAlign w:val="center"/>
          </w:tcPr>
          <w:p>
            <w:pPr>
              <w:pStyle w:val="10"/>
            </w:pPr>
            <w:r>
              <w:t>金额</w:t>
            </w:r>
          </w:p>
        </w:tc>
        <w:tc>
          <w:tcPr>
            <w:tcW w:w="3465" w:type="dxa"/>
            <w:vAlign w:val="center"/>
          </w:tcPr>
          <w:p>
            <w:pPr>
              <w:pStyle w:val="10"/>
            </w:pPr>
            <w:r>
              <w:t>项  目</w:t>
            </w:r>
          </w:p>
        </w:tc>
        <w:tc>
          <w:tcPr>
            <w:tcW w:w="1433"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9" w:type="dxa"/>
            <w:vAlign w:val="center"/>
          </w:tcPr>
          <w:p>
            <w:pPr>
              <w:pStyle w:val="10"/>
            </w:pPr>
            <w:r>
              <w:t>栏次</w:t>
            </w:r>
          </w:p>
        </w:tc>
        <w:tc>
          <w:tcPr>
            <w:tcW w:w="2940" w:type="dxa"/>
            <w:vAlign w:val="center"/>
          </w:tcPr>
          <w:p>
            <w:pPr>
              <w:pStyle w:val="10"/>
            </w:pPr>
            <w:r>
              <w:t>1</w:t>
            </w:r>
          </w:p>
        </w:tc>
        <w:tc>
          <w:tcPr>
            <w:tcW w:w="1725" w:type="dxa"/>
            <w:vAlign w:val="center"/>
          </w:tcPr>
          <w:p>
            <w:pPr>
              <w:pStyle w:val="10"/>
            </w:pPr>
            <w:r>
              <w:t>2</w:t>
            </w:r>
          </w:p>
        </w:tc>
        <w:tc>
          <w:tcPr>
            <w:tcW w:w="3465" w:type="dxa"/>
            <w:vAlign w:val="center"/>
          </w:tcPr>
          <w:p>
            <w:pPr>
              <w:pStyle w:val="10"/>
            </w:pPr>
            <w:r>
              <w:t>3</w:t>
            </w:r>
          </w:p>
        </w:tc>
        <w:tc>
          <w:tcPr>
            <w:tcW w:w="1433"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w:t>
            </w:r>
          </w:p>
        </w:tc>
        <w:tc>
          <w:tcPr>
            <w:tcW w:w="2940" w:type="dxa"/>
            <w:vAlign w:val="center"/>
          </w:tcPr>
          <w:p>
            <w:pPr>
              <w:pStyle w:val="14"/>
              <w:bidi w:val="0"/>
            </w:pPr>
            <w:r>
              <w:t>一、一般公共预算拨款</w:t>
            </w:r>
          </w:p>
        </w:tc>
        <w:tc>
          <w:tcPr>
            <w:tcW w:w="1725" w:type="dxa"/>
            <w:vAlign w:val="center"/>
          </w:tcPr>
          <w:p>
            <w:pPr>
              <w:pStyle w:val="11"/>
            </w:pPr>
            <w:r>
              <w:t>2581.38</w:t>
            </w:r>
          </w:p>
        </w:tc>
        <w:tc>
          <w:tcPr>
            <w:tcW w:w="3465" w:type="dxa"/>
            <w:vAlign w:val="center"/>
          </w:tcPr>
          <w:p>
            <w:pPr>
              <w:pStyle w:val="12"/>
            </w:pPr>
            <w:r>
              <w:t>一、一般公共服务支出</w:t>
            </w:r>
          </w:p>
        </w:tc>
        <w:tc>
          <w:tcPr>
            <w:tcW w:w="1433" w:type="dxa"/>
            <w:vAlign w:val="center"/>
          </w:tcPr>
          <w:p>
            <w:pPr>
              <w:pStyle w:val="11"/>
            </w:pPr>
            <w:r>
              <w:t>2581.38</w:t>
            </w:r>
          </w:p>
        </w:tc>
        <w:tc>
          <w:tcPr>
            <w:tcW w:w="1232" w:type="dxa"/>
            <w:vAlign w:val="center"/>
          </w:tcPr>
          <w:p>
            <w:pPr>
              <w:pStyle w:val="11"/>
            </w:pPr>
            <w:r>
              <w:t>2581.38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w:t>
            </w:r>
          </w:p>
        </w:tc>
        <w:tc>
          <w:tcPr>
            <w:tcW w:w="2940" w:type="dxa"/>
            <w:vAlign w:val="center"/>
          </w:tcPr>
          <w:p>
            <w:pPr>
              <w:pStyle w:val="12"/>
            </w:pPr>
            <w:r>
              <w:t>二、政府性基金预算拨款</w:t>
            </w:r>
          </w:p>
        </w:tc>
        <w:tc>
          <w:tcPr>
            <w:tcW w:w="1725" w:type="dxa"/>
            <w:vAlign w:val="center"/>
          </w:tcPr>
          <w:p>
            <w:pPr>
              <w:pStyle w:val="11"/>
            </w:pPr>
          </w:p>
        </w:tc>
        <w:tc>
          <w:tcPr>
            <w:tcW w:w="3465" w:type="dxa"/>
            <w:vAlign w:val="center"/>
          </w:tcPr>
          <w:p>
            <w:pPr>
              <w:pStyle w:val="12"/>
            </w:pPr>
            <w:r>
              <w:t>二、外交支出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w:t>
            </w:r>
          </w:p>
        </w:tc>
        <w:tc>
          <w:tcPr>
            <w:tcW w:w="2940" w:type="dxa"/>
            <w:vAlign w:val="center"/>
          </w:tcPr>
          <w:p>
            <w:pPr>
              <w:pStyle w:val="12"/>
            </w:pPr>
            <w:r>
              <w:t>三、国有资本经营预算拨款</w:t>
            </w:r>
          </w:p>
        </w:tc>
        <w:tc>
          <w:tcPr>
            <w:tcW w:w="1725" w:type="dxa"/>
            <w:vAlign w:val="center"/>
          </w:tcPr>
          <w:p>
            <w:pPr>
              <w:pStyle w:val="11"/>
            </w:pPr>
          </w:p>
        </w:tc>
        <w:tc>
          <w:tcPr>
            <w:tcW w:w="3465" w:type="dxa"/>
            <w:vAlign w:val="center"/>
          </w:tcPr>
          <w:p>
            <w:pPr>
              <w:pStyle w:val="12"/>
            </w:pPr>
            <w:r>
              <w:t>三、国防支出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4</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四、公共安全支出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5</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五、教育支出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6</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六、科学技术支出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7</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七、文化旅游体育与传媒支出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8</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八、社会保障和就业支出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9</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九、社会保险基金支出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10</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十、卫生健康支出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11</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十一、节能环保支出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12</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十二、城乡社区支出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13</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十三、农林水支出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14</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十四、交通运输支出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15</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十五、资源勘探工业信息等支出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16</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十六、商业服务业等支出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17</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十七、金融支出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18</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十八、援助其他地区支出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19</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十九、自然资源海洋气象等支出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20</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二十、住房保障支出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21</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二十一、粮油物资储备支出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22</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二十二、国有资本经营预算支出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23</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二十三、灾害防治及应急管理支出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24</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二十四、预备费</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25</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二十五、其他支出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26</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二十六、转移性支出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27</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二十七、债务还本支出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28</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二十八、债务付息支出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29</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二十九、债务发行费用支出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30</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三十、抗疫特别国债安排的支出</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31</w:t>
            </w:r>
          </w:p>
        </w:tc>
        <w:tc>
          <w:tcPr>
            <w:tcW w:w="2940" w:type="dxa"/>
            <w:vAlign w:val="center"/>
          </w:tcPr>
          <w:p>
            <w:pPr>
              <w:pStyle w:val="12"/>
            </w:pPr>
          </w:p>
        </w:tc>
        <w:tc>
          <w:tcPr>
            <w:tcW w:w="1725" w:type="dxa"/>
            <w:vAlign w:val="center"/>
          </w:tcPr>
          <w:p>
            <w:pPr>
              <w:pStyle w:val="11"/>
            </w:pPr>
          </w:p>
        </w:tc>
        <w:tc>
          <w:tcPr>
            <w:tcW w:w="3465" w:type="dxa"/>
            <w:vAlign w:val="center"/>
          </w:tcPr>
          <w:p>
            <w:pPr>
              <w:pStyle w:val="12"/>
            </w:pPr>
            <w:r>
              <w:t>三十一、人行科目</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32</w:t>
            </w:r>
          </w:p>
        </w:tc>
        <w:tc>
          <w:tcPr>
            <w:tcW w:w="2940" w:type="dxa"/>
            <w:vAlign w:val="center"/>
          </w:tcPr>
          <w:p>
            <w:pPr>
              <w:pStyle w:val="14"/>
            </w:pPr>
            <w:r>
              <w:t>本年收入合计</w:t>
            </w:r>
          </w:p>
        </w:tc>
        <w:tc>
          <w:tcPr>
            <w:tcW w:w="1725" w:type="dxa"/>
            <w:vAlign w:val="center"/>
          </w:tcPr>
          <w:p>
            <w:pPr>
              <w:pStyle w:val="15"/>
            </w:pPr>
            <w:r>
              <w:t>2581.38</w:t>
            </w:r>
          </w:p>
        </w:tc>
        <w:tc>
          <w:tcPr>
            <w:tcW w:w="3465" w:type="dxa"/>
            <w:vAlign w:val="center"/>
          </w:tcPr>
          <w:p>
            <w:pPr>
              <w:pStyle w:val="14"/>
            </w:pPr>
            <w:r>
              <w:t>本年支出合计</w:t>
            </w:r>
          </w:p>
        </w:tc>
        <w:tc>
          <w:tcPr>
            <w:tcW w:w="1433" w:type="dxa"/>
            <w:vAlign w:val="center"/>
          </w:tcPr>
          <w:p>
            <w:pPr>
              <w:pStyle w:val="15"/>
            </w:pPr>
            <w:r>
              <w:t>2581.38</w:t>
            </w:r>
          </w:p>
        </w:tc>
        <w:tc>
          <w:tcPr>
            <w:tcW w:w="1232" w:type="dxa"/>
            <w:vAlign w:val="center"/>
          </w:tcPr>
          <w:p>
            <w:pPr>
              <w:pStyle w:val="15"/>
            </w:pPr>
            <w:r>
              <w:t>2581.38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33</w:t>
            </w:r>
          </w:p>
        </w:tc>
        <w:tc>
          <w:tcPr>
            <w:tcW w:w="2940" w:type="dxa"/>
            <w:vAlign w:val="center"/>
          </w:tcPr>
          <w:p>
            <w:pPr>
              <w:pStyle w:val="12"/>
            </w:pPr>
            <w:r>
              <w:t>年初财政拨款结转和结余</w:t>
            </w:r>
          </w:p>
        </w:tc>
        <w:tc>
          <w:tcPr>
            <w:tcW w:w="1725" w:type="dxa"/>
            <w:vAlign w:val="center"/>
          </w:tcPr>
          <w:p>
            <w:pPr>
              <w:pStyle w:val="11"/>
            </w:pPr>
          </w:p>
        </w:tc>
        <w:tc>
          <w:tcPr>
            <w:tcW w:w="3465" w:type="dxa"/>
            <w:vAlign w:val="center"/>
          </w:tcPr>
          <w:p>
            <w:pPr>
              <w:pStyle w:val="12"/>
            </w:pPr>
            <w:r>
              <w:t>年末财政拨款结转和结余</w:t>
            </w: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34</w:t>
            </w:r>
          </w:p>
        </w:tc>
        <w:tc>
          <w:tcPr>
            <w:tcW w:w="2940" w:type="dxa"/>
            <w:vAlign w:val="center"/>
          </w:tcPr>
          <w:p>
            <w:pPr>
              <w:pStyle w:val="12"/>
            </w:pPr>
            <w:r>
              <w:t>一、一般公共预算拨款</w:t>
            </w:r>
          </w:p>
        </w:tc>
        <w:tc>
          <w:tcPr>
            <w:tcW w:w="1725" w:type="dxa"/>
            <w:vAlign w:val="center"/>
          </w:tcPr>
          <w:p>
            <w:pPr>
              <w:pStyle w:val="11"/>
            </w:pPr>
          </w:p>
        </w:tc>
        <w:tc>
          <w:tcPr>
            <w:tcW w:w="3465" w:type="dxa"/>
            <w:vAlign w:val="center"/>
          </w:tcPr>
          <w:p>
            <w:pPr>
              <w:pStyle w:val="12"/>
            </w:pP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35</w:t>
            </w:r>
          </w:p>
        </w:tc>
        <w:tc>
          <w:tcPr>
            <w:tcW w:w="2940" w:type="dxa"/>
            <w:vAlign w:val="center"/>
          </w:tcPr>
          <w:p>
            <w:pPr>
              <w:pStyle w:val="12"/>
            </w:pPr>
            <w:r>
              <w:t>二、政府性基金预算拨款</w:t>
            </w:r>
          </w:p>
        </w:tc>
        <w:tc>
          <w:tcPr>
            <w:tcW w:w="1725" w:type="dxa"/>
            <w:vAlign w:val="center"/>
          </w:tcPr>
          <w:p>
            <w:pPr>
              <w:pStyle w:val="11"/>
            </w:pPr>
          </w:p>
        </w:tc>
        <w:tc>
          <w:tcPr>
            <w:tcW w:w="3465" w:type="dxa"/>
            <w:vAlign w:val="center"/>
          </w:tcPr>
          <w:p>
            <w:pPr>
              <w:pStyle w:val="12"/>
            </w:pP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36</w:t>
            </w:r>
          </w:p>
        </w:tc>
        <w:tc>
          <w:tcPr>
            <w:tcW w:w="2940" w:type="dxa"/>
            <w:vAlign w:val="center"/>
          </w:tcPr>
          <w:p>
            <w:pPr>
              <w:pStyle w:val="12"/>
            </w:pPr>
            <w:r>
              <w:t>三、国有资本经营预算拨款</w:t>
            </w:r>
          </w:p>
        </w:tc>
        <w:tc>
          <w:tcPr>
            <w:tcW w:w="1725" w:type="dxa"/>
            <w:vAlign w:val="center"/>
          </w:tcPr>
          <w:p>
            <w:pPr>
              <w:pStyle w:val="11"/>
            </w:pPr>
          </w:p>
        </w:tc>
        <w:tc>
          <w:tcPr>
            <w:tcW w:w="3465" w:type="dxa"/>
            <w:vAlign w:val="center"/>
          </w:tcPr>
          <w:p>
            <w:pPr>
              <w:pStyle w:val="12"/>
            </w:pPr>
          </w:p>
        </w:tc>
        <w:tc>
          <w:tcPr>
            <w:tcW w:w="1433"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9" w:type="dxa"/>
            <w:vAlign w:val="center"/>
          </w:tcPr>
          <w:p>
            <w:pPr>
              <w:pStyle w:val="13"/>
            </w:pPr>
            <w:r>
              <w:t>37</w:t>
            </w:r>
          </w:p>
        </w:tc>
        <w:tc>
          <w:tcPr>
            <w:tcW w:w="2940" w:type="dxa"/>
            <w:vAlign w:val="center"/>
          </w:tcPr>
          <w:p>
            <w:pPr>
              <w:pStyle w:val="14"/>
            </w:pPr>
            <w:r>
              <w:t>收入总计</w:t>
            </w:r>
          </w:p>
        </w:tc>
        <w:tc>
          <w:tcPr>
            <w:tcW w:w="1725" w:type="dxa"/>
            <w:vAlign w:val="center"/>
          </w:tcPr>
          <w:p>
            <w:pPr>
              <w:pStyle w:val="15"/>
            </w:pPr>
            <w:r>
              <w:t>2581.38</w:t>
            </w:r>
          </w:p>
        </w:tc>
        <w:tc>
          <w:tcPr>
            <w:tcW w:w="3465" w:type="dxa"/>
            <w:vAlign w:val="center"/>
          </w:tcPr>
          <w:p>
            <w:pPr>
              <w:pStyle w:val="14"/>
            </w:pPr>
            <w:r>
              <w:t>支出总计</w:t>
            </w:r>
          </w:p>
        </w:tc>
        <w:tc>
          <w:tcPr>
            <w:tcW w:w="1433" w:type="dxa"/>
            <w:vAlign w:val="center"/>
          </w:tcPr>
          <w:p>
            <w:pPr>
              <w:pStyle w:val="15"/>
            </w:pPr>
            <w:r>
              <w:t>2581.38</w:t>
            </w:r>
          </w:p>
        </w:tc>
        <w:tc>
          <w:tcPr>
            <w:tcW w:w="1232" w:type="dxa"/>
            <w:vAlign w:val="center"/>
          </w:tcPr>
          <w:p>
            <w:pPr>
              <w:pStyle w:val="15"/>
            </w:pPr>
            <w:r>
              <w:t>2581.38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117" w:type="dxa"/>
        <w:jc w:val="center"/>
        <w:tblInd w:w="-42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2526"/>
        <w:gridCol w:w="52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88"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4" w:type="dxa"/>
            <w:vMerge w:val="restart"/>
            <w:vAlign w:val="center"/>
          </w:tcPr>
          <w:p>
            <w:pPr>
              <w:pStyle w:val="10"/>
            </w:pPr>
            <w:r>
              <w:t>序号</w:t>
            </w:r>
          </w:p>
        </w:tc>
        <w:tc>
          <w:tcPr>
            <w:tcW w:w="7754"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4" w:type="dxa"/>
            <w:vMerge w:val="continue"/>
          </w:tcPr>
          <w:p/>
        </w:tc>
        <w:tc>
          <w:tcPr>
            <w:tcW w:w="2526" w:type="dxa"/>
            <w:vAlign w:val="center"/>
          </w:tcPr>
          <w:p>
            <w:pPr>
              <w:pStyle w:val="10"/>
            </w:pPr>
            <w:r>
              <w:t>科目编码</w:t>
            </w:r>
          </w:p>
        </w:tc>
        <w:tc>
          <w:tcPr>
            <w:tcW w:w="5228"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4" w:type="dxa"/>
            <w:vAlign w:val="center"/>
          </w:tcPr>
          <w:p>
            <w:pPr>
              <w:pStyle w:val="10"/>
            </w:pPr>
            <w:r>
              <w:t>栏次</w:t>
            </w:r>
          </w:p>
        </w:tc>
        <w:tc>
          <w:tcPr>
            <w:tcW w:w="2526" w:type="dxa"/>
            <w:vAlign w:val="center"/>
          </w:tcPr>
          <w:p>
            <w:pPr>
              <w:pStyle w:val="10"/>
            </w:pPr>
            <w:r>
              <w:t>1</w:t>
            </w:r>
          </w:p>
        </w:tc>
        <w:tc>
          <w:tcPr>
            <w:tcW w:w="522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1</w:t>
            </w:r>
          </w:p>
        </w:tc>
        <w:tc>
          <w:tcPr>
            <w:tcW w:w="2526" w:type="dxa"/>
            <w:vAlign w:val="center"/>
          </w:tcPr>
          <w:p>
            <w:pPr>
              <w:pStyle w:val="16"/>
            </w:pPr>
          </w:p>
        </w:tc>
        <w:tc>
          <w:tcPr>
            <w:tcW w:w="5228" w:type="dxa"/>
            <w:vAlign w:val="center"/>
          </w:tcPr>
          <w:p>
            <w:pPr>
              <w:pStyle w:val="14"/>
            </w:pPr>
            <w:r>
              <w:t>合计</w:t>
            </w:r>
          </w:p>
        </w:tc>
        <w:tc>
          <w:tcPr>
            <w:tcW w:w="1643" w:type="dxa"/>
            <w:vAlign w:val="center"/>
          </w:tcPr>
          <w:p>
            <w:pPr>
              <w:pStyle w:val="15"/>
            </w:pPr>
            <w:r>
              <w:t>2581.38</w:t>
            </w:r>
          </w:p>
        </w:tc>
        <w:tc>
          <w:tcPr>
            <w:tcW w:w="1643" w:type="dxa"/>
            <w:vAlign w:val="center"/>
          </w:tcPr>
          <w:p>
            <w:pPr>
              <w:pStyle w:val="15"/>
            </w:pPr>
            <w:r>
              <w:t>2001.05</w:t>
            </w:r>
          </w:p>
        </w:tc>
        <w:tc>
          <w:tcPr>
            <w:tcW w:w="1643" w:type="dxa"/>
            <w:vAlign w:val="center"/>
          </w:tcPr>
          <w:p>
            <w:pPr>
              <w:pStyle w:val="15"/>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2</w:t>
            </w:r>
          </w:p>
        </w:tc>
        <w:tc>
          <w:tcPr>
            <w:tcW w:w="2526" w:type="dxa"/>
            <w:vAlign w:val="center"/>
          </w:tcPr>
          <w:p>
            <w:pPr>
              <w:pStyle w:val="12"/>
            </w:pPr>
            <w:r>
              <w:t>201</w:t>
            </w:r>
          </w:p>
        </w:tc>
        <w:tc>
          <w:tcPr>
            <w:tcW w:w="5228" w:type="dxa"/>
            <w:vAlign w:val="center"/>
          </w:tcPr>
          <w:p>
            <w:pPr>
              <w:pStyle w:val="12"/>
            </w:pPr>
            <w:r>
              <w:t>一般公共服务支出</w:t>
            </w:r>
          </w:p>
        </w:tc>
        <w:tc>
          <w:tcPr>
            <w:tcW w:w="1643" w:type="dxa"/>
            <w:vAlign w:val="center"/>
          </w:tcPr>
          <w:p>
            <w:pPr>
              <w:pStyle w:val="11"/>
            </w:pPr>
            <w:r>
              <w:t>2581.38</w:t>
            </w:r>
          </w:p>
        </w:tc>
        <w:tc>
          <w:tcPr>
            <w:tcW w:w="1643" w:type="dxa"/>
            <w:vAlign w:val="center"/>
          </w:tcPr>
          <w:p>
            <w:pPr>
              <w:pStyle w:val="11"/>
            </w:pPr>
            <w:r>
              <w:t>2001.05</w:t>
            </w:r>
          </w:p>
        </w:tc>
        <w:tc>
          <w:tcPr>
            <w:tcW w:w="1643" w:type="dxa"/>
            <w:vAlign w:val="center"/>
          </w:tcPr>
          <w:p>
            <w:pPr>
              <w:pStyle w:val="11"/>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3</w:t>
            </w:r>
          </w:p>
        </w:tc>
        <w:tc>
          <w:tcPr>
            <w:tcW w:w="2526" w:type="dxa"/>
            <w:vAlign w:val="center"/>
          </w:tcPr>
          <w:p>
            <w:pPr>
              <w:pStyle w:val="12"/>
            </w:pPr>
            <w:r>
              <w:t>20138</w:t>
            </w:r>
          </w:p>
        </w:tc>
        <w:tc>
          <w:tcPr>
            <w:tcW w:w="5228" w:type="dxa"/>
            <w:vAlign w:val="center"/>
          </w:tcPr>
          <w:p>
            <w:pPr>
              <w:pStyle w:val="12"/>
            </w:pPr>
            <w:r>
              <w:t>市场监督管理事务</w:t>
            </w:r>
          </w:p>
        </w:tc>
        <w:tc>
          <w:tcPr>
            <w:tcW w:w="1643" w:type="dxa"/>
            <w:vAlign w:val="center"/>
          </w:tcPr>
          <w:p>
            <w:pPr>
              <w:pStyle w:val="11"/>
            </w:pPr>
            <w:r>
              <w:t>2581.38</w:t>
            </w:r>
          </w:p>
        </w:tc>
        <w:tc>
          <w:tcPr>
            <w:tcW w:w="1643" w:type="dxa"/>
            <w:vAlign w:val="center"/>
          </w:tcPr>
          <w:p>
            <w:pPr>
              <w:pStyle w:val="11"/>
            </w:pPr>
            <w:r>
              <w:t>2001.05</w:t>
            </w:r>
          </w:p>
        </w:tc>
        <w:tc>
          <w:tcPr>
            <w:tcW w:w="1643" w:type="dxa"/>
            <w:vAlign w:val="center"/>
          </w:tcPr>
          <w:p>
            <w:pPr>
              <w:pStyle w:val="11"/>
            </w:pPr>
            <w:r>
              <w:t>580.33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4</w:t>
            </w:r>
          </w:p>
        </w:tc>
        <w:tc>
          <w:tcPr>
            <w:tcW w:w="2526" w:type="dxa"/>
            <w:vAlign w:val="center"/>
          </w:tcPr>
          <w:p>
            <w:pPr>
              <w:pStyle w:val="12"/>
            </w:pPr>
            <w:r>
              <w:t>2013801</w:t>
            </w:r>
          </w:p>
        </w:tc>
        <w:tc>
          <w:tcPr>
            <w:tcW w:w="5228" w:type="dxa"/>
            <w:vAlign w:val="center"/>
          </w:tcPr>
          <w:p>
            <w:pPr>
              <w:pStyle w:val="12"/>
            </w:pPr>
            <w:r>
              <w:t>行政运行</w:t>
            </w:r>
          </w:p>
        </w:tc>
        <w:tc>
          <w:tcPr>
            <w:tcW w:w="1643" w:type="dxa"/>
            <w:vAlign w:val="center"/>
          </w:tcPr>
          <w:p>
            <w:pPr>
              <w:pStyle w:val="11"/>
            </w:pPr>
            <w:r>
              <w:t>2001.05</w:t>
            </w:r>
          </w:p>
        </w:tc>
        <w:tc>
          <w:tcPr>
            <w:tcW w:w="1643" w:type="dxa"/>
            <w:vAlign w:val="center"/>
          </w:tcPr>
          <w:p>
            <w:pPr>
              <w:pStyle w:val="11"/>
            </w:pPr>
            <w:r>
              <w:t>2001.05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5</w:t>
            </w:r>
          </w:p>
        </w:tc>
        <w:tc>
          <w:tcPr>
            <w:tcW w:w="2526" w:type="dxa"/>
            <w:vAlign w:val="center"/>
          </w:tcPr>
          <w:p>
            <w:pPr>
              <w:pStyle w:val="12"/>
            </w:pPr>
            <w:r>
              <w:t>2013802</w:t>
            </w:r>
          </w:p>
        </w:tc>
        <w:tc>
          <w:tcPr>
            <w:tcW w:w="5228" w:type="dxa"/>
            <w:vAlign w:val="center"/>
          </w:tcPr>
          <w:p>
            <w:pPr>
              <w:pStyle w:val="12"/>
            </w:pPr>
            <w:r>
              <w:t>一般行政管理事务</w:t>
            </w:r>
          </w:p>
        </w:tc>
        <w:tc>
          <w:tcPr>
            <w:tcW w:w="1643" w:type="dxa"/>
            <w:vAlign w:val="center"/>
          </w:tcPr>
          <w:p>
            <w:pPr>
              <w:pStyle w:val="11"/>
            </w:pPr>
            <w:r>
              <w:t>93.00</w:t>
            </w:r>
          </w:p>
        </w:tc>
        <w:tc>
          <w:tcPr>
            <w:tcW w:w="1643" w:type="dxa"/>
            <w:vAlign w:val="center"/>
          </w:tcPr>
          <w:p>
            <w:pPr>
              <w:pStyle w:val="11"/>
            </w:pPr>
          </w:p>
        </w:tc>
        <w:tc>
          <w:tcPr>
            <w:tcW w:w="1643" w:type="dxa"/>
            <w:vAlign w:val="center"/>
          </w:tcPr>
          <w:p>
            <w:pPr>
              <w:pStyle w:val="11"/>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6</w:t>
            </w:r>
          </w:p>
        </w:tc>
        <w:tc>
          <w:tcPr>
            <w:tcW w:w="2526" w:type="dxa"/>
            <w:vAlign w:val="center"/>
          </w:tcPr>
          <w:p>
            <w:pPr>
              <w:pStyle w:val="12"/>
            </w:pPr>
            <w:r>
              <w:t>2013804</w:t>
            </w:r>
          </w:p>
        </w:tc>
        <w:tc>
          <w:tcPr>
            <w:tcW w:w="5228" w:type="dxa"/>
            <w:vAlign w:val="center"/>
          </w:tcPr>
          <w:p>
            <w:pPr>
              <w:pStyle w:val="12"/>
            </w:pPr>
            <w:r>
              <w:t>市场主体管理</w:t>
            </w:r>
          </w:p>
        </w:tc>
        <w:tc>
          <w:tcPr>
            <w:tcW w:w="1643"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7</w:t>
            </w:r>
          </w:p>
        </w:tc>
        <w:tc>
          <w:tcPr>
            <w:tcW w:w="2526" w:type="dxa"/>
            <w:vAlign w:val="center"/>
          </w:tcPr>
          <w:p>
            <w:pPr>
              <w:pStyle w:val="12"/>
            </w:pPr>
            <w:r>
              <w:t>2013805</w:t>
            </w:r>
          </w:p>
        </w:tc>
        <w:tc>
          <w:tcPr>
            <w:tcW w:w="5228" w:type="dxa"/>
            <w:vAlign w:val="center"/>
          </w:tcPr>
          <w:p>
            <w:pPr>
              <w:pStyle w:val="12"/>
            </w:pPr>
            <w:r>
              <w:t>市场秩序执法</w:t>
            </w:r>
          </w:p>
        </w:tc>
        <w:tc>
          <w:tcPr>
            <w:tcW w:w="1643" w:type="dxa"/>
            <w:vAlign w:val="center"/>
          </w:tcPr>
          <w:p>
            <w:pPr>
              <w:pStyle w:val="11"/>
            </w:pPr>
            <w:r>
              <w:t>18.00</w:t>
            </w:r>
          </w:p>
        </w:tc>
        <w:tc>
          <w:tcPr>
            <w:tcW w:w="1643" w:type="dxa"/>
            <w:vAlign w:val="center"/>
          </w:tcPr>
          <w:p>
            <w:pPr>
              <w:pStyle w:val="11"/>
            </w:pPr>
          </w:p>
        </w:tc>
        <w:tc>
          <w:tcPr>
            <w:tcW w:w="1643"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8</w:t>
            </w:r>
          </w:p>
        </w:tc>
        <w:tc>
          <w:tcPr>
            <w:tcW w:w="2526" w:type="dxa"/>
            <w:vAlign w:val="center"/>
          </w:tcPr>
          <w:p>
            <w:pPr>
              <w:pStyle w:val="12"/>
            </w:pPr>
            <w:r>
              <w:t>2013810</w:t>
            </w:r>
          </w:p>
        </w:tc>
        <w:tc>
          <w:tcPr>
            <w:tcW w:w="5228" w:type="dxa"/>
            <w:vAlign w:val="center"/>
          </w:tcPr>
          <w:p>
            <w:pPr>
              <w:pStyle w:val="12"/>
            </w:pPr>
            <w:r>
              <w:t>质量基础</w:t>
            </w:r>
          </w:p>
        </w:tc>
        <w:tc>
          <w:tcPr>
            <w:tcW w:w="1643" w:type="dxa"/>
            <w:vAlign w:val="center"/>
          </w:tcPr>
          <w:p>
            <w:pPr>
              <w:pStyle w:val="11"/>
            </w:pPr>
            <w:r>
              <w:t>241.33</w:t>
            </w:r>
          </w:p>
        </w:tc>
        <w:tc>
          <w:tcPr>
            <w:tcW w:w="1643" w:type="dxa"/>
            <w:vAlign w:val="center"/>
          </w:tcPr>
          <w:p>
            <w:pPr>
              <w:pStyle w:val="11"/>
            </w:pPr>
          </w:p>
        </w:tc>
        <w:tc>
          <w:tcPr>
            <w:tcW w:w="1643" w:type="dxa"/>
            <w:vAlign w:val="center"/>
          </w:tcPr>
          <w:p>
            <w:pPr>
              <w:pStyle w:val="11"/>
            </w:pPr>
            <w:r>
              <w:t>241.33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9</w:t>
            </w:r>
          </w:p>
        </w:tc>
        <w:tc>
          <w:tcPr>
            <w:tcW w:w="2526" w:type="dxa"/>
            <w:vAlign w:val="center"/>
          </w:tcPr>
          <w:p>
            <w:pPr>
              <w:pStyle w:val="12"/>
            </w:pPr>
            <w:r>
              <w:t>2013815</w:t>
            </w:r>
          </w:p>
        </w:tc>
        <w:tc>
          <w:tcPr>
            <w:tcW w:w="5228" w:type="dxa"/>
            <w:vAlign w:val="center"/>
          </w:tcPr>
          <w:p>
            <w:pPr>
              <w:pStyle w:val="12"/>
            </w:pPr>
            <w:r>
              <w:t>质量安全监管</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10</w:t>
            </w:r>
          </w:p>
        </w:tc>
        <w:tc>
          <w:tcPr>
            <w:tcW w:w="2526" w:type="dxa"/>
            <w:vAlign w:val="center"/>
          </w:tcPr>
          <w:p>
            <w:pPr>
              <w:pStyle w:val="12"/>
            </w:pPr>
            <w:r>
              <w:t>2013816</w:t>
            </w:r>
          </w:p>
        </w:tc>
        <w:tc>
          <w:tcPr>
            <w:tcW w:w="5228" w:type="dxa"/>
            <w:vAlign w:val="center"/>
          </w:tcPr>
          <w:p>
            <w:pPr>
              <w:pStyle w:val="12"/>
            </w:pPr>
            <w:r>
              <w:t>食品安全监管</w:t>
            </w:r>
          </w:p>
        </w:tc>
        <w:tc>
          <w:tcPr>
            <w:tcW w:w="1643" w:type="dxa"/>
            <w:vAlign w:val="center"/>
          </w:tcPr>
          <w:p>
            <w:pPr>
              <w:pStyle w:val="11"/>
            </w:pPr>
            <w:r>
              <w:t>141.00</w:t>
            </w:r>
          </w:p>
        </w:tc>
        <w:tc>
          <w:tcPr>
            <w:tcW w:w="1643" w:type="dxa"/>
            <w:vAlign w:val="center"/>
          </w:tcPr>
          <w:p>
            <w:pPr>
              <w:pStyle w:val="11"/>
            </w:pPr>
          </w:p>
        </w:tc>
        <w:tc>
          <w:tcPr>
            <w:tcW w:w="1643"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pStyle w:val="13"/>
            </w:pPr>
            <w:r>
              <w:t>11</w:t>
            </w:r>
          </w:p>
        </w:tc>
        <w:tc>
          <w:tcPr>
            <w:tcW w:w="2526" w:type="dxa"/>
            <w:vAlign w:val="center"/>
          </w:tcPr>
          <w:p>
            <w:pPr>
              <w:pStyle w:val="12"/>
            </w:pPr>
            <w:r>
              <w:t>2013899</w:t>
            </w:r>
          </w:p>
        </w:tc>
        <w:tc>
          <w:tcPr>
            <w:tcW w:w="5228" w:type="dxa"/>
            <w:vAlign w:val="center"/>
          </w:tcPr>
          <w:p>
            <w:pPr>
              <w:pStyle w:val="12"/>
            </w:pPr>
            <w:r>
              <w:t>其他市场监督管理事务</w:t>
            </w:r>
          </w:p>
        </w:tc>
        <w:tc>
          <w:tcPr>
            <w:tcW w:w="1643" w:type="dxa"/>
            <w:vAlign w:val="center"/>
          </w:tcPr>
          <w:p>
            <w:pPr>
              <w:pStyle w:val="11"/>
            </w:pPr>
            <w:r>
              <w:t>14.00</w:t>
            </w:r>
          </w:p>
        </w:tc>
        <w:tc>
          <w:tcPr>
            <w:tcW w:w="1643" w:type="dxa"/>
            <w:vAlign w:val="center"/>
          </w:tcPr>
          <w:p>
            <w:pPr>
              <w:pStyle w:val="11"/>
            </w:pPr>
          </w:p>
        </w:tc>
        <w:tc>
          <w:tcPr>
            <w:tcW w:w="1643" w:type="dxa"/>
            <w:vAlign w:val="center"/>
          </w:tcPr>
          <w:p>
            <w:pPr>
              <w:pStyle w:val="11"/>
            </w:pPr>
            <w:r>
              <w:t>14.00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3519" w:type="dxa"/>
        <w:jc w:val="center"/>
        <w:tblInd w:w="-36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500"/>
        <w:gridCol w:w="612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90"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10"/>
            </w:pPr>
            <w:r>
              <w:t>序号</w:t>
            </w:r>
          </w:p>
        </w:tc>
        <w:tc>
          <w:tcPr>
            <w:tcW w:w="7620"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0" w:type="dxa"/>
            <w:vMerge w:val="continue"/>
          </w:tcPr>
          <w:p/>
        </w:tc>
        <w:tc>
          <w:tcPr>
            <w:tcW w:w="1500" w:type="dxa"/>
            <w:vAlign w:val="center"/>
          </w:tcPr>
          <w:p>
            <w:pPr>
              <w:pStyle w:val="10"/>
            </w:pPr>
            <w:r>
              <w:t>科目编码</w:t>
            </w:r>
          </w:p>
        </w:tc>
        <w:tc>
          <w:tcPr>
            <w:tcW w:w="6120"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0" w:type="dxa"/>
            <w:vAlign w:val="center"/>
          </w:tcPr>
          <w:p>
            <w:pPr>
              <w:pStyle w:val="10"/>
            </w:pPr>
            <w:r>
              <w:t>栏次</w:t>
            </w:r>
          </w:p>
        </w:tc>
        <w:tc>
          <w:tcPr>
            <w:tcW w:w="1500" w:type="dxa"/>
            <w:vAlign w:val="center"/>
          </w:tcPr>
          <w:p>
            <w:pPr>
              <w:pStyle w:val="10"/>
            </w:pPr>
            <w:r>
              <w:t>1</w:t>
            </w:r>
          </w:p>
        </w:tc>
        <w:tc>
          <w:tcPr>
            <w:tcW w:w="612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w:t>
            </w:r>
          </w:p>
        </w:tc>
        <w:tc>
          <w:tcPr>
            <w:tcW w:w="1500" w:type="dxa"/>
            <w:vAlign w:val="center"/>
          </w:tcPr>
          <w:p>
            <w:pPr>
              <w:pStyle w:val="16"/>
            </w:pPr>
          </w:p>
        </w:tc>
        <w:tc>
          <w:tcPr>
            <w:tcW w:w="6120" w:type="dxa"/>
            <w:vAlign w:val="center"/>
          </w:tcPr>
          <w:p>
            <w:pPr>
              <w:pStyle w:val="14"/>
            </w:pPr>
            <w:r>
              <w:t>合计</w:t>
            </w:r>
          </w:p>
        </w:tc>
        <w:tc>
          <w:tcPr>
            <w:tcW w:w="1643" w:type="dxa"/>
            <w:vAlign w:val="center"/>
          </w:tcPr>
          <w:p>
            <w:pPr>
              <w:pStyle w:val="15"/>
            </w:pPr>
            <w:r>
              <w:t>2001.05</w:t>
            </w:r>
          </w:p>
        </w:tc>
        <w:tc>
          <w:tcPr>
            <w:tcW w:w="1643" w:type="dxa"/>
            <w:vAlign w:val="center"/>
          </w:tcPr>
          <w:p>
            <w:pPr>
              <w:pStyle w:val="15"/>
            </w:pPr>
            <w:r>
              <w:t>1885.54</w:t>
            </w:r>
          </w:p>
        </w:tc>
        <w:tc>
          <w:tcPr>
            <w:tcW w:w="1643" w:type="dxa"/>
            <w:vAlign w:val="center"/>
          </w:tcPr>
          <w:p>
            <w:pPr>
              <w:pStyle w:val="15"/>
            </w:pPr>
            <w:r>
              <w:t>115.51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w:t>
            </w:r>
          </w:p>
        </w:tc>
        <w:tc>
          <w:tcPr>
            <w:tcW w:w="1500" w:type="dxa"/>
            <w:vAlign w:val="center"/>
          </w:tcPr>
          <w:p>
            <w:pPr>
              <w:pStyle w:val="12"/>
            </w:pPr>
            <w:r>
              <w:t>301</w:t>
            </w:r>
          </w:p>
        </w:tc>
        <w:tc>
          <w:tcPr>
            <w:tcW w:w="6120" w:type="dxa"/>
            <w:vAlign w:val="center"/>
          </w:tcPr>
          <w:p>
            <w:pPr>
              <w:pStyle w:val="12"/>
            </w:pPr>
            <w:r>
              <w:t>工资福利支出</w:t>
            </w:r>
          </w:p>
        </w:tc>
        <w:tc>
          <w:tcPr>
            <w:tcW w:w="1643" w:type="dxa"/>
            <w:vAlign w:val="center"/>
          </w:tcPr>
          <w:p>
            <w:pPr>
              <w:pStyle w:val="11"/>
            </w:pPr>
            <w:r>
              <w:t>1789.00</w:t>
            </w:r>
          </w:p>
        </w:tc>
        <w:tc>
          <w:tcPr>
            <w:tcW w:w="1643" w:type="dxa"/>
            <w:vAlign w:val="center"/>
          </w:tcPr>
          <w:p>
            <w:pPr>
              <w:pStyle w:val="11"/>
            </w:pPr>
            <w:r>
              <w:t>1789.00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3</w:t>
            </w:r>
          </w:p>
        </w:tc>
        <w:tc>
          <w:tcPr>
            <w:tcW w:w="1500" w:type="dxa"/>
            <w:vAlign w:val="center"/>
          </w:tcPr>
          <w:p>
            <w:pPr>
              <w:pStyle w:val="12"/>
            </w:pPr>
            <w:r>
              <w:t>30101</w:t>
            </w:r>
          </w:p>
        </w:tc>
        <w:tc>
          <w:tcPr>
            <w:tcW w:w="6120" w:type="dxa"/>
            <w:vAlign w:val="center"/>
          </w:tcPr>
          <w:p>
            <w:pPr>
              <w:pStyle w:val="12"/>
            </w:pPr>
            <w:r>
              <w:t>基本工资</w:t>
            </w:r>
          </w:p>
        </w:tc>
        <w:tc>
          <w:tcPr>
            <w:tcW w:w="1643" w:type="dxa"/>
            <w:vAlign w:val="center"/>
          </w:tcPr>
          <w:p>
            <w:pPr>
              <w:pStyle w:val="11"/>
            </w:pPr>
            <w:r>
              <w:t>963.10</w:t>
            </w:r>
          </w:p>
        </w:tc>
        <w:tc>
          <w:tcPr>
            <w:tcW w:w="1643" w:type="dxa"/>
            <w:vAlign w:val="center"/>
          </w:tcPr>
          <w:p>
            <w:pPr>
              <w:pStyle w:val="11"/>
            </w:pPr>
            <w:r>
              <w:t>963.10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4</w:t>
            </w:r>
          </w:p>
        </w:tc>
        <w:tc>
          <w:tcPr>
            <w:tcW w:w="1500" w:type="dxa"/>
            <w:vAlign w:val="center"/>
          </w:tcPr>
          <w:p>
            <w:pPr>
              <w:pStyle w:val="12"/>
            </w:pPr>
            <w:r>
              <w:t>30102</w:t>
            </w:r>
          </w:p>
        </w:tc>
        <w:tc>
          <w:tcPr>
            <w:tcW w:w="6120" w:type="dxa"/>
            <w:vAlign w:val="center"/>
          </w:tcPr>
          <w:p>
            <w:pPr>
              <w:pStyle w:val="12"/>
            </w:pPr>
            <w:r>
              <w:t>津贴补贴</w:t>
            </w:r>
          </w:p>
        </w:tc>
        <w:tc>
          <w:tcPr>
            <w:tcW w:w="1643" w:type="dxa"/>
            <w:vAlign w:val="center"/>
          </w:tcPr>
          <w:p>
            <w:pPr>
              <w:pStyle w:val="11"/>
            </w:pPr>
            <w:r>
              <w:t>36.90</w:t>
            </w:r>
          </w:p>
        </w:tc>
        <w:tc>
          <w:tcPr>
            <w:tcW w:w="1643" w:type="dxa"/>
            <w:vAlign w:val="center"/>
          </w:tcPr>
          <w:p>
            <w:pPr>
              <w:pStyle w:val="11"/>
            </w:pPr>
            <w:r>
              <w:t>36.90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5</w:t>
            </w:r>
          </w:p>
        </w:tc>
        <w:tc>
          <w:tcPr>
            <w:tcW w:w="1500" w:type="dxa"/>
            <w:vAlign w:val="center"/>
          </w:tcPr>
          <w:p>
            <w:pPr>
              <w:pStyle w:val="12"/>
            </w:pPr>
            <w:r>
              <w:t>30103</w:t>
            </w:r>
          </w:p>
        </w:tc>
        <w:tc>
          <w:tcPr>
            <w:tcW w:w="6120" w:type="dxa"/>
            <w:vAlign w:val="center"/>
          </w:tcPr>
          <w:p>
            <w:pPr>
              <w:pStyle w:val="12"/>
            </w:pPr>
            <w:r>
              <w:t>奖金</w:t>
            </w:r>
          </w:p>
        </w:tc>
        <w:tc>
          <w:tcPr>
            <w:tcW w:w="1643" w:type="dxa"/>
            <w:vAlign w:val="center"/>
          </w:tcPr>
          <w:p>
            <w:pPr>
              <w:pStyle w:val="11"/>
            </w:pPr>
            <w:r>
              <w:t>100.10</w:t>
            </w:r>
          </w:p>
        </w:tc>
        <w:tc>
          <w:tcPr>
            <w:tcW w:w="1643" w:type="dxa"/>
            <w:vAlign w:val="center"/>
          </w:tcPr>
          <w:p>
            <w:pPr>
              <w:pStyle w:val="11"/>
            </w:pPr>
            <w:r>
              <w:t>100.10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6</w:t>
            </w:r>
          </w:p>
        </w:tc>
        <w:tc>
          <w:tcPr>
            <w:tcW w:w="1500" w:type="dxa"/>
            <w:vAlign w:val="center"/>
          </w:tcPr>
          <w:p>
            <w:pPr>
              <w:pStyle w:val="12"/>
            </w:pPr>
            <w:r>
              <w:t>30107</w:t>
            </w:r>
          </w:p>
        </w:tc>
        <w:tc>
          <w:tcPr>
            <w:tcW w:w="6120" w:type="dxa"/>
            <w:vAlign w:val="center"/>
          </w:tcPr>
          <w:p>
            <w:pPr>
              <w:pStyle w:val="12"/>
            </w:pPr>
            <w:r>
              <w:t>绩效工资</w:t>
            </w:r>
          </w:p>
        </w:tc>
        <w:tc>
          <w:tcPr>
            <w:tcW w:w="1643" w:type="dxa"/>
            <w:vAlign w:val="center"/>
          </w:tcPr>
          <w:p>
            <w:pPr>
              <w:pStyle w:val="11"/>
            </w:pPr>
            <w:r>
              <w:t>44.60</w:t>
            </w:r>
          </w:p>
        </w:tc>
        <w:tc>
          <w:tcPr>
            <w:tcW w:w="1643" w:type="dxa"/>
            <w:vAlign w:val="center"/>
          </w:tcPr>
          <w:p>
            <w:pPr>
              <w:pStyle w:val="11"/>
            </w:pPr>
            <w:r>
              <w:t>44.60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7</w:t>
            </w:r>
          </w:p>
        </w:tc>
        <w:tc>
          <w:tcPr>
            <w:tcW w:w="1500" w:type="dxa"/>
            <w:vAlign w:val="center"/>
          </w:tcPr>
          <w:p>
            <w:pPr>
              <w:pStyle w:val="12"/>
            </w:pPr>
            <w:r>
              <w:t>30108</w:t>
            </w:r>
          </w:p>
        </w:tc>
        <w:tc>
          <w:tcPr>
            <w:tcW w:w="6120" w:type="dxa"/>
            <w:vAlign w:val="center"/>
          </w:tcPr>
          <w:p>
            <w:pPr>
              <w:pStyle w:val="12"/>
            </w:pPr>
            <w:r>
              <w:t>机关事业单位基本养老保险缴费</w:t>
            </w:r>
          </w:p>
        </w:tc>
        <w:tc>
          <w:tcPr>
            <w:tcW w:w="1643" w:type="dxa"/>
            <w:vAlign w:val="center"/>
          </w:tcPr>
          <w:p>
            <w:pPr>
              <w:pStyle w:val="11"/>
            </w:pPr>
            <w:r>
              <w:t>144.00</w:t>
            </w:r>
          </w:p>
        </w:tc>
        <w:tc>
          <w:tcPr>
            <w:tcW w:w="1643" w:type="dxa"/>
            <w:vAlign w:val="center"/>
          </w:tcPr>
          <w:p>
            <w:pPr>
              <w:pStyle w:val="11"/>
            </w:pPr>
            <w:r>
              <w:t>144.00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8</w:t>
            </w:r>
          </w:p>
        </w:tc>
        <w:tc>
          <w:tcPr>
            <w:tcW w:w="1500" w:type="dxa"/>
            <w:vAlign w:val="center"/>
          </w:tcPr>
          <w:p>
            <w:pPr>
              <w:pStyle w:val="12"/>
            </w:pPr>
            <w:r>
              <w:t>30109</w:t>
            </w:r>
          </w:p>
        </w:tc>
        <w:tc>
          <w:tcPr>
            <w:tcW w:w="6120" w:type="dxa"/>
            <w:vAlign w:val="center"/>
          </w:tcPr>
          <w:p>
            <w:pPr>
              <w:pStyle w:val="12"/>
            </w:pPr>
            <w:r>
              <w:t>职业年金缴费</w:t>
            </w:r>
          </w:p>
        </w:tc>
        <w:tc>
          <w:tcPr>
            <w:tcW w:w="1643" w:type="dxa"/>
            <w:vAlign w:val="center"/>
          </w:tcPr>
          <w:p>
            <w:pPr>
              <w:pStyle w:val="11"/>
            </w:pPr>
            <w:r>
              <w:t>46.40</w:t>
            </w:r>
          </w:p>
        </w:tc>
        <w:tc>
          <w:tcPr>
            <w:tcW w:w="1643" w:type="dxa"/>
            <w:vAlign w:val="center"/>
          </w:tcPr>
          <w:p>
            <w:pPr>
              <w:pStyle w:val="11"/>
            </w:pPr>
            <w:r>
              <w:t>46.40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9</w:t>
            </w:r>
          </w:p>
        </w:tc>
        <w:tc>
          <w:tcPr>
            <w:tcW w:w="1500" w:type="dxa"/>
            <w:vAlign w:val="center"/>
          </w:tcPr>
          <w:p>
            <w:pPr>
              <w:pStyle w:val="12"/>
            </w:pPr>
            <w:r>
              <w:t>30110</w:t>
            </w:r>
          </w:p>
        </w:tc>
        <w:tc>
          <w:tcPr>
            <w:tcW w:w="6120" w:type="dxa"/>
            <w:vAlign w:val="center"/>
          </w:tcPr>
          <w:p>
            <w:pPr>
              <w:pStyle w:val="12"/>
            </w:pPr>
            <w:r>
              <w:t>职工基本医疗保险缴费</w:t>
            </w:r>
          </w:p>
        </w:tc>
        <w:tc>
          <w:tcPr>
            <w:tcW w:w="1643" w:type="dxa"/>
            <w:vAlign w:val="center"/>
          </w:tcPr>
          <w:p>
            <w:pPr>
              <w:pStyle w:val="11"/>
            </w:pPr>
            <w:r>
              <w:t>65.00</w:t>
            </w:r>
          </w:p>
        </w:tc>
        <w:tc>
          <w:tcPr>
            <w:tcW w:w="1643" w:type="dxa"/>
            <w:vAlign w:val="center"/>
          </w:tcPr>
          <w:p>
            <w:pPr>
              <w:pStyle w:val="11"/>
            </w:pPr>
            <w:r>
              <w:t>65.00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10</w:t>
            </w:r>
          </w:p>
        </w:tc>
        <w:tc>
          <w:tcPr>
            <w:tcW w:w="1500" w:type="dxa"/>
            <w:vAlign w:val="center"/>
          </w:tcPr>
          <w:p>
            <w:pPr>
              <w:pStyle w:val="12"/>
            </w:pPr>
            <w:r>
              <w:t>30111</w:t>
            </w:r>
          </w:p>
        </w:tc>
        <w:tc>
          <w:tcPr>
            <w:tcW w:w="6120" w:type="dxa"/>
            <w:vAlign w:val="center"/>
          </w:tcPr>
          <w:p>
            <w:pPr>
              <w:pStyle w:val="12"/>
            </w:pPr>
            <w:r>
              <w:t>公务员医疗补助缴费</w:t>
            </w:r>
          </w:p>
        </w:tc>
        <w:tc>
          <w:tcPr>
            <w:tcW w:w="1643" w:type="dxa"/>
            <w:vAlign w:val="center"/>
          </w:tcPr>
          <w:p>
            <w:pPr>
              <w:pStyle w:val="11"/>
            </w:pPr>
            <w:r>
              <w:t>19.90</w:t>
            </w:r>
          </w:p>
        </w:tc>
        <w:tc>
          <w:tcPr>
            <w:tcW w:w="1643" w:type="dxa"/>
            <w:vAlign w:val="center"/>
          </w:tcPr>
          <w:p>
            <w:pPr>
              <w:pStyle w:val="11"/>
            </w:pPr>
            <w:r>
              <w:t>19.90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11</w:t>
            </w:r>
          </w:p>
        </w:tc>
        <w:tc>
          <w:tcPr>
            <w:tcW w:w="1500" w:type="dxa"/>
            <w:vAlign w:val="center"/>
          </w:tcPr>
          <w:p>
            <w:pPr>
              <w:pStyle w:val="12"/>
            </w:pPr>
            <w:r>
              <w:t>30112</w:t>
            </w:r>
          </w:p>
        </w:tc>
        <w:tc>
          <w:tcPr>
            <w:tcW w:w="6120" w:type="dxa"/>
            <w:vAlign w:val="center"/>
          </w:tcPr>
          <w:p>
            <w:pPr>
              <w:pStyle w:val="12"/>
            </w:pPr>
            <w:r>
              <w:t>其他社会保障缴费</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12</w:t>
            </w:r>
          </w:p>
        </w:tc>
        <w:tc>
          <w:tcPr>
            <w:tcW w:w="1500" w:type="dxa"/>
            <w:vAlign w:val="center"/>
          </w:tcPr>
          <w:p>
            <w:pPr>
              <w:pStyle w:val="12"/>
            </w:pPr>
            <w:r>
              <w:t>30113</w:t>
            </w:r>
          </w:p>
        </w:tc>
        <w:tc>
          <w:tcPr>
            <w:tcW w:w="6120" w:type="dxa"/>
            <w:vAlign w:val="center"/>
          </w:tcPr>
          <w:p>
            <w:pPr>
              <w:pStyle w:val="12"/>
            </w:pPr>
            <w:r>
              <w:t>住房公积金</w:t>
            </w:r>
          </w:p>
        </w:tc>
        <w:tc>
          <w:tcPr>
            <w:tcW w:w="1643" w:type="dxa"/>
            <w:vAlign w:val="center"/>
          </w:tcPr>
          <w:p>
            <w:pPr>
              <w:pStyle w:val="11"/>
            </w:pPr>
            <w:r>
              <w:t>125.00</w:t>
            </w:r>
          </w:p>
        </w:tc>
        <w:tc>
          <w:tcPr>
            <w:tcW w:w="1643" w:type="dxa"/>
            <w:vAlign w:val="center"/>
          </w:tcPr>
          <w:p>
            <w:pPr>
              <w:pStyle w:val="11"/>
            </w:pPr>
            <w:r>
              <w:t>125.00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13</w:t>
            </w:r>
          </w:p>
        </w:tc>
        <w:tc>
          <w:tcPr>
            <w:tcW w:w="1500" w:type="dxa"/>
            <w:vAlign w:val="center"/>
          </w:tcPr>
          <w:p>
            <w:pPr>
              <w:pStyle w:val="12"/>
            </w:pPr>
            <w:r>
              <w:t>30199</w:t>
            </w:r>
          </w:p>
        </w:tc>
        <w:tc>
          <w:tcPr>
            <w:tcW w:w="6120" w:type="dxa"/>
            <w:vAlign w:val="center"/>
          </w:tcPr>
          <w:p>
            <w:pPr>
              <w:pStyle w:val="12"/>
            </w:pPr>
            <w:r>
              <w:t>其他工资福利支出</w:t>
            </w:r>
          </w:p>
        </w:tc>
        <w:tc>
          <w:tcPr>
            <w:tcW w:w="1643" w:type="dxa"/>
            <w:vAlign w:val="center"/>
          </w:tcPr>
          <w:p>
            <w:pPr>
              <w:pStyle w:val="11"/>
            </w:pPr>
            <w:r>
              <w:t>231.00</w:t>
            </w:r>
          </w:p>
        </w:tc>
        <w:tc>
          <w:tcPr>
            <w:tcW w:w="1643" w:type="dxa"/>
            <w:vAlign w:val="center"/>
          </w:tcPr>
          <w:p>
            <w:pPr>
              <w:pStyle w:val="11"/>
            </w:pPr>
            <w:r>
              <w:t>231.00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14</w:t>
            </w:r>
          </w:p>
        </w:tc>
        <w:tc>
          <w:tcPr>
            <w:tcW w:w="1500" w:type="dxa"/>
            <w:vAlign w:val="center"/>
          </w:tcPr>
          <w:p>
            <w:pPr>
              <w:pStyle w:val="12"/>
            </w:pPr>
            <w:r>
              <w:t>302</w:t>
            </w:r>
          </w:p>
        </w:tc>
        <w:tc>
          <w:tcPr>
            <w:tcW w:w="6120" w:type="dxa"/>
            <w:vAlign w:val="center"/>
          </w:tcPr>
          <w:p>
            <w:pPr>
              <w:pStyle w:val="12"/>
            </w:pPr>
            <w:r>
              <w:t>商品和服务支出</w:t>
            </w:r>
          </w:p>
        </w:tc>
        <w:tc>
          <w:tcPr>
            <w:tcW w:w="1643" w:type="dxa"/>
            <w:vAlign w:val="center"/>
          </w:tcPr>
          <w:p>
            <w:pPr>
              <w:pStyle w:val="11"/>
            </w:pPr>
            <w:r>
              <w:t>115.51</w:t>
            </w:r>
          </w:p>
        </w:tc>
        <w:tc>
          <w:tcPr>
            <w:tcW w:w="1643" w:type="dxa"/>
            <w:vAlign w:val="center"/>
          </w:tcPr>
          <w:p>
            <w:pPr>
              <w:pStyle w:val="11"/>
            </w:pPr>
          </w:p>
        </w:tc>
        <w:tc>
          <w:tcPr>
            <w:tcW w:w="1643" w:type="dxa"/>
            <w:vAlign w:val="center"/>
          </w:tcPr>
          <w:p>
            <w:pPr>
              <w:pStyle w:val="11"/>
            </w:pPr>
            <w:r>
              <w:t>115.51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15</w:t>
            </w:r>
          </w:p>
        </w:tc>
        <w:tc>
          <w:tcPr>
            <w:tcW w:w="1500" w:type="dxa"/>
            <w:vAlign w:val="center"/>
          </w:tcPr>
          <w:p>
            <w:pPr>
              <w:pStyle w:val="12"/>
            </w:pPr>
            <w:r>
              <w:t>30201</w:t>
            </w:r>
          </w:p>
        </w:tc>
        <w:tc>
          <w:tcPr>
            <w:tcW w:w="6120" w:type="dxa"/>
            <w:vAlign w:val="center"/>
          </w:tcPr>
          <w:p>
            <w:pPr>
              <w:pStyle w:val="12"/>
            </w:pPr>
            <w:r>
              <w:t>办公费</w:t>
            </w:r>
          </w:p>
        </w:tc>
        <w:tc>
          <w:tcPr>
            <w:tcW w:w="1643" w:type="dxa"/>
            <w:vAlign w:val="center"/>
          </w:tcPr>
          <w:p>
            <w:pPr>
              <w:pStyle w:val="11"/>
            </w:pPr>
            <w:r>
              <w:t>20.70</w:t>
            </w:r>
          </w:p>
        </w:tc>
        <w:tc>
          <w:tcPr>
            <w:tcW w:w="1643" w:type="dxa"/>
            <w:vAlign w:val="center"/>
          </w:tcPr>
          <w:p>
            <w:pPr>
              <w:pStyle w:val="11"/>
            </w:pPr>
          </w:p>
        </w:tc>
        <w:tc>
          <w:tcPr>
            <w:tcW w:w="1643" w:type="dxa"/>
            <w:vAlign w:val="center"/>
          </w:tcPr>
          <w:p>
            <w:pPr>
              <w:pStyle w:val="11"/>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16</w:t>
            </w:r>
          </w:p>
        </w:tc>
        <w:tc>
          <w:tcPr>
            <w:tcW w:w="1500" w:type="dxa"/>
            <w:vAlign w:val="center"/>
          </w:tcPr>
          <w:p>
            <w:pPr>
              <w:pStyle w:val="12"/>
            </w:pPr>
            <w:r>
              <w:t>30206</w:t>
            </w:r>
          </w:p>
        </w:tc>
        <w:tc>
          <w:tcPr>
            <w:tcW w:w="6120" w:type="dxa"/>
            <w:vAlign w:val="center"/>
          </w:tcPr>
          <w:p>
            <w:pPr>
              <w:pStyle w:val="12"/>
            </w:pPr>
            <w:r>
              <w:t>电费</w:t>
            </w:r>
          </w:p>
        </w:tc>
        <w:tc>
          <w:tcPr>
            <w:tcW w:w="1643" w:type="dxa"/>
            <w:vAlign w:val="center"/>
          </w:tcPr>
          <w:p>
            <w:pPr>
              <w:pStyle w:val="11"/>
            </w:pPr>
            <w:r>
              <w:t>1.40</w:t>
            </w:r>
          </w:p>
        </w:tc>
        <w:tc>
          <w:tcPr>
            <w:tcW w:w="1643" w:type="dxa"/>
            <w:vAlign w:val="center"/>
          </w:tcPr>
          <w:p>
            <w:pPr>
              <w:pStyle w:val="11"/>
            </w:pPr>
          </w:p>
        </w:tc>
        <w:tc>
          <w:tcPr>
            <w:tcW w:w="1643"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17</w:t>
            </w:r>
          </w:p>
        </w:tc>
        <w:tc>
          <w:tcPr>
            <w:tcW w:w="1500" w:type="dxa"/>
            <w:vAlign w:val="center"/>
          </w:tcPr>
          <w:p>
            <w:pPr>
              <w:pStyle w:val="12"/>
            </w:pPr>
            <w:r>
              <w:t>30207</w:t>
            </w:r>
          </w:p>
        </w:tc>
        <w:tc>
          <w:tcPr>
            <w:tcW w:w="6120" w:type="dxa"/>
            <w:vAlign w:val="center"/>
          </w:tcPr>
          <w:p>
            <w:pPr>
              <w:pStyle w:val="12"/>
            </w:pPr>
            <w:r>
              <w:t>邮电费</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18</w:t>
            </w:r>
          </w:p>
        </w:tc>
        <w:tc>
          <w:tcPr>
            <w:tcW w:w="1500" w:type="dxa"/>
            <w:vAlign w:val="center"/>
          </w:tcPr>
          <w:p>
            <w:pPr>
              <w:pStyle w:val="12"/>
            </w:pPr>
            <w:r>
              <w:t>30217</w:t>
            </w:r>
          </w:p>
        </w:tc>
        <w:tc>
          <w:tcPr>
            <w:tcW w:w="6120" w:type="dxa"/>
            <w:vAlign w:val="center"/>
          </w:tcPr>
          <w:p>
            <w:pPr>
              <w:pStyle w:val="12"/>
            </w:pPr>
            <w:r>
              <w:t>公务接待费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19</w:t>
            </w:r>
          </w:p>
        </w:tc>
        <w:tc>
          <w:tcPr>
            <w:tcW w:w="1500" w:type="dxa"/>
            <w:vAlign w:val="center"/>
          </w:tcPr>
          <w:p>
            <w:pPr>
              <w:pStyle w:val="12"/>
            </w:pPr>
            <w:r>
              <w:t>30228</w:t>
            </w:r>
          </w:p>
        </w:tc>
        <w:tc>
          <w:tcPr>
            <w:tcW w:w="6120" w:type="dxa"/>
            <w:vAlign w:val="center"/>
          </w:tcPr>
          <w:p>
            <w:pPr>
              <w:pStyle w:val="12"/>
            </w:pPr>
            <w:r>
              <w:t>工会经费</w:t>
            </w:r>
          </w:p>
        </w:tc>
        <w:tc>
          <w:tcPr>
            <w:tcW w:w="1643" w:type="dxa"/>
            <w:vAlign w:val="center"/>
          </w:tcPr>
          <w:p>
            <w:pPr>
              <w:pStyle w:val="11"/>
            </w:pPr>
            <w:r>
              <w:t>2.68</w:t>
            </w:r>
          </w:p>
        </w:tc>
        <w:tc>
          <w:tcPr>
            <w:tcW w:w="1643" w:type="dxa"/>
            <w:vAlign w:val="center"/>
          </w:tcPr>
          <w:p>
            <w:pPr>
              <w:pStyle w:val="11"/>
            </w:pPr>
          </w:p>
        </w:tc>
        <w:tc>
          <w:tcPr>
            <w:tcW w:w="1643"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20</w:t>
            </w:r>
          </w:p>
        </w:tc>
        <w:tc>
          <w:tcPr>
            <w:tcW w:w="1500" w:type="dxa"/>
            <w:vAlign w:val="center"/>
          </w:tcPr>
          <w:p>
            <w:pPr>
              <w:pStyle w:val="12"/>
            </w:pPr>
            <w:r>
              <w:t>30229</w:t>
            </w:r>
          </w:p>
        </w:tc>
        <w:tc>
          <w:tcPr>
            <w:tcW w:w="6120" w:type="dxa"/>
            <w:vAlign w:val="center"/>
          </w:tcPr>
          <w:p>
            <w:pPr>
              <w:pStyle w:val="12"/>
            </w:pPr>
            <w:r>
              <w:t>福利费</w:t>
            </w:r>
          </w:p>
        </w:tc>
        <w:tc>
          <w:tcPr>
            <w:tcW w:w="1643" w:type="dxa"/>
            <w:vAlign w:val="center"/>
          </w:tcPr>
          <w:p>
            <w:pPr>
              <w:pStyle w:val="11"/>
            </w:pPr>
            <w:r>
              <w:t>2.68</w:t>
            </w:r>
          </w:p>
        </w:tc>
        <w:tc>
          <w:tcPr>
            <w:tcW w:w="1643" w:type="dxa"/>
            <w:vAlign w:val="center"/>
          </w:tcPr>
          <w:p>
            <w:pPr>
              <w:pStyle w:val="11"/>
            </w:pPr>
          </w:p>
        </w:tc>
        <w:tc>
          <w:tcPr>
            <w:tcW w:w="1643"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21</w:t>
            </w:r>
          </w:p>
        </w:tc>
        <w:tc>
          <w:tcPr>
            <w:tcW w:w="1500" w:type="dxa"/>
            <w:vAlign w:val="center"/>
          </w:tcPr>
          <w:p>
            <w:pPr>
              <w:pStyle w:val="12"/>
            </w:pPr>
            <w:r>
              <w:t>30231</w:t>
            </w:r>
          </w:p>
        </w:tc>
        <w:tc>
          <w:tcPr>
            <w:tcW w:w="6120" w:type="dxa"/>
            <w:vAlign w:val="center"/>
          </w:tcPr>
          <w:p>
            <w:pPr>
              <w:pStyle w:val="12"/>
            </w:pPr>
            <w:r>
              <w:t>公务用车运行维护费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22</w:t>
            </w:r>
          </w:p>
        </w:tc>
        <w:tc>
          <w:tcPr>
            <w:tcW w:w="1500" w:type="dxa"/>
            <w:vAlign w:val="center"/>
          </w:tcPr>
          <w:p>
            <w:pPr>
              <w:pStyle w:val="12"/>
            </w:pPr>
            <w:r>
              <w:t>30239</w:t>
            </w:r>
          </w:p>
        </w:tc>
        <w:tc>
          <w:tcPr>
            <w:tcW w:w="6120" w:type="dxa"/>
            <w:vAlign w:val="center"/>
          </w:tcPr>
          <w:p>
            <w:pPr>
              <w:pStyle w:val="12"/>
            </w:pPr>
            <w:r>
              <w:t>其他交通费用</w:t>
            </w:r>
          </w:p>
        </w:tc>
        <w:tc>
          <w:tcPr>
            <w:tcW w:w="1643" w:type="dxa"/>
            <w:vAlign w:val="center"/>
          </w:tcPr>
          <w:p>
            <w:pPr>
              <w:pStyle w:val="11"/>
            </w:pPr>
            <w:r>
              <w:t>68.31</w:t>
            </w:r>
          </w:p>
        </w:tc>
        <w:tc>
          <w:tcPr>
            <w:tcW w:w="1643" w:type="dxa"/>
            <w:vAlign w:val="center"/>
          </w:tcPr>
          <w:p>
            <w:pPr>
              <w:pStyle w:val="11"/>
            </w:pPr>
          </w:p>
        </w:tc>
        <w:tc>
          <w:tcPr>
            <w:tcW w:w="1643" w:type="dxa"/>
            <w:vAlign w:val="center"/>
          </w:tcPr>
          <w:p>
            <w:pPr>
              <w:pStyle w:val="11"/>
            </w:pPr>
            <w:r>
              <w:t>68.31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23</w:t>
            </w:r>
          </w:p>
        </w:tc>
        <w:tc>
          <w:tcPr>
            <w:tcW w:w="1500" w:type="dxa"/>
            <w:vAlign w:val="center"/>
          </w:tcPr>
          <w:p>
            <w:pPr>
              <w:pStyle w:val="12"/>
            </w:pPr>
            <w:r>
              <w:t>30299</w:t>
            </w:r>
          </w:p>
        </w:tc>
        <w:tc>
          <w:tcPr>
            <w:tcW w:w="6120" w:type="dxa"/>
            <w:vAlign w:val="center"/>
          </w:tcPr>
          <w:p>
            <w:pPr>
              <w:pStyle w:val="12"/>
            </w:pPr>
            <w:r>
              <w:t>其他商品和服务支出</w:t>
            </w:r>
          </w:p>
        </w:tc>
        <w:tc>
          <w:tcPr>
            <w:tcW w:w="1643" w:type="dxa"/>
            <w:vAlign w:val="center"/>
          </w:tcPr>
          <w:p>
            <w:pPr>
              <w:pStyle w:val="11"/>
            </w:pPr>
            <w:r>
              <w:t>1.64</w:t>
            </w:r>
          </w:p>
        </w:tc>
        <w:tc>
          <w:tcPr>
            <w:tcW w:w="1643" w:type="dxa"/>
            <w:vAlign w:val="center"/>
          </w:tcPr>
          <w:p>
            <w:pPr>
              <w:pStyle w:val="11"/>
            </w:pPr>
          </w:p>
        </w:tc>
        <w:tc>
          <w:tcPr>
            <w:tcW w:w="1643"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24</w:t>
            </w:r>
          </w:p>
        </w:tc>
        <w:tc>
          <w:tcPr>
            <w:tcW w:w="1500" w:type="dxa"/>
            <w:vAlign w:val="center"/>
          </w:tcPr>
          <w:p>
            <w:pPr>
              <w:pStyle w:val="12"/>
            </w:pPr>
            <w:r>
              <w:t>303</w:t>
            </w:r>
          </w:p>
        </w:tc>
        <w:tc>
          <w:tcPr>
            <w:tcW w:w="6120" w:type="dxa"/>
            <w:vAlign w:val="center"/>
          </w:tcPr>
          <w:p>
            <w:pPr>
              <w:pStyle w:val="12"/>
            </w:pPr>
            <w:r>
              <w:t>对个人和家庭的补助</w:t>
            </w:r>
          </w:p>
        </w:tc>
        <w:tc>
          <w:tcPr>
            <w:tcW w:w="1643" w:type="dxa"/>
            <w:vAlign w:val="center"/>
          </w:tcPr>
          <w:p>
            <w:pPr>
              <w:pStyle w:val="11"/>
            </w:pPr>
            <w:r>
              <w:t>96.54</w:t>
            </w:r>
          </w:p>
        </w:tc>
        <w:tc>
          <w:tcPr>
            <w:tcW w:w="1643" w:type="dxa"/>
            <w:vAlign w:val="center"/>
          </w:tcPr>
          <w:p>
            <w:pPr>
              <w:pStyle w:val="11"/>
            </w:pPr>
            <w:r>
              <w:t>96.54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25</w:t>
            </w:r>
          </w:p>
        </w:tc>
        <w:tc>
          <w:tcPr>
            <w:tcW w:w="1500" w:type="dxa"/>
            <w:vAlign w:val="center"/>
          </w:tcPr>
          <w:p>
            <w:pPr>
              <w:pStyle w:val="12"/>
            </w:pPr>
            <w:r>
              <w:t>30302</w:t>
            </w:r>
          </w:p>
        </w:tc>
        <w:tc>
          <w:tcPr>
            <w:tcW w:w="6120" w:type="dxa"/>
            <w:vAlign w:val="center"/>
          </w:tcPr>
          <w:p>
            <w:pPr>
              <w:pStyle w:val="12"/>
            </w:pPr>
            <w:r>
              <w:t>退休费</w:t>
            </w:r>
          </w:p>
        </w:tc>
        <w:tc>
          <w:tcPr>
            <w:tcW w:w="1643" w:type="dxa"/>
            <w:vAlign w:val="center"/>
          </w:tcPr>
          <w:p>
            <w:pPr>
              <w:pStyle w:val="11"/>
            </w:pPr>
            <w:r>
              <w:t>82.40</w:t>
            </w:r>
          </w:p>
        </w:tc>
        <w:tc>
          <w:tcPr>
            <w:tcW w:w="1643" w:type="dxa"/>
            <w:vAlign w:val="center"/>
          </w:tcPr>
          <w:p>
            <w:pPr>
              <w:pStyle w:val="11"/>
            </w:pPr>
            <w:r>
              <w:t>82.40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26</w:t>
            </w:r>
          </w:p>
        </w:tc>
        <w:tc>
          <w:tcPr>
            <w:tcW w:w="1500" w:type="dxa"/>
            <w:vAlign w:val="center"/>
          </w:tcPr>
          <w:p>
            <w:pPr>
              <w:pStyle w:val="12"/>
            </w:pPr>
            <w:r>
              <w:t>30304</w:t>
            </w:r>
          </w:p>
        </w:tc>
        <w:tc>
          <w:tcPr>
            <w:tcW w:w="6120" w:type="dxa"/>
            <w:vAlign w:val="center"/>
          </w:tcPr>
          <w:p>
            <w:pPr>
              <w:pStyle w:val="12"/>
            </w:pPr>
            <w:r>
              <w:t>抚恤金</w:t>
            </w:r>
          </w:p>
        </w:tc>
        <w:tc>
          <w:tcPr>
            <w:tcW w:w="1643" w:type="dxa"/>
            <w:vAlign w:val="center"/>
          </w:tcPr>
          <w:p>
            <w:pPr>
              <w:pStyle w:val="11"/>
            </w:pPr>
            <w:r>
              <w:t>3.14</w:t>
            </w:r>
          </w:p>
        </w:tc>
        <w:tc>
          <w:tcPr>
            <w:tcW w:w="1643" w:type="dxa"/>
            <w:vAlign w:val="center"/>
          </w:tcPr>
          <w:p>
            <w:pPr>
              <w:pStyle w:val="11"/>
            </w:pPr>
            <w:r>
              <w:t>3.14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0" w:type="dxa"/>
            <w:vAlign w:val="center"/>
          </w:tcPr>
          <w:p>
            <w:pPr>
              <w:pStyle w:val="13"/>
            </w:pPr>
            <w:r>
              <w:t>27</w:t>
            </w:r>
          </w:p>
        </w:tc>
        <w:tc>
          <w:tcPr>
            <w:tcW w:w="1500" w:type="dxa"/>
            <w:vAlign w:val="center"/>
          </w:tcPr>
          <w:p>
            <w:pPr>
              <w:pStyle w:val="12"/>
            </w:pPr>
            <w:r>
              <w:t>30305</w:t>
            </w:r>
          </w:p>
        </w:tc>
        <w:tc>
          <w:tcPr>
            <w:tcW w:w="6120" w:type="dxa"/>
            <w:vAlign w:val="center"/>
          </w:tcPr>
          <w:p>
            <w:pPr>
              <w:pStyle w:val="12"/>
            </w:pPr>
            <w:r>
              <w:t>生活补助</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098" w:type="dxa"/>
        <w:jc w:val="center"/>
        <w:tblInd w:w="-4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39"/>
        <w:gridCol w:w="218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69"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39" w:type="dxa"/>
            <w:vMerge w:val="restart"/>
            <w:vAlign w:val="center"/>
          </w:tcPr>
          <w:p>
            <w:pPr>
              <w:pStyle w:val="10"/>
            </w:pPr>
            <w:r>
              <w:t>序号</w:t>
            </w:r>
          </w:p>
        </w:tc>
        <w:tc>
          <w:tcPr>
            <w:tcW w:w="383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39" w:type="dxa"/>
            <w:vMerge w:val="continue"/>
          </w:tcPr>
          <w:p/>
        </w:tc>
        <w:tc>
          <w:tcPr>
            <w:tcW w:w="2187"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39" w:type="dxa"/>
            <w:vAlign w:val="center"/>
          </w:tcPr>
          <w:p>
            <w:pPr>
              <w:pStyle w:val="10"/>
            </w:pPr>
            <w:r>
              <w:t>栏次</w:t>
            </w:r>
          </w:p>
        </w:tc>
        <w:tc>
          <w:tcPr>
            <w:tcW w:w="2187"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339" w:type="dxa"/>
            <w:vAlign w:val="center"/>
          </w:tcPr>
          <w:p>
            <w:pPr>
              <w:pStyle w:val="13"/>
            </w:pPr>
          </w:p>
        </w:tc>
        <w:tc>
          <w:tcPr>
            <w:tcW w:w="2187"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663" w:type="dxa"/>
        <w:jc w:val="center"/>
        <w:tblInd w:w="-38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4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734"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48"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48"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48"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448"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3564" w:type="dxa"/>
        <w:jc w:val="center"/>
        <w:tblInd w:w="-37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555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35" w:type="dxa"/>
            <w:gridSpan w:val="3"/>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2" w:type="dxa"/>
            <w:vMerge w:val="restart"/>
            <w:vAlign w:val="center"/>
          </w:tcPr>
          <w:p>
            <w:pPr>
              <w:pStyle w:val="10"/>
            </w:pPr>
            <w:r>
              <w:t>序号</w:t>
            </w:r>
          </w:p>
        </w:tc>
        <w:tc>
          <w:tcPr>
            <w:tcW w:w="5550"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42" w:type="dxa"/>
            <w:vMerge w:val="continue"/>
          </w:tcPr>
          <w:p/>
        </w:tc>
        <w:tc>
          <w:tcPr>
            <w:tcW w:w="5550"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42" w:type="dxa"/>
            <w:vAlign w:val="center"/>
          </w:tcPr>
          <w:p>
            <w:pPr>
              <w:pStyle w:val="10"/>
            </w:pPr>
            <w:r>
              <w:t>栏次</w:t>
            </w:r>
          </w:p>
        </w:tc>
        <w:tc>
          <w:tcPr>
            <w:tcW w:w="5550"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1</w:t>
            </w:r>
          </w:p>
        </w:tc>
        <w:tc>
          <w:tcPr>
            <w:tcW w:w="5550" w:type="dxa"/>
            <w:vAlign w:val="center"/>
          </w:tcPr>
          <w:p>
            <w:pPr>
              <w:pStyle w:val="14"/>
            </w:pPr>
            <w:r>
              <w:t>合计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2</w:t>
            </w:r>
          </w:p>
        </w:tc>
        <w:tc>
          <w:tcPr>
            <w:tcW w:w="5550"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3</w:t>
            </w:r>
          </w:p>
        </w:tc>
        <w:tc>
          <w:tcPr>
            <w:tcW w:w="5550"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4</w:t>
            </w:r>
          </w:p>
        </w:tc>
        <w:tc>
          <w:tcPr>
            <w:tcW w:w="5550"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5</w:t>
            </w:r>
          </w:p>
        </w:tc>
        <w:tc>
          <w:tcPr>
            <w:tcW w:w="5550"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6</w:t>
            </w:r>
          </w:p>
        </w:tc>
        <w:tc>
          <w:tcPr>
            <w:tcW w:w="5550"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7</w:t>
            </w:r>
          </w:p>
        </w:tc>
        <w:tc>
          <w:tcPr>
            <w:tcW w:w="5550"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8</w:t>
            </w:r>
          </w:p>
        </w:tc>
        <w:tc>
          <w:tcPr>
            <w:tcW w:w="5550" w:type="dxa"/>
            <w:vAlign w:val="center"/>
          </w:tcPr>
          <w:p>
            <w:pPr>
              <w:pStyle w:val="12"/>
            </w:pPr>
            <w:r>
              <w:t xml:space="preserve">          公务用车运行维护费</w:t>
            </w:r>
          </w:p>
        </w:tc>
        <w:tc>
          <w:tcPr>
            <w:tcW w:w="1643" w:type="dxa"/>
            <w:vAlign w:val="center"/>
          </w:tcPr>
          <w:p>
            <w:pPr>
              <w:pStyle w:val="11"/>
            </w:pPr>
            <w:r>
              <w:t>10.30</w:t>
            </w:r>
          </w:p>
        </w:tc>
        <w:tc>
          <w:tcPr>
            <w:tcW w:w="1643" w:type="dxa"/>
            <w:vAlign w:val="center"/>
          </w:tcPr>
          <w:p>
            <w:pPr>
              <w:pStyle w:val="11"/>
            </w:pPr>
            <w:r>
              <w:t>10.30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2" w:type="dxa"/>
            <w:vAlign w:val="center"/>
          </w:tcPr>
          <w:p>
            <w:pPr>
              <w:pStyle w:val="13"/>
            </w:pPr>
            <w:r>
              <w:t>9</w:t>
            </w:r>
          </w:p>
        </w:tc>
        <w:tc>
          <w:tcPr>
            <w:tcW w:w="5550" w:type="dxa"/>
            <w:vAlign w:val="center"/>
          </w:tcPr>
          <w:p>
            <w:pPr>
              <w:pStyle w:val="12"/>
            </w:pPr>
            <w:r>
              <w:t>三、公务接待费</w:t>
            </w:r>
          </w:p>
        </w:tc>
        <w:tc>
          <w:tcPr>
            <w:tcW w:w="1643" w:type="dxa"/>
            <w:vAlign w:val="center"/>
          </w:tcPr>
          <w:p>
            <w:pPr>
              <w:pStyle w:val="11"/>
            </w:pPr>
            <w:r>
              <w:t>0.30</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平乡县市场监督管理局本级2023年单位预算信息公开情况说明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按照《预算法》、《地方预决算公开操作规程》和《关于进一步推进预算公开工作的实施意见》规定，现将平乡县市场监督管理局本级2023年单位预算公开如下：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贯彻执行国家和省、市关于市场监督管理的工作方针、政策和法律、法规；拟定全县相关政策措施和规划并组织实施。推动建立落实食品药品安全企业主体责任、乡（镇）人民政府属地监管责任的机制，并组织实施和监督检查。</w:t>
      </w:r>
    </w:p>
    <w:p>
      <w:pPr>
        <w:pStyle w:val="22"/>
      </w:pPr>
      <w:r>
        <w:t>2、承担全县食品(含酒类)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pPr>
        <w:pStyle w:val="22"/>
      </w:pPr>
      <w:r>
        <w:t>3、负责药品、医疗器械监督管理，按权限负责药品、医疗器械行政许可。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2"/>
      </w:pPr>
      <w:r>
        <w:t>4、负责化妆品的监督管理和全县化妆品不良反应监测的管理。</w:t>
      </w:r>
    </w:p>
    <w:p>
      <w:pPr>
        <w:pStyle w:val="22"/>
      </w:pPr>
      <w:r>
        <w:t>5、监督实施中药材生产质量管理规范、中药饮片炮制规范。依法实施中药品种保护制度。</w:t>
      </w:r>
    </w:p>
    <w:p>
      <w:pPr>
        <w:pStyle w:val="22"/>
      </w:pPr>
      <w:r>
        <w:t>6、负责制定食品、药品、医疗器械、化妆品监督管理的稽查制度并组织实施，组织查处重大违法行为。监督实施问题产品召回和处置制度。</w:t>
      </w:r>
    </w:p>
    <w:p>
      <w:pPr>
        <w:pStyle w:val="22"/>
      </w:pPr>
      <w:r>
        <w:t>7、负责食品药品安全事故应急体系建设，组织和指导食品药品安全事故应急处置和调查处理工作，监督事故查处落实情况。</w:t>
      </w:r>
    </w:p>
    <w:p>
      <w:pPr>
        <w:pStyle w:val="22"/>
      </w:pPr>
      <w:r>
        <w:t>8、负责建立食品、药品、医疗器械、化妆品安全信息统一公布制度和重大信息直报制度，公布安全监管信息。</w:t>
      </w:r>
    </w:p>
    <w:p>
      <w:pPr>
        <w:pStyle w:val="22"/>
      </w:pPr>
      <w:r>
        <w:t>9、负责推动食品药品检验检测体系、电子监管追溯体系和信息化建设。</w:t>
      </w:r>
    </w:p>
    <w:p>
      <w:pPr>
        <w:pStyle w:val="22"/>
      </w:pPr>
      <w:r>
        <w:t>10、负责食品药品安全宣传、教育培训及对外交流与合作。推进诚信体系建设。</w:t>
      </w:r>
    </w:p>
    <w:p>
      <w:pPr>
        <w:pStyle w:val="22"/>
      </w:pPr>
      <w:r>
        <w:t>11、负责组织实施执业药师资格认定制度的有关工作。</w:t>
      </w:r>
    </w:p>
    <w:p>
      <w:pPr>
        <w:pStyle w:val="22"/>
      </w:pPr>
      <w:r>
        <w:t>12、负责指导和监督全县食品药品监督管理工作，规范行政执法行为，推动完善行政执法与刑事司法衔接机制。</w:t>
      </w:r>
    </w:p>
    <w:p>
      <w:pPr>
        <w:pStyle w:val="22"/>
      </w:pPr>
      <w:r>
        <w:t>13、承担县政府食品安全委员会日常工作。负责食品安全监督管理综合协调，推动健全协调联动机制。督促检查乡（镇）人民政府和县有关部门履行食品药品安全监督管理职责，并负责考核评价。</w:t>
      </w:r>
    </w:p>
    <w:p>
      <w:pPr>
        <w:pStyle w:val="22"/>
      </w:pPr>
      <w:r>
        <w:t>14、依法负责市场监督管理和行政执法工作。贯彻执行国家和省、市关于工商行政管理的方针政策和法律法规;落实县政府和市工商行政管理局的工作部署;拟订全县工商行政管理措施办法。</w:t>
      </w:r>
    </w:p>
    <w:p>
      <w:pPr>
        <w:pStyle w:val="22"/>
      </w:pPr>
      <w:r>
        <w:t>15、依法组织指导各类市场主体的登记注册和监督管理工作，按照业务权限负责各类企业、从事经营活动的单位以及外国(地区)企业驻辖区代表机构的登记注册和监督管理。在县政府领导下，按照职责分工依法查处取缔无照经营。</w:t>
      </w:r>
    </w:p>
    <w:p>
      <w:pPr>
        <w:pStyle w:val="22"/>
      </w:pPr>
      <w:r>
        <w:t>16、负责依法规范和维护市场经营秩序，监督管理市场交易行为和网络商品交易及有关服务行为。</w:t>
      </w:r>
    </w:p>
    <w:p>
      <w:pPr>
        <w:pStyle w:val="22"/>
      </w:pPr>
      <w:r>
        <w:t>17、负责依法监督管理流通领域商品质量，组织开展消费维权工作，按分工查处经营假冒伪劣商品等违法行为，受理、处理消费者咨询、投诉、举报，指导12315网络体系建设工作，保护消费者、经营者合法权益。</w:t>
      </w:r>
    </w:p>
    <w:p>
      <w:pPr>
        <w:pStyle w:val="22"/>
      </w:pPr>
      <w:r>
        <w:t>18、按照职责分工依法查处传销和违法直销行为，依法监督管理直销活动。</w:t>
      </w:r>
    </w:p>
    <w:p>
      <w:pPr>
        <w:pStyle w:val="22"/>
      </w:pPr>
      <w:r>
        <w:t>19、根据授权依法负责垄断协议、滥用市场支配地位、滥用行政权力排除限制竞争方面的反垄断执法工作（价格垄断行为除外）；依法查处不正当竞争等经济违法行为。</w:t>
      </w:r>
    </w:p>
    <w:p>
      <w:pPr>
        <w:pStyle w:val="22"/>
      </w:pPr>
      <w:r>
        <w:t>20、依法组织指导对经纪人、经纪机构及经纪活动的监督管理工作。</w:t>
      </w:r>
    </w:p>
    <w:p>
      <w:pPr>
        <w:pStyle w:val="22"/>
      </w:pPr>
      <w:r>
        <w:t>21、依法实施合同行政监督管理，组织指导动产抵押登记、拍卖行为监督管理工作，查处合同欺诈等违法行为。</w:t>
      </w:r>
    </w:p>
    <w:p>
      <w:pPr>
        <w:pStyle w:val="22"/>
      </w:pPr>
      <w:r>
        <w:t>22、指导广告业发展，负责广告活动的监督管理工作。</w:t>
      </w:r>
    </w:p>
    <w:p>
      <w:pPr>
        <w:pStyle w:val="22"/>
      </w:pPr>
      <w:r>
        <w:t>23、组织指导商标管理工作，依法保护商标专用权和查处商标侵权行为，负责驰名商标、著名商标的培育推荐保护工作；负责特殊标志、官方标志的保护。</w:t>
      </w:r>
    </w:p>
    <w:p>
      <w:pPr>
        <w:pStyle w:val="22"/>
      </w:pPr>
      <w:r>
        <w:t>24、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pPr>
        <w:pStyle w:val="22"/>
      </w:pPr>
      <w:r>
        <w:t>25、负责个体工商户、私营企业经营行为的服务和监督管理。</w:t>
      </w:r>
    </w:p>
    <w:p>
      <w:pPr>
        <w:pStyle w:val="22"/>
      </w:pPr>
      <w:r>
        <w:t>26、组织指导消费者协会、私营企业协会、个体劳动者协会、民用品维修行业协会、商标协会、广告协会等有关社团的工作。</w:t>
      </w:r>
    </w:p>
    <w:p>
      <w:pPr>
        <w:pStyle w:val="22"/>
      </w:pPr>
      <w:r>
        <w:t>27、负责指导非公有制企业党建工作。</w:t>
      </w:r>
    </w:p>
    <w:p>
      <w:pPr>
        <w:pStyle w:val="22"/>
      </w:pPr>
      <w:r>
        <w:t>28、负责拟订提高质量水平的发展规划及政策措施并组织实施;起草全县质量技术监督方面的规章制度;负责制定与质量技术监督有关的技术规范。</w:t>
      </w:r>
    </w:p>
    <w:p>
      <w:pPr>
        <w:pStyle w:val="22"/>
      </w:pPr>
      <w:r>
        <w:t>29、负责质量宏观管理工作，拟订并组织实施全县质量发展规划，推进名牌发展战略，承担产品质量诚信体系建设工作，会同有关部门组织实施重大工程设备质量监理制度，组织重大产品质量事故调查，实施缺陷产品（含食品相关产品）召回制度，监督管理产品防伪工作。</w:t>
      </w:r>
    </w:p>
    <w:p>
      <w:pPr>
        <w:pStyle w:val="22"/>
      </w:pPr>
      <w:r>
        <w:t>30、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pPr>
        <w:pStyle w:val="22"/>
      </w:pPr>
      <w:r>
        <w:t>31、统一监督管理标准化工作，贯彻国家和省标准化工作的法律、法规、方针、政策，并制定具体实施办法;制定标准化工作的规划、计划;指导有关行政主管部门的标准化工作;组织制定县级农业地方标准;组织实施标准并进行监督;管理企业产品标准备案，监督企业按标准组织生产;管理组织机构代码和商品条码工作。</w:t>
      </w:r>
    </w:p>
    <w:p>
      <w:pPr>
        <w:pStyle w:val="22"/>
      </w:pPr>
      <w:r>
        <w:t>32、负责统一管理计量工作，推行法定计量单位和国家计量制度，管理和监督地方计量标准和标准物质，依法管理计量器具，组织本地量值传递和比对工作，监督管理商品量、市场计量行为和计量仲裁检定。</w:t>
      </w:r>
    </w:p>
    <w:p>
      <w:pPr>
        <w:pStyle w:val="22"/>
      </w:pPr>
      <w:r>
        <w:t>33、负责统一管理、监督和综合协调认证认可工作，依法对检验检测机构进行监督管理，对认证认可相关的社会中介服务机构实施资格认可和监督管理，协调和监督强制性认证和自愿性认证工作，引导企业按国际惯例进行各种认证。</w:t>
      </w:r>
    </w:p>
    <w:p>
      <w:pPr>
        <w:pStyle w:val="22"/>
      </w:pPr>
      <w:r>
        <w:t>34、负责食品包装材料、容器、食品生产经营工具等食品相关产品的质量监督管理。</w:t>
      </w:r>
    </w:p>
    <w:p>
      <w:pPr>
        <w:pStyle w:val="22"/>
      </w:pPr>
      <w:r>
        <w:t>35、负责特种设备安全监督管理工作。</w:t>
      </w:r>
    </w:p>
    <w:p>
      <w:pPr>
        <w:pStyle w:val="22"/>
      </w:pPr>
      <w:r>
        <w:t>36、负责制定并组织实施质量技术监督的科技发展和技术机构建设规划，组织有关科研和技术引进工作。</w:t>
      </w:r>
    </w:p>
    <w:p>
      <w:pPr>
        <w:pStyle w:val="22"/>
      </w:pPr>
      <w:r>
        <w:t>37、承办县政府交办的其他事项。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平乡县市场监督管理局本级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3"/>
      </w:pPr>
      <w:r>
        <w:t>1、收入说明</w:t>
      </w:r>
    </w:p>
    <w:p>
      <w:pPr>
        <w:pStyle w:val="23"/>
      </w:pPr>
      <w:r>
        <w:t>反映本</w:t>
      </w:r>
      <w:r>
        <w:rPr>
          <w:rFonts w:hint="eastAsia"/>
          <w:lang w:val="en-US" w:eastAsia="zh-CN"/>
        </w:rPr>
        <w:t>单位</w:t>
      </w:r>
      <w:r>
        <w:t>当年全部收入。2023年预算收入2581.38万元，其中：一般公共预算收入2581.38万元，基金预算收入0万元，财政专户核拨收入0万元，其他来源收入0万元，上年结转0万元。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收支预算总表支出栏、基本支出表、项目支出表按经济分类和支出功能分类科目编制，反映平乡县市场监督管理局</w:t>
      </w:r>
      <w:r>
        <w:rPr>
          <w:rFonts w:hint="eastAsia"/>
          <w:lang w:val="en-US" w:eastAsia="zh-CN"/>
        </w:rPr>
        <w:t>本级</w:t>
      </w:r>
      <w:r>
        <w:t>年度预算中支出预算的总体情况。2023年支出预算为2581.38万元，其中基本支出2001.05万元，包括人员经费1885.54万元和日常公用经费115.51万元；项目支出580.33万元，主要为市场秩序执法、市场主体监管和人员公用经费等。</w:t>
      </w:r>
    </w:p>
    <w:p>
      <w:pPr>
        <w:pStyle w:val="23"/>
      </w:pPr>
      <w:r>
        <w:t>3、比上年增减情况</w:t>
      </w:r>
    </w:p>
    <w:p>
      <w:pPr>
        <w:pStyle w:val="23"/>
      </w:pPr>
      <w:r>
        <w:t>2023年预算收支安排2581.38万元，较2022年增加20.37万元，其中：基本支出增加73.49万元，主要是人员增加，相应增加人员经费和日常公用经费；项目支出减少53.12万元，主要是项目数量减少。</w:t>
      </w:r>
    </w:p>
    <w:p>
      <w:pPr>
        <w:pStyle w:val="23"/>
      </w:pPr>
      <w:r>
        <w:t>2023年，我部门财政拨款“三公”经费预算安排10.6 万元，其中因公出国（境）费0万元；公务用车购置及运行费10.3万元（其中：公务用车购置费为0万元，公务用车运维费10.3万元）；公务接待费0.3万元。与2022年相比减少  1.6万元。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w:t>
      </w:r>
      <w:r>
        <w:rPr>
          <w:rFonts w:hint="eastAsia"/>
          <w:lang w:val="en-US" w:eastAsia="zh-CN"/>
        </w:rPr>
        <w:t>单位</w:t>
      </w:r>
      <w:r>
        <w:t>机关运行经费共计安排116万元，主要用于保证机关正常运转的办公费、邮电费、公务车运行维护费、车补等支出。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2023年，我</w:t>
      </w:r>
      <w:r>
        <w:rPr>
          <w:rFonts w:hint="eastAsia"/>
          <w:lang w:val="en-US" w:eastAsia="zh-CN"/>
        </w:rPr>
        <w:t>单位</w:t>
      </w:r>
      <w:r>
        <w:t>财政拨款“三公”经费预算安排10.6 万元，其中因公出国（境）费0万元；公务用车购置及运行费10.3万元（其中：公务用车购置费为0万元，公务用车运维费10.3万元）；公务接待费0.3万元。与2022年相比减少 1.6万元。</w:t>
      </w:r>
    </w:p>
    <w:p>
      <w:pPr>
        <w:pStyle w:val="20"/>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imes New Roman" w:hAnsi="Times New Roman" w:eastAsia="Times New Roman" w:cstheme="minorBidi"/>
          <w:sz w:val="24"/>
          <w:szCs w:val="24"/>
          <w:lang w:val="en-US" w:eastAsia="uk-UA" w:bidi="ar-SA"/>
        </w:rPr>
      </w:pPr>
    </w:p>
    <w:p>
      <w:pPr>
        <w:bidi w:val="0"/>
        <w:rPr>
          <w:lang w:val="en-US" w:eastAsia="uk-UA"/>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pPr>
      <w:r>
        <w:rPr>
          <w:rFonts w:ascii="方正仿宋_GBK" w:hAnsi="方正仿宋_GBK" w:eastAsia="方正仿宋_GBK" w:cs="方正仿宋_GBK"/>
          <w:b/>
          <w:color w:val="000000"/>
          <w:sz w:val="28"/>
        </w:rPr>
        <w:t>1、场所运行维护经费绩效目标表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该项目资金除用于办公主体楼以及院落维修维护开支之外，还用于办公场所其它硬件的维修维护开支，以确保办公楼各项软件硬件设施能够正常运行，能够满足职工日常工作需求，同时也为更好的开展机关各项工作提供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维修维护后验收合格的比率</w:t>
            </w:r>
          </w:p>
        </w:tc>
        <w:tc>
          <w:tcPr>
            <w:tcW w:w="2466" w:type="dxa"/>
            <w:vAlign w:val="center"/>
          </w:tcPr>
          <w:p>
            <w:pPr>
              <w:pStyle w:val="12"/>
            </w:pPr>
            <w:r>
              <w:t>≥95%</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地面硬化及院墙维修面积</w:t>
            </w:r>
          </w:p>
        </w:tc>
        <w:tc>
          <w:tcPr>
            <w:tcW w:w="2466" w:type="dxa"/>
            <w:vAlign w:val="center"/>
          </w:tcPr>
          <w:p>
            <w:pPr>
              <w:pStyle w:val="12"/>
            </w:pPr>
            <w:r>
              <w:t>办公场所地面硬化及院墙维修面积数</w:t>
            </w:r>
          </w:p>
        </w:tc>
        <w:tc>
          <w:tcPr>
            <w:tcW w:w="2466" w:type="dxa"/>
            <w:vAlign w:val="center"/>
          </w:tcPr>
          <w:p>
            <w:pPr>
              <w:pStyle w:val="12"/>
            </w:pPr>
            <w:r>
              <w:t>≥600平</w:t>
            </w:r>
          </w:p>
        </w:tc>
        <w:tc>
          <w:tcPr>
            <w:tcW w:w="2466" w:type="dxa"/>
            <w:vAlign w:val="center"/>
          </w:tcPr>
          <w:p>
            <w:pPr>
              <w:pStyle w:val="12"/>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故障维护及时率</w:t>
            </w:r>
          </w:p>
        </w:tc>
        <w:tc>
          <w:tcPr>
            <w:tcW w:w="2466" w:type="dxa"/>
            <w:vAlign w:val="center"/>
          </w:tcPr>
          <w:p>
            <w:pPr>
              <w:pStyle w:val="12"/>
            </w:pPr>
            <w:r>
              <w:t>办公场所发生故障维护及时比率</w:t>
            </w:r>
          </w:p>
        </w:tc>
        <w:tc>
          <w:tcPr>
            <w:tcW w:w="2466" w:type="dxa"/>
            <w:vAlign w:val="center"/>
          </w:tcPr>
          <w:p>
            <w:pPr>
              <w:pStyle w:val="12"/>
            </w:pPr>
            <w:r>
              <w:t>≥90%</w:t>
            </w:r>
          </w:p>
        </w:tc>
        <w:tc>
          <w:tcPr>
            <w:tcW w:w="2466" w:type="dxa"/>
            <w:vAlign w:val="center"/>
          </w:tcPr>
          <w:p>
            <w:pPr>
              <w:pStyle w:val="12"/>
            </w:pPr>
            <w:r>
              <w:t>修缮验收报告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地面硬化及院墙维修成本</w:t>
            </w:r>
          </w:p>
        </w:tc>
        <w:tc>
          <w:tcPr>
            <w:tcW w:w="2466" w:type="dxa"/>
            <w:vAlign w:val="center"/>
          </w:tcPr>
          <w:p>
            <w:pPr>
              <w:pStyle w:val="12"/>
            </w:pPr>
            <w:r>
              <w:t xml:space="preserve"> 地面硬化及院墙维修成本低于预算金额</w:t>
            </w:r>
          </w:p>
        </w:tc>
        <w:tc>
          <w:tcPr>
            <w:tcW w:w="2466" w:type="dxa"/>
            <w:vAlign w:val="center"/>
          </w:tcPr>
          <w:p>
            <w:pPr>
              <w:pStyle w:val="12"/>
            </w:pPr>
            <w:r>
              <w:t>≤27万元</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通过改善办公条件，提高保障业务能力，更好为社会服务</w:t>
            </w:r>
          </w:p>
        </w:tc>
        <w:tc>
          <w:tcPr>
            <w:tcW w:w="2466" w:type="dxa"/>
            <w:vAlign w:val="center"/>
          </w:tcPr>
          <w:p>
            <w:pPr>
              <w:pStyle w:val="12"/>
            </w:pPr>
            <w:r>
              <w:t>通过改善办公条件，提高保障业务能力，更好为社会服务</w:t>
            </w:r>
          </w:p>
        </w:tc>
        <w:tc>
          <w:tcPr>
            <w:tcW w:w="2466" w:type="dxa"/>
            <w:vAlign w:val="center"/>
          </w:tcPr>
          <w:p>
            <w:pPr>
              <w:pStyle w:val="12"/>
            </w:pPr>
            <w:r>
              <w:t>可以更好为社会服务</w:t>
            </w:r>
          </w:p>
        </w:tc>
        <w:tc>
          <w:tcPr>
            <w:tcW w:w="2466" w:type="dxa"/>
            <w:vAlign w:val="center"/>
          </w:tcPr>
          <w:p>
            <w:pPr>
              <w:pStyle w:val="12"/>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持续维护工作环境</w:t>
            </w:r>
          </w:p>
        </w:tc>
        <w:tc>
          <w:tcPr>
            <w:tcW w:w="2466" w:type="dxa"/>
            <w:vAlign w:val="center"/>
          </w:tcPr>
          <w:p>
            <w:pPr>
              <w:pStyle w:val="12"/>
            </w:pPr>
            <w:r>
              <w:t>经维修维护后工作环境正常天数</w:t>
            </w:r>
          </w:p>
        </w:tc>
        <w:tc>
          <w:tcPr>
            <w:tcW w:w="2466" w:type="dxa"/>
            <w:vAlign w:val="center"/>
          </w:tcPr>
          <w:p>
            <w:pPr>
              <w:pStyle w:val="12"/>
            </w:pPr>
            <w:r>
              <w:t>≥350天</w:t>
            </w:r>
          </w:p>
        </w:tc>
        <w:tc>
          <w:tcPr>
            <w:tcW w:w="2466" w:type="dxa"/>
            <w:vAlign w:val="center"/>
          </w:tcPr>
          <w:p>
            <w:pPr>
              <w:pStyle w:val="12"/>
            </w:pPr>
            <w:r>
              <w:t>维修报告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对单位形象提升程度</w:t>
            </w:r>
          </w:p>
        </w:tc>
        <w:tc>
          <w:tcPr>
            <w:tcW w:w="2466" w:type="dxa"/>
            <w:vAlign w:val="center"/>
          </w:tcPr>
          <w:p>
            <w:pPr>
              <w:pStyle w:val="12"/>
            </w:pPr>
            <w:r>
              <w:t>单位形象比以往得到提升程度</w:t>
            </w:r>
          </w:p>
        </w:tc>
        <w:tc>
          <w:tcPr>
            <w:tcW w:w="2466" w:type="dxa"/>
            <w:vAlign w:val="center"/>
          </w:tcPr>
          <w:p>
            <w:pPr>
              <w:pStyle w:val="12"/>
            </w:pPr>
            <w:r>
              <w:t>单位的形象得到显著提升</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单位职工满意度（%）</w:t>
            </w:r>
          </w:p>
        </w:tc>
        <w:tc>
          <w:tcPr>
            <w:tcW w:w="2466" w:type="dxa"/>
            <w:vAlign w:val="center"/>
          </w:tcPr>
          <w:p>
            <w:pPr>
              <w:pStyle w:val="12"/>
            </w:pPr>
            <w:r>
              <w:t>单位职工满意度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施工效率满意度（%）</w:t>
            </w:r>
          </w:p>
        </w:tc>
        <w:tc>
          <w:tcPr>
            <w:tcW w:w="2466" w:type="dxa"/>
            <w:vAlign w:val="center"/>
          </w:tcPr>
          <w:p>
            <w:pPr>
              <w:pStyle w:val="12"/>
            </w:pPr>
            <w:r>
              <w:t>施工效率满意度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2、国家轻工业自行车质量监督检测中心河北分中心补助经费绩效目标表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增加资金投入和人才选聘，进一步完善内部质量管理体系，使其满足标准要求，年内通过中国合格评定国家认可委员会的CNAS实验室认可，加强业内合作交流，提升检测水平，扩大检测范围，努力争创国家3C指定实验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购置设备数量</w:t>
            </w:r>
          </w:p>
        </w:tc>
        <w:tc>
          <w:tcPr>
            <w:tcW w:w="2466" w:type="dxa"/>
            <w:vAlign w:val="center"/>
          </w:tcPr>
          <w:p>
            <w:pPr>
              <w:pStyle w:val="12"/>
            </w:pPr>
            <w:r>
              <w:t xml:space="preserve"> 购置设备数量</w:t>
            </w:r>
          </w:p>
        </w:tc>
        <w:tc>
          <w:tcPr>
            <w:tcW w:w="2466" w:type="dxa"/>
            <w:vAlign w:val="center"/>
          </w:tcPr>
          <w:p>
            <w:pPr>
              <w:pStyle w:val="12"/>
            </w:pPr>
            <w:r>
              <w:t>30台</w:t>
            </w:r>
          </w:p>
        </w:tc>
        <w:tc>
          <w:tcPr>
            <w:tcW w:w="2466" w:type="dxa"/>
            <w:vAlign w:val="center"/>
          </w:tcPr>
          <w:p>
            <w:pPr>
              <w:pStyle w:val="12"/>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开展合作交流次数（次）</w:t>
            </w:r>
          </w:p>
        </w:tc>
        <w:tc>
          <w:tcPr>
            <w:tcW w:w="2466" w:type="dxa"/>
            <w:vAlign w:val="center"/>
          </w:tcPr>
          <w:p>
            <w:pPr>
              <w:pStyle w:val="12"/>
            </w:pPr>
            <w:r>
              <w:t>对外开展合作交流的次数</w:t>
            </w:r>
          </w:p>
        </w:tc>
        <w:tc>
          <w:tcPr>
            <w:tcW w:w="2466" w:type="dxa"/>
            <w:vAlign w:val="center"/>
          </w:tcPr>
          <w:p>
            <w:pPr>
              <w:pStyle w:val="12"/>
            </w:pPr>
            <w:r>
              <w:t>≥2次</w:t>
            </w:r>
          </w:p>
        </w:tc>
        <w:tc>
          <w:tcPr>
            <w:tcW w:w="2466" w:type="dxa"/>
            <w:vAlign w:val="center"/>
          </w:tcPr>
          <w:p>
            <w:pPr>
              <w:pStyle w:val="12"/>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认定成功率</w:t>
            </w:r>
          </w:p>
        </w:tc>
        <w:tc>
          <w:tcPr>
            <w:tcW w:w="2466" w:type="dxa"/>
            <w:vAlign w:val="center"/>
          </w:tcPr>
          <w:p>
            <w:pPr>
              <w:pStyle w:val="12"/>
            </w:pPr>
            <w:r>
              <w:t xml:space="preserve"> 认定成功率</w:t>
            </w:r>
          </w:p>
        </w:tc>
        <w:tc>
          <w:tcPr>
            <w:tcW w:w="2466" w:type="dxa"/>
            <w:vAlign w:val="center"/>
          </w:tcPr>
          <w:p>
            <w:pPr>
              <w:pStyle w:val="12"/>
            </w:pPr>
            <w:r>
              <w:t>≥85%</w:t>
            </w:r>
          </w:p>
        </w:tc>
        <w:tc>
          <w:tcPr>
            <w:tcW w:w="2466" w:type="dxa"/>
            <w:vAlign w:val="center"/>
          </w:tcPr>
          <w:p>
            <w:pPr>
              <w:pStyle w:val="12"/>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开展合作交流质量</w:t>
            </w:r>
          </w:p>
        </w:tc>
        <w:tc>
          <w:tcPr>
            <w:tcW w:w="2466" w:type="dxa"/>
            <w:vAlign w:val="center"/>
          </w:tcPr>
          <w:p>
            <w:pPr>
              <w:pStyle w:val="12"/>
            </w:pPr>
            <w:r>
              <w:t>开展合作交流后收获和提高</w:t>
            </w:r>
          </w:p>
        </w:tc>
        <w:tc>
          <w:tcPr>
            <w:tcW w:w="2466" w:type="dxa"/>
            <w:vAlign w:val="center"/>
          </w:tcPr>
          <w:p>
            <w:pPr>
              <w:pStyle w:val="12"/>
            </w:pPr>
            <w:r>
              <w:t>工作水平提高</w:t>
            </w:r>
          </w:p>
        </w:tc>
        <w:tc>
          <w:tcPr>
            <w:tcW w:w="2466" w:type="dxa"/>
            <w:vAlign w:val="center"/>
          </w:tcPr>
          <w:p>
            <w:pPr>
              <w:pStyle w:val="12"/>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认证、认可时效</w:t>
            </w:r>
          </w:p>
        </w:tc>
        <w:tc>
          <w:tcPr>
            <w:tcW w:w="2466" w:type="dxa"/>
            <w:vAlign w:val="center"/>
          </w:tcPr>
          <w:p>
            <w:pPr>
              <w:pStyle w:val="12"/>
            </w:pPr>
            <w:r>
              <w:t xml:space="preserve"> 认证、认可时效</w:t>
            </w:r>
          </w:p>
        </w:tc>
        <w:tc>
          <w:tcPr>
            <w:tcW w:w="2466" w:type="dxa"/>
            <w:vAlign w:val="center"/>
          </w:tcPr>
          <w:p>
            <w:pPr>
              <w:pStyle w:val="12"/>
            </w:pPr>
            <w:r>
              <w:t>≤6月</w:t>
            </w:r>
          </w:p>
        </w:tc>
        <w:tc>
          <w:tcPr>
            <w:tcW w:w="2466" w:type="dxa"/>
            <w:vAlign w:val="center"/>
          </w:tcPr>
          <w:p>
            <w:pPr>
              <w:pStyle w:val="12"/>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服务费成本</w:t>
            </w:r>
          </w:p>
        </w:tc>
        <w:tc>
          <w:tcPr>
            <w:tcW w:w="2466" w:type="dxa"/>
            <w:vAlign w:val="center"/>
          </w:tcPr>
          <w:p>
            <w:pPr>
              <w:pStyle w:val="12"/>
            </w:pPr>
            <w:r>
              <w:t>3C指定实验室年费</w:t>
            </w:r>
          </w:p>
        </w:tc>
        <w:tc>
          <w:tcPr>
            <w:tcW w:w="2466" w:type="dxa"/>
            <w:vAlign w:val="center"/>
          </w:tcPr>
          <w:p>
            <w:pPr>
              <w:pStyle w:val="12"/>
            </w:pPr>
            <w:r>
              <w:t>≤20万元</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 xml:space="preserve"> 为产业出口提供技术支撑，提高经济收入</w:t>
            </w:r>
          </w:p>
        </w:tc>
        <w:tc>
          <w:tcPr>
            <w:tcW w:w="2466" w:type="dxa"/>
            <w:vAlign w:val="center"/>
          </w:tcPr>
          <w:p>
            <w:pPr>
              <w:pStyle w:val="12"/>
            </w:pPr>
            <w:r>
              <w:t>产业出口经济收入提高</w:t>
            </w:r>
          </w:p>
        </w:tc>
        <w:tc>
          <w:tcPr>
            <w:tcW w:w="2466" w:type="dxa"/>
            <w:vAlign w:val="center"/>
          </w:tcPr>
          <w:p>
            <w:pPr>
              <w:pStyle w:val="12"/>
            </w:pPr>
            <w:r>
              <w:t>显著提高</w:t>
            </w:r>
          </w:p>
        </w:tc>
        <w:tc>
          <w:tcPr>
            <w:tcW w:w="2466"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为实现质量强县提供可持续影响</w:t>
            </w:r>
          </w:p>
        </w:tc>
        <w:tc>
          <w:tcPr>
            <w:tcW w:w="2466" w:type="dxa"/>
            <w:vAlign w:val="center"/>
          </w:tcPr>
          <w:p>
            <w:pPr>
              <w:pStyle w:val="12"/>
            </w:pPr>
            <w:r>
              <w:t>项目为实现质量强县提供可持续影响的程度</w:t>
            </w:r>
          </w:p>
        </w:tc>
        <w:tc>
          <w:tcPr>
            <w:tcW w:w="2466" w:type="dxa"/>
            <w:vAlign w:val="center"/>
          </w:tcPr>
          <w:p>
            <w:pPr>
              <w:pStyle w:val="12"/>
            </w:pPr>
            <w:r>
              <w:t>影响明显</w:t>
            </w:r>
          </w:p>
        </w:tc>
        <w:tc>
          <w:tcPr>
            <w:tcW w:w="2466"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检测能力提升率</w:t>
            </w:r>
          </w:p>
        </w:tc>
        <w:tc>
          <w:tcPr>
            <w:tcW w:w="2466" w:type="dxa"/>
            <w:vAlign w:val="center"/>
          </w:tcPr>
          <w:p>
            <w:pPr>
              <w:pStyle w:val="12"/>
            </w:pPr>
            <w:r>
              <w:t xml:space="preserve"> 检测能力提升率</w:t>
            </w:r>
          </w:p>
        </w:tc>
        <w:tc>
          <w:tcPr>
            <w:tcW w:w="2466" w:type="dxa"/>
            <w:vAlign w:val="center"/>
          </w:tcPr>
          <w:p>
            <w:pPr>
              <w:pStyle w:val="12"/>
            </w:pPr>
            <w:r>
              <w:t>≥10%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3、冀财行[2022]104号关于提前下达2023年市场监管专项补助经费的通知绩效目标表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1.增强各类市场诚信经营意识和规范网络交易管理，维护市场秩序。依法规范和维护全县各类市场经营秩序，监督管理市场交易行为和网络商品交易及有关服务的行为。依法实施合同行政监督管理。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市场专项整治行动次数</w:t>
            </w:r>
          </w:p>
        </w:tc>
        <w:tc>
          <w:tcPr>
            <w:tcW w:w="2466" w:type="dxa"/>
            <w:vAlign w:val="center"/>
          </w:tcPr>
          <w:p>
            <w:pPr>
              <w:pStyle w:val="12"/>
            </w:pPr>
            <w:r>
              <w:t>市场专项整治行动总次数</w:t>
            </w:r>
          </w:p>
        </w:tc>
        <w:tc>
          <w:tcPr>
            <w:tcW w:w="2466" w:type="dxa"/>
            <w:vAlign w:val="center"/>
          </w:tcPr>
          <w:p>
            <w:pPr>
              <w:pStyle w:val="12"/>
            </w:pPr>
            <w:r>
              <w:t>≥5次</w:t>
            </w:r>
          </w:p>
        </w:tc>
        <w:tc>
          <w:tcPr>
            <w:tcW w:w="2466" w:type="dxa"/>
            <w:vAlign w:val="center"/>
          </w:tcPr>
          <w:p>
            <w:pPr>
              <w:pStyle w:val="12"/>
            </w:pPr>
            <w:r>
              <w:t>行动实施方案和报告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监管执法计划完成率</w:t>
            </w:r>
          </w:p>
        </w:tc>
        <w:tc>
          <w:tcPr>
            <w:tcW w:w="2466" w:type="dxa"/>
            <w:vAlign w:val="center"/>
          </w:tcPr>
          <w:p>
            <w:pPr>
              <w:pStyle w:val="12"/>
            </w:pPr>
            <w:r>
              <w:t>监管执法计划完成总计划数的比率</w:t>
            </w:r>
          </w:p>
        </w:tc>
        <w:tc>
          <w:tcPr>
            <w:tcW w:w="2466" w:type="dxa"/>
            <w:vAlign w:val="center"/>
          </w:tcPr>
          <w:p>
            <w:pPr>
              <w:pStyle w:val="12"/>
            </w:pPr>
            <w:r>
              <w:t>≥90%</w:t>
            </w:r>
          </w:p>
        </w:tc>
        <w:tc>
          <w:tcPr>
            <w:tcW w:w="2466" w:type="dxa"/>
            <w:vAlign w:val="center"/>
          </w:tcPr>
          <w:p>
            <w:pPr>
              <w:pStyle w:val="12"/>
            </w:pPr>
            <w:r>
              <w:t>年初工作计划和案件数量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案件、资料上报及时率</w:t>
            </w:r>
          </w:p>
        </w:tc>
        <w:tc>
          <w:tcPr>
            <w:tcW w:w="2466" w:type="dxa"/>
            <w:vAlign w:val="center"/>
          </w:tcPr>
          <w:p>
            <w:pPr>
              <w:pStyle w:val="12"/>
            </w:pPr>
            <w:r>
              <w:t>案件、资料上报及时数量占总数量的比率</w:t>
            </w:r>
          </w:p>
        </w:tc>
        <w:tc>
          <w:tcPr>
            <w:tcW w:w="2466" w:type="dxa"/>
            <w:vAlign w:val="center"/>
          </w:tcPr>
          <w:p>
            <w:pPr>
              <w:pStyle w:val="12"/>
            </w:pPr>
            <w:r>
              <w:t>≥90%</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控制在预算成本内</w:t>
            </w:r>
          </w:p>
        </w:tc>
        <w:tc>
          <w:tcPr>
            <w:tcW w:w="2466" w:type="dxa"/>
            <w:vAlign w:val="center"/>
          </w:tcPr>
          <w:p>
            <w:pPr>
              <w:pStyle w:val="12"/>
            </w:pPr>
            <w:r>
              <w:t>控制在预算总成本内</w:t>
            </w:r>
          </w:p>
        </w:tc>
        <w:tc>
          <w:tcPr>
            <w:tcW w:w="2466" w:type="dxa"/>
            <w:vAlign w:val="center"/>
          </w:tcPr>
          <w:p>
            <w:pPr>
              <w:pStyle w:val="12"/>
            </w:pPr>
            <w:r>
              <w:t>≤25万</w:t>
            </w:r>
          </w:p>
        </w:tc>
        <w:tc>
          <w:tcPr>
            <w:tcW w:w="2466" w:type="dxa"/>
            <w:vAlign w:val="center"/>
          </w:tcPr>
          <w:p>
            <w:pPr>
              <w:pStyle w:val="12"/>
            </w:pPr>
            <w:r>
              <w:t>上级下达文件通知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对制假售假行为的持续影响效果</w:t>
            </w:r>
          </w:p>
        </w:tc>
        <w:tc>
          <w:tcPr>
            <w:tcW w:w="2466" w:type="dxa"/>
            <w:vAlign w:val="center"/>
          </w:tcPr>
          <w:p>
            <w:pPr>
              <w:pStyle w:val="12"/>
            </w:pPr>
            <w:r>
              <w:t>制假售假案件比上年下降</w:t>
            </w:r>
          </w:p>
        </w:tc>
        <w:tc>
          <w:tcPr>
            <w:tcW w:w="2466" w:type="dxa"/>
            <w:vAlign w:val="center"/>
          </w:tcPr>
          <w:p>
            <w:pPr>
              <w:pStyle w:val="12"/>
            </w:pPr>
            <w:r>
              <w:t>制假售假 案件下降</w:t>
            </w:r>
          </w:p>
        </w:tc>
        <w:tc>
          <w:tcPr>
            <w:tcW w:w="2466" w:type="dxa"/>
            <w:vAlign w:val="center"/>
          </w:tcPr>
          <w:p>
            <w:pPr>
              <w:pStyle w:val="12"/>
            </w:pPr>
            <w:r>
              <w:t>案件性质统计表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市场主体增加率</w:t>
            </w:r>
          </w:p>
        </w:tc>
        <w:tc>
          <w:tcPr>
            <w:tcW w:w="2466" w:type="dxa"/>
            <w:vAlign w:val="center"/>
          </w:tcPr>
          <w:p>
            <w:pPr>
              <w:pStyle w:val="12"/>
            </w:pPr>
            <w:r>
              <w:t>市场主体比上年增加比率</w:t>
            </w:r>
          </w:p>
        </w:tc>
        <w:tc>
          <w:tcPr>
            <w:tcW w:w="2466" w:type="dxa"/>
            <w:vAlign w:val="center"/>
          </w:tcPr>
          <w:p>
            <w:pPr>
              <w:pStyle w:val="12"/>
            </w:pPr>
            <w:r>
              <w:t>≥2%</w:t>
            </w:r>
          </w:p>
        </w:tc>
        <w:tc>
          <w:tcPr>
            <w:tcW w:w="2466" w:type="dxa"/>
            <w:vAlign w:val="center"/>
          </w:tcPr>
          <w:p>
            <w:pPr>
              <w:pStyle w:val="12"/>
            </w:pPr>
            <w:r>
              <w:t>审批局报市场主体数量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重大案件发生次数</w:t>
            </w:r>
          </w:p>
        </w:tc>
        <w:tc>
          <w:tcPr>
            <w:tcW w:w="2466" w:type="dxa"/>
            <w:vAlign w:val="center"/>
          </w:tcPr>
          <w:p>
            <w:pPr>
              <w:pStyle w:val="12"/>
            </w:pPr>
            <w:r>
              <w:t>重大案件发生次数</w:t>
            </w:r>
          </w:p>
        </w:tc>
        <w:tc>
          <w:tcPr>
            <w:tcW w:w="2466" w:type="dxa"/>
            <w:vAlign w:val="center"/>
          </w:tcPr>
          <w:p>
            <w:pPr>
              <w:pStyle w:val="12"/>
            </w:pPr>
            <w:r>
              <w:t>≤2次</w:t>
            </w:r>
          </w:p>
        </w:tc>
        <w:tc>
          <w:tcPr>
            <w:tcW w:w="2466" w:type="dxa"/>
            <w:vAlign w:val="center"/>
          </w:tcPr>
          <w:p>
            <w:pPr>
              <w:pStyle w:val="12"/>
            </w:pPr>
            <w:r>
              <w:t>重大案件报告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4、检测服务费绩效目标表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1.对检验检测工作的相关业务流程进行优化,提升检验检测能力，提高检验中心的服务质量,增强检验中心的核心竞争力,提升品质平乡美誉度。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检验批次</w:t>
            </w:r>
          </w:p>
        </w:tc>
        <w:tc>
          <w:tcPr>
            <w:tcW w:w="2466" w:type="dxa"/>
            <w:vAlign w:val="center"/>
          </w:tcPr>
          <w:p>
            <w:pPr>
              <w:pStyle w:val="12"/>
            </w:pPr>
            <w:r>
              <w:t>产品检验总批次数量</w:t>
            </w:r>
          </w:p>
        </w:tc>
        <w:tc>
          <w:tcPr>
            <w:tcW w:w="2466" w:type="dxa"/>
            <w:vAlign w:val="center"/>
          </w:tcPr>
          <w:p>
            <w:pPr>
              <w:pStyle w:val="12"/>
            </w:pPr>
            <w:r>
              <w:t>≥500批</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检测达标率</w:t>
            </w:r>
          </w:p>
        </w:tc>
        <w:tc>
          <w:tcPr>
            <w:tcW w:w="2466" w:type="dxa"/>
            <w:vAlign w:val="center"/>
          </w:tcPr>
          <w:p>
            <w:pPr>
              <w:pStyle w:val="12"/>
            </w:pPr>
            <w:r>
              <w:t>产品检测达标比率</w:t>
            </w:r>
          </w:p>
        </w:tc>
        <w:tc>
          <w:tcPr>
            <w:tcW w:w="2466" w:type="dxa"/>
            <w:vAlign w:val="center"/>
          </w:tcPr>
          <w:p>
            <w:pPr>
              <w:pStyle w:val="12"/>
            </w:pPr>
            <w:r>
              <w:t>≥90%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检测及时率</w:t>
            </w:r>
          </w:p>
        </w:tc>
        <w:tc>
          <w:tcPr>
            <w:tcW w:w="2466" w:type="dxa"/>
            <w:vAlign w:val="center"/>
          </w:tcPr>
          <w:p>
            <w:pPr>
              <w:pStyle w:val="12"/>
            </w:pPr>
            <w:r>
              <w:t>产品检测及时率</w:t>
            </w:r>
          </w:p>
        </w:tc>
        <w:tc>
          <w:tcPr>
            <w:tcW w:w="2466" w:type="dxa"/>
            <w:vAlign w:val="center"/>
          </w:tcPr>
          <w:p>
            <w:pPr>
              <w:pStyle w:val="12"/>
            </w:pPr>
            <w:r>
              <w:t>≥90%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检测成本</w:t>
            </w:r>
          </w:p>
        </w:tc>
        <w:tc>
          <w:tcPr>
            <w:tcW w:w="2466" w:type="dxa"/>
            <w:vAlign w:val="center"/>
          </w:tcPr>
          <w:p>
            <w:pPr>
              <w:pStyle w:val="12"/>
            </w:pPr>
            <w:r>
              <w:t>单个产品检测成本金额</w:t>
            </w:r>
          </w:p>
        </w:tc>
        <w:tc>
          <w:tcPr>
            <w:tcW w:w="2466" w:type="dxa"/>
            <w:vAlign w:val="center"/>
          </w:tcPr>
          <w:p>
            <w:pPr>
              <w:pStyle w:val="12"/>
            </w:pPr>
            <w:r>
              <w:t>≤1500元</w:t>
            </w:r>
          </w:p>
        </w:tc>
        <w:tc>
          <w:tcPr>
            <w:tcW w:w="2466" w:type="dxa"/>
            <w:vAlign w:val="center"/>
          </w:tcPr>
          <w:p>
            <w:pPr>
              <w:pStyle w:val="12"/>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检测运行时间</w:t>
            </w:r>
          </w:p>
        </w:tc>
        <w:tc>
          <w:tcPr>
            <w:tcW w:w="2466" w:type="dxa"/>
            <w:vAlign w:val="center"/>
          </w:tcPr>
          <w:p>
            <w:pPr>
              <w:pStyle w:val="12"/>
            </w:pPr>
            <w:r>
              <w:t>检测机构正常运行时间</w:t>
            </w:r>
          </w:p>
        </w:tc>
        <w:tc>
          <w:tcPr>
            <w:tcW w:w="2466" w:type="dxa"/>
            <w:vAlign w:val="center"/>
          </w:tcPr>
          <w:p>
            <w:pPr>
              <w:pStyle w:val="12"/>
            </w:pPr>
            <w:r>
              <w:t>≥200天</w:t>
            </w:r>
          </w:p>
        </w:tc>
        <w:tc>
          <w:tcPr>
            <w:tcW w:w="2466" w:type="dxa"/>
            <w:vAlign w:val="center"/>
          </w:tcPr>
          <w:p>
            <w:pPr>
              <w:pStyle w:val="12"/>
            </w:pPr>
            <w:r>
              <w:t>检测报告数量及时间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促进设备检验检测事业发展</w:t>
            </w:r>
          </w:p>
        </w:tc>
        <w:tc>
          <w:tcPr>
            <w:tcW w:w="2466" w:type="dxa"/>
            <w:vAlign w:val="center"/>
          </w:tcPr>
          <w:p>
            <w:pPr>
              <w:pStyle w:val="12"/>
            </w:pPr>
            <w:r>
              <w:t>促进设备检验检测事业快速发展</w:t>
            </w:r>
          </w:p>
        </w:tc>
        <w:tc>
          <w:tcPr>
            <w:tcW w:w="2466" w:type="dxa"/>
            <w:vAlign w:val="center"/>
          </w:tcPr>
          <w:p>
            <w:pPr>
              <w:pStyle w:val="12"/>
            </w:pPr>
            <w:r>
              <w:t>促进检测事业发展</w:t>
            </w:r>
          </w:p>
        </w:tc>
        <w:tc>
          <w:tcPr>
            <w:tcW w:w="2466" w:type="dxa"/>
            <w:vAlign w:val="center"/>
          </w:tcPr>
          <w:p>
            <w:pPr>
              <w:pStyle w:val="12"/>
            </w:pPr>
            <w:r>
              <w:t>检测机构评估报告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促进平乡童车产业发展</w:t>
            </w:r>
          </w:p>
        </w:tc>
        <w:tc>
          <w:tcPr>
            <w:tcW w:w="2466" w:type="dxa"/>
            <w:vAlign w:val="center"/>
          </w:tcPr>
          <w:p>
            <w:pPr>
              <w:pStyle w:val="12"/>
            </w:pPr>
            <w:r>
              <w:t>平乡童车质量的认可程度</w:t>
            </w:r>
          </w:p>
        </w:tc>
        <w:tc>
          <w:tcPr>
            <w:tcW w:w="2466" w:type="dxa"/>
            <w:vAlign w:val="center"/>
          </w:tcPr>
          <w:p>
            <w:pPr>
              <w:pStyle w:val="12"/>
            </w:pPr>
            <w:r>
              <w:t>逐步提高</w:t>
            </w:r>
          </w:p>
        </w:tc>
        <w:tc>
          <w:tcPr>
            <w:tcW w:w="246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服务群体满意度(％)</w:t>
            </w:r>
          </w:p>
        </w:tc>
        <w:tc>
          <w:tcPr>
            <w:tcW w:w="2466" w:type="dxa"/>
            <w:vAlign w:val="center"/>
          </w:tcPr>
          <w:p>
            <w:pPr>
              <w:pStyle w:val="12"/>
            </w:pPr>
            <w:r>
              <w:t>服务群体满意度(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5、落实重新安置军队退役人员待遇绩效目标表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w:t>
            </w:r>
          </w:p>
        </w:tc>
        <w:tc>
          <w:tcPr>
            <w:tcW w:w="2466" w:type="dxa"/>
            <w:vAlign w:val="center"/>
          </w:tcPr>
          <w:p>
            <w:pPr>
              <w:pStyle w:val="12"/>
            </w:pPr>
            <w:r>
              <w:t>享受待遇的人数</w:t>
            </w:r>
          </w:p>
        </w:tc>
        <w:tc>
          <w:tcPr>
            <w:tcW w:w="2466" w:type="dxa"/>
            <w:vAlign w:val="center"/>
          </w:tcPr>
          <w:p>
            <w:pPr>
              <w:pStyle w:val="12"/>
            </w:pPr>
            <w:r>
              <w:t>9人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实际发放金额占应发金额的比率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每月20日前发放到位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每个人每月平均发放工资标准</w:t>
            </w:r>
          </w:p>
        </w:tc>
        <w:tc>
          <w:tcPr>
            <w:tcW w:w="2466" w:type="dxa"/>
            <w:vAlign w:val="center"/>
          </w:tcPr>
          <w:p>
            <w:pPr>
              <w:pStyle w:val="12"/>
            </w:pPr>
            <w:r>
              <w:t>≤8450元/人/月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人员正常可持续服务能力</w:t>
            </w:r>
          </w:p>
        </w:tc>
        <w:tc>
          <w:tcPr>
            <w:tcW w:w="2466" w:type="dxa"/>
            <w:vAlign w:val="center"/>
          </w:tcPr>
          <w:p>
            <w:pPr>
              <w:pStyle w:val="12"/>
            </w:pPr>
            <w:r>
              <w:t>不因工资发放不及时或社保缴纳不及时人员流失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保障工作正常运转，提升服务社会效率</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职工满意人数占总人数的比率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6、食品安全监管经费绩效目标表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1.规范重大活动餐饮服务和节日期间单位食品安全监管，确保大型政治、经济、文化、体育活动以及在我县范围内举办各类大型会议等活动期间的餐饮服务食品安全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重大活动餐饮服务接待单位食品抽检合格率</w:t>
            </w:r>
          </w:p>
        </w:tc>
        <w:tc>
          <w:tcPr>
            <w:tcW w:w="2466" w:type="dxa"/>
            <w:vAlign w:val="center"/>
          </w:tcPr>
          <w:p>
            <w:pPr>
              <w:pStyle w:val="12"/>
            </w:pPr>
            <w:r>
              <w:t>重大活动餐饮服务接待单位食品抽检合格率</w:t>
            </w:r>
          </w:p>
        </w:tc>
        <w:tc>
          <w:tcPr>
            <w:tcW w:w="2466" w:type="dxa"/>
            <w:vAlign w:val="center"/>
          </w:tcPr>
          <w:p>
            <w:pPr>
              <w:pStyle w:val="12"/>
            </w:pPr>
            <w:r>
              <w:t>≥95%</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食品监督抽检数据</w:t>
            </w:r>
          </w:p>
        </w:tc>
        <w:tc>
          <w:tcPr>
            <w:tcW w:w="2466" w:type="dxa"/>
            <w:vAlign w:val="center"/>
          </w:tcPr>
          <w:p>
            <w:pPr>
              <w:pStyle w:val="12"/>
            </w:pPr>
            <w:r>
              <w:t>食品监督抽检数据批次</w:t>
            </w:r>
          </w:p>
        </w:tc>
        <w:tc>
          <w:tcPr>
            <w:tcW w:w="2466" w:type="dxa"/>
            <w:vAlign w:val="center"/>
          </w:tcPr>
          <w:p>
            <w:pPr>
              <w:pStyle w:val="12"/>
            </w:pPr>
            <w:r>
              <w:t>≥125批</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办案及时率</w:t>
            </w:r>
          </w:p>
        </w:tc>
        <w:tc>
          <w:tcPr>
            <w:tcW w:w="2466" w:type="dxa"/>
            <w:vAlign w:val="center"/>
          </w:tcPr>
          <w:p>
            <w:pPr>
              <w:pStyle w:val="12"/>
            </w:pPr>
            <w:r>
              <w:t>食品案件办案及时率</w:t>
            </w:r>
          </w:p>
        </w:tc>
        <w:tc>
          <w:tcPr>
            <w:tcW w:w="2466" w:type="dxa"/>
            <w:vAlign w:val="center"/>
          </w:tcPr>
          <w:p>
            <w:pPr>
              <w:pStyle w:val="12"/>
            </w:pPr>
            <w:r>
              <w:t>≥95%</w:t>
            </w:r>
          </w:p>
        </w:tc>
        <w:tc>
          <w:tcPr>
            <w:tcW w:w="2466" w:type="dxa"/>
            <w:vAlign w:val="center"/>
          </w:tcPr>
          <w:p>
            <w:pPr>
              <w:pStyle w:val="12"/>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抽检成本</w:t>
            </w:r>
          </w:p>
        </w:tc>
        <w:tc>
          <w:tcPr>
            <w:tcW w:w="2466" w:type="dxa"/>
            <w:vAlign w:val="center"/>
          </w:tcPr>
          <w:p>
            <w:pPr>
              <w:pStyle w:val="12"/>
            </w:pPr>
            <w:r>
              <w:t>食品案件抽检成本</w:t>
            </w:r>
          </w:p>
        </w:tc>
        <w:tc>
          <w:tcPr>
            <w:tcW w:w="2466" w:type="dxa"/>
            <w:vAlign w:val="center"/>
          </w:tcPr>
          <w:p>
            <w:pPr>
              <w:pStyle w:val="12"/>
            </w:pPr>
            <w:r>
              <w:t>≤800元/次</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餐饮服务接待单位达标率</w:t>
            </w:r>
          </w:p>
        </w:tc>
        <w:tc>
          <w:tcPr>
            <w:tcW w:w="2466" w:type="dxa"/>
            <w:vAlign w:val="center"/>
          </w:tcPr>
          <w:p>
            <w:pPr>
              <w:pStyle w:val="12"/>
            </w:pPr>
            <w:r>
              <w:t xml:space="preserve"> 助力餐饮服务接待单位持续提供合格服务</w:t>
            </w:r>
          </w:p>
        </w:tc>
        <w:tc>
          <w:tcPr>
            <w:tcW w:w="2466" w:type="dxa"/>
            <w:vAlign w:val="center"/>
          </w:tcPr>
          <w:p>
            <w:pPr>
              <w:pStyle w:val="12"/>
            </w:pPr>
            <w:r>
              <w:t>≥95%</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提升食品安全</w:t>
            </w:r>
          </w:p>
        </w:tc>
        <w:tc>
          <w:tcPr>
            <w:tcW w:w="2466" w:type="dxa"/>
            <w:vAlign w:val="center"/>
          </w:tcPr>
          <w:p>
            <w:pPr>
              <w:pStyle w:val="12"/>
            </w:pPr>
            <w:r>
              <w:t>提升相关经营单位的食品安全</w:t>
            </w:r>
          </w:p>
        </w:tc>
        <w:tc>
          <w:tcPr>
            <w:tcW w:w="2466" w:type="dxa"/>
            <w:vAlign w:val="center"/>
          </w:tcPr>
          <w:p>
            <w:pPr>
              <w:pStyle w:val="12"/>
            </w:pPr>
            <w:r>
              <w:t>食品安全案件大幅度下降</w:t>
            </w:r>
          </w:p>
        </w:tc>
        <w:tc>
          <w:tcPr>
            <w:tcW w:w="2466" w:type="dxa"/>
            <w:vAlign w:val="center"/>
          </w:tcPr>
          <w:p>
            <w:pPr>
              <w:pStyle w:val="12"/>
            </w:pPr>
            <w:r>
              <w:t>食品案件数量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群众投诉下降率（%）</w:t>
            </w:r>
          </w:p>
        </w:tc>
        <w:tc>
          <w:tcPr>
            <w:tcW w:w="2466" w:type="dxa"/>
            <w:vAlign w:val="center"/>
          </w:tcPr>
          <w:p>
            <w:pPr>
              <w:pStyle w:val="12"/>
            </w:pPr>
            <w:r>
              <w:t>群众投诉案件较去年下降比率</w:t>
            </w:r>
          </w:p>
        </w:tc>
        <w:tc>
          <w:tcPr>
            <w:tcW w:w="2466" w:type="dxa"/>
            <w:vAlign w:val="center"/>
          </w:tcPr>
          <w:p>
            <w:pPr>
              <w:pStyle w:val="12"/>
            </w:pPr>
            <w:r>
              <w:t>≥10%</w:t>
            </w:r>
          </w:p>
        </w:tc>
        <w:tc>
          <w:tcPr>
            <w:tcW w:w="2466" w:type="dxa"/>
            <w:vAlign w:val="center"/>
          </w:tcPr>
          <w:p>
            <w:pPr>
              <w:pStyle w:val="12"/>
            </w:pPr>
            <w:r>
              <w:t>食品案件投诉计录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7、食品抽检经费绩效目标表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1.根据抽检计划1、开展食品安全宣传，开展大型宣传12次，制作宣传品50000份；2、抽检食品600批次。使群众吃上放心食品。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抽检合格率</w:t>
            </w:r>
          </w:p>
        </w:tc>
        <w:tc>
          <w:tcPr>
            <w:tcW w:w="2466" w:type="dxa"/>
            <w:vAlign w:val="center"/>
          </w:tcPr>
          <w:p>
            <w:pPr>
              <w:pStyle w:val="12"/>
            </w:pPr>
            <w:r>
              <w:t>食品抽检合格率</w:t>
            </w:r>
          </w:p>
        </w:tc>
        <w:tc>
          <w:tcPr>
            <w:tcW w:w="2466" w:type="dxa"/>
            <w:vAlign w:val="center"/>
          </w:tcPr>
          <w:p>
            <w:pPr>
              <w:pStyle w:val="12"/>
            </w:pPr>
            <w:r>
              <w:t>≥95%</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抽查批次（批次）</w:t>
            </w:r>
          </w:p>
        </w:tc>
        <w:tc>
          <w:tcPr>
            <w:tcW w:w="2466" w:type="dxa"/>
            <w:vAlign w:val="center"/>
          </w:tcPr>
          <w:p>
            <w:pPr>
              <w:pStyle w:val="12"/>
            </w:pPr>
            <w:r>
              <w:t>食品抽查总批次</w:t>
            </w:r>
          </w:p>
        </w:tc>
        <w:tc>
          <w:tcPr>
            <w:tcW w:w="2466" w:type="dxa"/>
            <w:vAlign w:val="center"/>
          </w:tcPr>
          <w:p>
            <w:pPr>
              <w:pStyle w:val="12"/>
            </w:pPr>
            <w:r>
              <w:t>≥1200批次</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开展大型宣传活动</w:t>
            </w:r>
          </w:p>
        </w:tc>
        <w:tc>
          <w:tcPr>
            <w:tcW w:w="2466" w:type="dxa"/>
            <w:vAlign w:val="center"/>
          </w:tcPr>
          <w:p>
            <w:pPr>
              <w:pStyle w:val="12"/>
            </w:pPr>
            <w:r>
              <w:t>开展大型宣传活动的次数</w:t>
            </w:r>
          </w:p>
        </w:tc>
        <w:tc>
          <w:tcPr>
            <w:tcW w:w="2466" w:type="dxa"/>
            <w:vAlign w:val="center"/>
          </w:tcPr>
          <w:p>
            <w:pPr>
              <w:pStyle w:val="12"/>
            </w:pPr>
            <w:r>
              <w:t>12次</w:t>
            </w:r>
          </w:p>
        </w:tc>
        <w:tc>
          <w:tcPr>
            <w:tcW w:w="2466" w:type="dxa"/>
            <w:vAlign w:val="center"/>
          </w:tcPr>
          <w:p>
            <w:pPr>
              <w:pStyle w:val="12"/>
            </w:pPr>
            <w:r>
              <w:t>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制作宣传品</w:t>
            </w:r>
          </w:p>
        </w:tc>
        <w:tc>
          <w:tcPr>
            <w:tcW w:w="2466" w:type="dxa"/>
            <w:vAlign w:val="center"/>
          </w:tcPr>
          <w:p>
            <w:pPr>
              <w:pStyle w:val="12"/>
            </w:pPr>
            <w:r>
              <w:t>制作宣传品的数量</w:t>
            </w:r>
          </w:p>
        </w:tc>
        <w:tc>
          <w:tcPr>
            <w:tcW w:w="2466" w:type="dxa"/>
            <w:vAlign w:val="center"/>
          </w:tcPr>
          <w:p>
            <w:pPr>
              <w:pStyle w:val="12"/>
            </w:pPr>
            <w:r>
              <w:t>50000份</w:t>
            </w:r>
          </w:p>
        </w:tc>
        <w:tc>
          <w:tcPr>
            <w:tcW w:w="2466" w:type="dxa"/>
            <w:vAlign w:val="center"/>
          </w:tcPr>
          <w:p>
            <w:pPr>
              <w:pStyle w:val="12"/>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抽查及时率（%）</w:t>
            </w:r>
          </w:p>
        </w:tc>
        <w:tc>
          <w:tcPr>
            <w:tcW w:w="2466" w:type="dxa"/>
            <w:vAlign w:val="center"/>
          </w:tcPr>
          <w:p>
            <w:pPr>
              <w:pStyle w:val="12"/>
            </w:pPr>
            <w:r>
              <w:t>食品案件抽查及时率</w:t>
            </w:r>
          </w:p>
        </w:tc>
        <w:tc>
          <w:tcPr>
            <w:tcW w:w="2466" w:type="dxa"/>
            <w:vAlign w:val="center"/>
          </w:tcPr>
          <w:p>
            <w:pPr>
              <w:pStyle w:val="12"/>
            </w:pPr>
            <w:r>
              <w:t>≥90%</w:t>
            </w:r>
          </w:p>
        </w:tc>
        <w:tc>
          <w:tcPr>
            <w:tcW w:w="2466" w:type="dxa"/>
            <w:vAlign w:val="center"/>
          </w:tcPr>
          <w:p>
            <w:pPr>
              <w:pStyle w:val="12"/>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抽检成本</w:t>
            </w:r>
          </w:p>
        </w:tc>
        <w:tc>
          <w:tcPr>
            <w:tcW w:w="2466" w:type="dxa"/>
            <w:vAlign w:val="center"/>
          </w:tcPr>
          <w:p>
            <w:pPr>
              <w:pStyle w:val="12"/>
            </w:pPr>
            <w:r>
              <w:t>食品抽检每次的成本</w:t>
            </w:r>
          </w:p>
        </w:tc>
        <w:tc>
          <w:tcPr>
            <w:tcW w:w="2466" w:type="dxa"/>
            <w:vAlign w:val="center"/>
          </w:tcPr>
          <w:p>
            <w:pPr>
              <w:pStyle w:val="12"/>
            </w:pPr>
            <w:r>
              <w:t>≤500元</w:t>
            </w:r>
          </w:p>
        </w:tc>
        <w:tc>
          <w:tcPr>
            <w:tcW w:w="2466" w:type="dxa"/>
            <w:vAlign w:val="center"/>
          </w:tcPr>
          <w:p>
            <w:pPr>
              <w:pStyle w:val="12"/>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 xml:space="preserve"> 通过开展安全宣传持续提高产品合格率</w:t>
            </w:r>
          </w:p>
        </w:tc>
        <w:tc>
          <w:tcPr>
            <w:tcW w:w="2466" w:type="dxa"/>
            <w:vAlign w:val="center"/>
          </w:tcPr>
          <w:p>
            <w:pPr>
              <w:pStyle w:val="12"/>
            </w:pPr>
            <w:r>
              <w:t>食品抽检合格率比去年增长比率</w:t>
            </w:r>
          </w:p>
        </w:tc>
        <w:tc>
          <w:tcPr>
            <w:tcW w:w="2466" w:type="dxa"/>
            <w:vAlign w:val="center"/>
          </w:tcPr>
          <w:p>
            <w:pPr>
              <w:pStyle w:val="12"/>
            </w:pPr>
            <w:r>
              <w:t>≥5%</w:t>
            </w:r>
          </w:p>
        </w:tc>
        <w:tc>
          <w:tcPr>
            <w:tcW w:w="2466" w:type="dxa"/>
            <w:vAlign w:val="center"/>
          </w:tcPr>
          <w:p>
            <w:pPr>
              <w:pStyle w:val="12"/>
            </w:pPr>
            <w:r>
              <w:t>食品案件登记表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不合格产品查处率（%）</w:t>
            </w:r>
          </w:p>
        </w:tc>
        <w:tc>
          <w:tcPr>
            <w:tcW w:w="2466" w:type="dxa"/>
            <w:vAlign w:val="center"/>
          </w:tcPr>
          <w:p>
            <w:pPr>
              <w:pStyle w:val="12"/>
            </w:pPr>
            <w:r>
              <w:t>食品不合格产品案件占全部案件查处比率</w:t>
            </w:r>
          </w:p>
        </w:tc>
        <w:tc>
          <w:tcPr>
            <w:tcW w:w="2466" w:type="dxa"/>
            <w:vAlign w:val="center"/>
          </w:tcPr>
          <w:p>
            <w:pPr>
              <w:pStyle w:val="12"/>
            </w:pPr>
            <w:r>
              <w:t>≥90%</w:t>
            </w:r>
          </w:p>
        </w:tc>
        <w:tc>
          <w:tcPr>
            <w:tcW w:w="2466" w:type="dxa"/>
            <w:vAlign w:val="center"/>
          </w:tcPr>
          <w:p>
            <w:pPr>
              <w:pStyle w:val="12"/>
            </w:pPr>
            <w:r>
              <w:t>食品案件数量统计表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食品监督抽检覆盖率（%）</w:t>
            </w:r>
          </w:p>
        </w:tc>
        <w:tc>
          <w:tcPr>
            <w:tcW w:w="2466" w:type="dxa"/>
            <w:vAlign w:val="center"/>
          </w:tcPr>
          <w:p>
            <w:pPr>
              <w:pStyle w:val="12"/>
            </w:pPr>
            <w:r>
              <w:t>食品监督抽检数量占全部食品比率</w:t>
            </w:r>
          </w:p>
        </w:tc>
        <w:tc>
          <w:tcPr>
            <w:tcW w:w="2466" w:type="dxa"/>
            <w:vAlign w:val="center"/>
          </w:tcPr>
          <w:p>
            <w:pPr>
              <w:pStyle w:val="12"/>
            </w:pPr>
            <w:r>
              <w:t>≥90%</w:t>
            </w:r>
          </w:p>
        </w:tc>
        <w:tc>
          <w:tcPr>
            <w:tcW w:w="2466" w:type="dxa"/>
            <w:vAlign w:val="center"/>
          </w:tcPr>
          <w:p>
            <w:pPr>
              <w:pStyle w:val="12"/>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8、实验室认证补助经费绩效目标表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1.优化业务流程，扩大认证资质范围，争创国家3C实验室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认证资质数量</w:t>
            </w:r>
          </w:p>
        </w:tc>
        <w:tc>
          <w:tcPr>
            <w:tcW w:w="2466" w:type="dxa"/>
            <w:vAlign w:val="center"/>
          </w:tcPr>
          <w:p>
            <w:pPr>
              <w:pStyle w:val="12"/>
            </w:pPr>
            <w:r>
              <w:t>获得认证资质总数</w:t>
            </w:r>
          </w:p>
        </w:tc>
        <w:tc>
          <w:tcPr>
            <w:tcW w:w="2466" w:type="dxa"/>
            <w:vAlign w:val="center"/>
          </w:tcPr>
          <w:p>
            <w:pPr>
              <w:pStyle w:val="12"/>
            </w:pPr>
            <w:r>
              <w:t>≥3种类</w:t>
            </w:r>
          </w:p>
        </w:tc>
        <w:tc>
          <w:tcPr>
            <w:tcW w:w="2466" w:type="dxa"/>
            <w:vAlign w:val="center"/>
          </w:tcPr>
          <w:p>
            <w:pPr>
              <w:pStyle w:val="12"/>
            </w:pPr>
            <w:r>
              <w:t>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 xml:space="preserve"> 实验室面积</w:t>
            </w:r>
          </w:p>
        </w:tc>
        <w:tc>
          <w:tcPr>
            <w:tcW w:w="2466" w:type="dxa"/>
            <w:vAlign w:val="center"/>
          </w:tcPr>
          <w:p>
            <w:pPr>
              <w:pStyle w:val="12"/>
            </w:pPr>
            <w:r>
              <w:t xml:space="preserve"> 实验室面积</w:t>
            </w:r>
          </w:p>
        </w:tc>
        <w:tc>
          <w:tcPr>
            <w:tcW w:w="2466" w:type="dxa"/>
            <w:vAlign w:val="center"/>
          </w:tcPr>
          <w:p>
            <w:pPr>
              <w:pStyle w:val="12"/>
            </w:pPr>
            <w:r>
              <w:t>≥3000平方米</w:t>
            </w:r>
          </w:p>
        </w:tc>
        <w:tc>
          <w:tcPr>
            <w:tcW w:w="2466" w:type="dxa"/>
            <w:vAlign w:val="center"/>
          </w:tcPr>
          <w:p>
            <w:pPr>
              <w:pStyle w:val="12"/>
            </w:pPr>
            <w:r>
              <w:t>布局图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认证资质通过率</w:t>
            </w:r>
          </w:p>
        </w:tc>
        <w:tc>
          <w:tcPr>
            <w:tcW w:w="2466" w:type="dxa"/>
            <w:vAlign w:val="center"/>
          </w:tcPr>
          <w:p>
            <w:pPr>
              <w:pStyle w:val="12"/>
            </w:pPr>
            <w:r>
              <w:t>认证通过次数与总次数比率</w:t>
            </w:r>
          </w:p>
        </w:tc>
        <w:tc>
          <w:tcPr>
            <w:tcW w:w="2466" w:type="dxa"/>
            <w:vAlign w:val="center"/>
          </w:tcPr>
          <w:p>
            <w:pPr>
              <w:pStyle w:val="12"/>
            </w:pPr>
            <w:r>
              <w:t>≥85%</w:t>
            </w:r>
          </w:p>
        </w:tc>
        <w:tc>
          <w:tcPr>
            <w:tcW w:w="2466" w:type="dxa"/>
            <w:vAlign w:val="center"/>
          </w:tcPr>
          <w:p>
            <w:pPr>
              <w:pStyle w:val="12"/>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认证时效</w:t>
            </w:r>
          </w:p>
        </w:tc>
        <w:tc>
          <w:tcPr>
            <w:tcW w:w="2466" w:type="dxa"/>
            <w:vAlign w:val="center"/>
          </w:tcPr>
          <w:p>
            <w:pPr>
              <w:pStyle w:val="12"/>
            </w:pPr>
            <w:r>
              <w:t>认证时效</w:t>
            </w:r>
          </w:p>
        </w:tc>
        <w:tc>
          <w:tcPr>
            <w:tcW w:w="2466" w:type="dxa"/>
            <w:vAlign w:val="center"/>
          </w:tcPr>
          <w:p>
            <w:pPr>
              <w:pStyle w:val="12"/>
            </w:pPr>
            <w:r>
              <w:t>≤6月</w:t>
            </w:r>
          </w:p>
        </w:tc>
        <w:tc>
          <w:tcPr>
            <w:tcW w:w="2466" w:type="dxa"/>
            <w:vAlign w:val="center"/>
          </w:tcPr>
          <w:p>
            <w:pPr>
              <w:pStyle w:val="12"/>
            </w:pPr>
            <w:r>
              <w:t>认证计划、认证方案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认证成本</w:t>
            </w:r>
          </w:p>
        </w:tc>
        <w:tc>
          <w:tcPr>
            <w:tcW w:w="2466" w:type="dxa"/>
            <w:vAlign w:val="center"/>
          </w:tcPr>
          <w:p>
            <w:pPr>
              <w:pStyle w:val="12"/>
            </w:pPr>
            <w:r>
              <w:t>认证成本</w:t>
            </w:r>
          </w:p>
        </w:tc>
        <w:tc>
          <w:tcPr>
            <w:tcW w:w="2466" w:type="dxa"/>
            <w:vAlign w:val="center"/>
          </w:tcPr>
          <w:p>
            <w:pPr>
              <w:pStyle w:val="12"/>
            </w:pPr>
            <w:r>
              <w:t>50万元</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 xml:space="preserve"> 提升行业知名度</w:t>
            </w:r>
          </w:p>
        </w:tc>
        <w:tc>
          <w:tcPr>
            <w:tcW w:w="2466" w:type="dxa"/>
            <w:vAlign w:val="center"/>
          </w:tcPr>
          <w:p>
            <w:pPr>
              <w:pStyle w:val="12"/>
            </w:pPr>
            <w:r>
              <w:t xml:space="preserve"> 提升行业知名度</w:t>
            </w:r>
          </w:p>
        </w:tc>
        <w:tc>
          <w:tcPr>
            <w:tcW w:w="2466" w:type="dxa"/>
            <w:vAlign w:val="center"/>
          </w:tcPr>
          <w:p>
            <w:pPr>
              <w:pStyle w:val="12"/>
            </w:pPr>
            <w:r>
              <w:t>显著提升</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提升认证范围覆盖率</w:t>
            </w:r>
          </w:p>
        </w:tc>
        <w:tc>
          <w:tcPr>
            <w:tcW w:w="2466" w:type="dxa"/>
            <w:vAlign w:val="center"/>
          </w:tcPr>
          <w:p>
            <w:pPr>
              <w:pStyle w:val="12"/>
            </w:pPr>
            <w:r>
              <w:t>可认证项目占总体认证项目的比例</w:t>
            </w:r>
          </w:p>
        </w:tc>
        <w:tc>
          <w:tcPr>
            <w:tcW w:w="2466" w:type="dxa"/>
            <w:vAlign w:val="center"/>
          </w:tcPr>
          <w:p>
            <w:pPr>
              <w:pStyle w:val="12"/>
            </w:pPr>
            <w:r>
              <w:t>≥80%</w:t>
            </w:r>
          </w:p>
        </w:tc>
        <w:tc>
          <w:tcPr>
            <w:tcW w:w="2466" w:type="dxa"/>
            <w:vAlign w:val="center"/>
          </w:tcPr>
          <w:p>
            <w:pPr>
              <w:pStyle w:val="12"/>
            </w:pPr>
            <w:r>
              <w:t>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业务能力提升</w:t>
            </w:r>
          </w:p>
        </w:tc>
        <w:tc>
          <w:tcPr>
            <w:tcW w:w="2466" w:type="dxa"/>
            <w:vAlign w:val="center"/>
          </w:tcPr>
          <w:p>
            <w:pPr>
              <w:pStyle w:val="12"/>
            </w:pPr>
            <w:r>
              <w:t>业务能力提升</w:t>
            </w:r>
          </w:p>
        </w:tc>
        <w:tc>
          <w:tcPr>
            <w:tcW w:w="2466" w:type="dxa"/>
            <w:vAlign w:val="center"/>
          </w:tcPr>
          <w:p>
            <w:pPr>
              <w:pStyle w:val="12"/>
            </w:pPr>
            <w:r>
              <w:t>显著提升</w:t>
            </w:r>
          </w:p>
        </w:tc>
        <w:tc>
          <w:tcPr>
            <w:tcW w:w="2466" w:type="dxa"/>
            <w:vAlign w:val="center"/>
          </w:tcPr>
          <w:p>
            <w:pPr>
              <w:pStyle w:val="12"/>
            </w:pPr>
            <w:r>
              <w:t>业务总量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9、市场监督人员工资f绩效目标表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w:t>
            </w:r>
          </w:p>
        </w:tc>
        <w:tc>
          <w:tcPr>
            <w:tcW w:w="2466" w:type="dxa"/>
            <w:vAlign w:val="center"/>
          </w:tcPr>
          <w:p>
            <w:pPr>
              <w:pStyle w:val="12"/>
            </w:pPr>
            <w:r>
              <w:t>享受待遇的人数</w:t>
            </w:r>
          </w:p>
        </w:tc>
        <w:tc>
          <w:tcPr>
            <w:tcW w:w="2466" w:type="dxa"/>
            <w:vAlign w:val="center"/>
          </w:tcPr>
          <w:p>
            <w:pPr>
              <w:pStyle w:val="12"/>
            </w:pPr>
            <w:r>
              <w:t>≥35人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实际发放金额占应发金额的比率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每月20日前发放到位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每个人每月平均发放工资标准</w:t>
            </w:r>
          </w:p>
        </w:tc>
        <w:tc>
          <w:tcPr>
            <w:tcW w:w="2466" w:type="dxa"/>
            <w:vAlign w:val="center"/>
          </w:tcPr>
          <w:p>
            <w:pPr>
              <w:pStyle w:val="12"/>
            </w:pPr>
            <w:r>
              <w:t>≤1886元/人/月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通过保障非全额财政拨款人员的工作待遇，提高市场监督管理能力，更好地为社会服务</w:t>
            </w:r>
          </w:p>
        </w:tc>
        <w:tc>
          <w:tcPr>
            <w:tcW w:w="2466" w:type="dxa"/>
            <w:vAlign w:val="center"/>
          </w:tcPr>
          <w:p>
            <w:pPr>
              <w:pStyle w:val="12"/>
            </w:pPr>
            <w:r>
              <w:t>通过保障非全额财政拨款人员的工作待遇，提高市场监督管理能力，更好地为社会服务</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人员正常可持续服务能力</w:t>
            </w:r>
          </w:p>
        </w:tc>
        <w:tc>
          <w:tcPr>
            <w:tcW w:w="2466" w:type="dxa"/>
            <w:vAlign w:val="center"/>
          </w:tcPr>
          <w:p>
            <w:pPr>
              <w:pStyle w:val="12"/>
            </w:pPr>
            <w:r>
              <w:t>不因工资发放不及时或社保缴纳不及时人员流失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办理单位满意度</w:t>
            </w:r>
          </w:p>
        </w:tc>
        <w:tc>
          <w:tcPr>
            <w:tcW w:w="2466" w:type="dxa"/>
            <w:vAlign w:val="center"/>
          </w:tcPr>
          <w:p>
            <w:pPr>
              <w:pStyle w:val="12"/>
            </w:pPr>
            <w:r>
              <w:t>办理单位对此项工作的满意程度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职工满意人数占总人数的比率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10、市场秩序执法经费绩效目标表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依法查处各类违法行为，组织开展专项执法行动，查处性质恶劣、跨区域、社会影响大、严重损害群众利益和破坏市场秩序的大案要案，开展与执法办案有关的各项工作。构建打击传销体系，促进社会和谐稳定，维护公平竞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办案成本</w:t>
            </w:r>
          </w:p>
        </w:tc>
        <w:tc>
          <w:tcPr>
            <w:tcW w:w="2466" w:type="dxa"/>
            <w:vAlign w:val="center"/>
          </w:tcPr>
          <w:p>
            <w:pPr>
              <w:pStyle w:val="12"/>
            </w:pPr>
            <w:r>
              <w:t>办一次案件成本</w:t>
            </w:r>
          </w:p>
        </w:tc>
        <w:tc>
          <w:tcPr>
            <w:tcW w:w="2466" w:type="dxa"/>
            <w:vAlign w:val="center"/>
          </w:tcPr>
          <w:p>
            <w:pPr>
              <w:pStyle w:val="12"/>
            </w:pPr>
            <w:r>
              <w:t>≤2000元</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执法行动次数（次）</w:t>
            </w:r>
          </w:p>
        </w:tc>
        <w:tc>
          <w:tcPr>
            <w:tcW w:w="2466" w:type="dxa"/>
            <w:vAlign w:val="center"/>
          </w:tcPr>
          <w:p>
            <w:pPr>
              <w:pStyle w:val="12"/>
            </w:pPr>
            <w:r>
              <w:t>执法行动总次数</w:t>
            </w:r>
          </w:p>
        </w:tc>
        <w:tc>
          <w:tcPr>
            <w:tcW w:w="2466" w:type="dxa"/>
            <w:vAlign w:val="center"/>
          </w:tcPr>
          <w:p>
            <w:pPr>
              <w:pStyle w:val="12"/>
            </w:pPr>
            <w:r>
              <w:t>≥100次</w:t>
            </w:r>
          </w:p>
        </w:tc>
        <w:tc>
          <w:tcPr>
            <w:tcW w:w="2466" w:type="dxa"/>
            <w:vAlign w:val="center"/>
          </w:tcPr>
          <w:p>
            <w:pPr>
              <w:pStyle w:val="12"/>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案件办结率（%）</w:t>
            </w:r>
          </w:p>
        </w:tc>
        <w:tc>
          <w:tcPr>
            <w:tcW w:w="2466" w:type="dxa"/>
            <w:vAlign w:val="center"/>
          </w:tcPr>
          <w:p>
            <w:pPr>
              <w:pStyle w:val="12"/>
            </w:pPr>
            <w:r>
              <w:t>案件当年办结比率</w:t>
            </w:r>
          </w:p>
        </w:tc>
        <w:tc>
          <w:tcPr>
            <w:tcW w:w="2466" w:type="dxa"/>
            <w:vAlign w:val="center"/>
          </w:tcPr>
          <w:p>
            <w:pPr>
              <w:pStyle w:val="12"/>
            </w:pPr>
            <w:r>
              <w:t>≥90%</w:t>
            </w:r>
          </w:p>
        </w:tc>
        <w:tc>
          <w:tcPr>
            <w:tcW w:w="2466" w:type="dxa"/>
            <w:vAlign w:val="center"/>
          </w:tcPr>
          <w:p>
            <w:pPr>
              <w:pStyle w:val="12"/>
            </w:pPr>
            <w:r>
              <w:t>案件结案登记表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案件办理及时率</w:t>
            </w:r>
          </w:p>
        </w:tc>
        <w:tc>
          <w:tcPr>
            <w:tcW w:w="2466" w:type="dxa"/>
            <w:vAlign w:val="center"/>
          </w:tcPr>
          <w:p>
            <w:pPr>
              <w:pStyle w:val="12"/>
            </w:pPr>
            <w:r>
              <w:t>案件办理及时比率</w:t>
            </w:r>
          </w:p>
        </w:tc>
        <w:tc>
          <w:tcPr>
            <w:tcW w:w="2466" w:type="dxa"/>
            <w:vAlign w:val="center"/>
          </w:tcPr>
          <w:p>
            <w:pPr>
              <w:pStyle w:val="12"/>
            </w:pPr>
            <w:r>
              <w:t>≥90%</w:t>
            </w:r>
          </w:p>
        </w:tc>
        <w:tc>
          <w:tcPr>
            <w:tcW w:w="2466" w:type="dxa"/>
            <w:vAlign w:val="center"/>
          </w:tcPr>
          <w:p>
            <w:pPr>
              <w:pStyle w:val="12"/>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通过提高执法能力持续降低错案率</w:t>
            </w:r>
          </w:p>
        </w:tc>
        <w:tc>
          <w:tcPr>
            <w:tcW w:w="2466" w:type="dxa"/>
            <w:vAlign w:val="center"/>
          </w:tcPr>
          <w:p>
            <w:pPr>
              <w:pStyle w:val="12"/>
            </w:pPr>
            <w:r>
              <w:t>错案数占案件总数的比率</w:t>
            </w:r>
          </w:p>
        </w:tc>
        <w:tc>
          <w:tcPr>
            <w:tcW w:w="2466" w:type="dxa"/>
            <w:vAlign w:val="center"/>
          </w:tcPr>
          <w:p>
            <w:pPr>
              <w:pStyle w:val="12"/>
            </w:pPr>
            <w:r>
              <w:t>≤2%</w:t>
            </w:r>
          </w:p>
        </w:tc>
        <w:tc>
          <w:tcPr>
            <w:tcW w:w="2466" w:type="dxa"/>
            <w:vAlign w:val="center"/>
          </w:tcPr>
          <w:p>
            <w:pPr>
              <w:pStyle w:val="12"/>
            </w:pPr>
            <w:r>
              <w:t>错案登记表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行政复议下降率（%）</w:t>
            </w:r>
          </w:p>
        </w:tc>
        <w:tc>
          <w:tcPr>
            <w:tcW w:w="2466" w:type="dxa"/>
            <w:vAlign w:val="center"/>
          </w:tcPr>
          <w:p>
            <w:pPr>
              <w:pStyle w:val="12"/>
            </w:pPr>
            <w:r>
              <w:t>行政复议案件比上年复议案件下降比率</w:t>
            </w:r>
          </w:p>
        </w:tc>
        <w:tc>
          <w:tcPr>
            <w:tcW w:w="2466" w:type="dxa"/>
            <w:vAlign w:val="center"/>
          </w:tcPr>
          <w:p>
            <w:pPr>
              <w:pStyle w:val="12"/>
            </w:pPr>
            <w:r>
              <w:t>≥5%</w:t>
            </w:r>
          </w:p>
        </w:tc>
        <w:tc>
          <w:tcPr>
            <w:tcW w:w="2466" w:type="dxa"/>
            <w:vAlign w:val="center"/>
          </w:tcPr>
          <w:p>
            <w:pPr>
              <w:pStyle w:val="12"/>
            </w:pPr>
            <w:r>
              <w:t>行政复议案件登记表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执法办案行为投诉率（%）</w:t>
            </w:r>
          </w:p>
        </w:tc>
        <w:tc>
          <w:tcPr>
            <w:tcW w:w="2466" w:type="dxa"/>
            <w:vAlign w:val="center"/>
          </w:tcPr>
          <w:p>
            <w:pPr>
              <w:pStyle w:val="12"/>
            </w:pPr>
            <w:r>
              <w:t>执法办案行为投诉案件数占总案件数的比率</w:t>
            </w:r>
          </w:p>
        </w:tc>
        <w:tc>
          <w:tcPr>
            <w:tcW w:w="2466" w:type="dxa"/>
            <w:vAlign w:val="center"/>
          </w:tcPr>
          <w:p>
            <w:pPr>
              <w:pStyle w:val="12"/>
            </w:pPr>
            <w:r>
              <w:t>≥10%</w:t>
            </w:r>
          </w:p>
        </w:tc>
        <w:tc>
          <w:tcPr>
            <w:tcW w:w="2466" w:type="dxa"/>
            <w:vAlign w:val="center"/>
          </w:tcPr>
          <w:p>
            <w:pPr>
              <w:pStyle w:val="12"/>
            </w:pPr>
            <w:r>
              <w:t>被投诉案件登记表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服务群体满意度(％)</w:t>
            </w:r>
          </w:p>
        </w:tc>
        <w:tc>
          <w:tcPr>
            <w:tcW w:w="2466" w:type="dxa"/>
            <w:vAlign w:val="center"/>
          </w:tcPr>
          <w:p>
            <w:pPr>
              <w:pStyle w:val="12"/>
            </w:pPr>
            <w:r>
              <w:t>服务群体满意度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11、市场主体管理经费绩效目标表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1.促进市场主体的快速增长。强化信用体系建设，构建“一处违法、处处受限”监管局面，为政府决策和社会公众提供信息服务。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抽查企业数量（家）</w:t>
            </w:r>
          </w:p>
        </w:tc>
        <w:tc>
          <w:tcPr>
            <w:tcW w:w="2466" w:type="dxa"/>
            <w:vAlign w:val="center"/>
          </w:tcPr>
          <w:p>
            <w:pPr>
              <w:pStyle w:val="12"/>
            </w:pPr>
            <w:r>
              <w:t>抽查企业总数量</w:t>
            </w:r>
          </w:p>
        </w:tc>
        <w:tc>
          <w:tcPr>
            <w:tcW w:w="2466" w:type="dxa"/>
            <w:vAlign w:val="center"/>
          </w:tcPr>
          <w:p>
            <w:pPr>
              <w:pStyle w:val="12"/>
            </w:pPr>
            <w:r>
              <w:t>≥1400家</w:t>
            </w:r>
          </w:p>
        </w:tc>
        <w:tc>
          <w:tcPr>
            <w:tcW w:w="2466" w:type="dxa"/>
            <w:vAlign w:val="center"/>
          </w:tcPr>
          <w:p>
            <w:pPr>
              <w:pStyle w:val="12"/>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市场主体违法案件受理办结率（%）</w:t>
            </w:r>
          </w:p>
        </w:tc>
        <w:tc>
          <w:tcPr>
            <w:tcW w:w="2466" w:type="dxa"/>
            <w:vAlign w:val="center"/>
          </w:tcPr>
          <w:p>
            <w:pPr>
              <w:pStyle w:val="12"/>
            </w:pPr>
            <w:r>
              <w:t>市场主体违法案件受理办结占违法案件的比率</w:t>
            </w:r>
          </w:p>
        </w:tc>
        <w:tc>
          <w:tcPr>
            <w:tcW w:w="2466" w:type="dxa"/>
            <w:vAlign w:val="center"/>
          </w:tcPr>
          <w:p>
            <w:pPr>
              <w:pStyle w:val="12"/>
            </w:pPr>
            <w:r>
              <w:t>≤90%</w:t>
            </w:r>
          </w:p>
        </w:tc>
        <w:tc>
          <w:tcPr>
            <w:tcW w:w="2466" w:type="dxa"/>
            <w:vAlign w:val="center"/>
          </w:tcPr>
          <w:p>
            <w:pPr>
              <w:pStyle w:val="12"/>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企业登记及时率（%）</w:t>
            </w:r>
          </w:p>
        </w:tc>
        <w:tc>
          <w:tcPr>
            <w:tcW w:w="2466" w:type="dxa"/>
            <w:vAlign w:val="center"/>
          </w:tcPr>
          <w:p>
            <w:pPr>
              <w:pStyle w:val="12"/>
            </w:pPr>
            <w:r>
              <w:t>企业登记及时率</w:t>
            </w:r>
          </w:p>
        </w:tc>
        <w:tc>
          <w:tcPr>
            <w:tcW w:w="2466" w:type="dxa"/>
            <w:vAlign w:val="center"/>
          </w:tcPr>
          <w:p>
            <w:pPr>
              <w:pStyle w:val="12"/>
            </w:pPr>
            <w:r>
              <w:t>≥90%</w:t>
            </w:r>
          </w:p>
        </w:tc>
        <w:tc>
          <w:tcPr>
            <w:tcW w:w="2466" w:type="dxa"/>
            <w:vAlign w:val="center"/>
          </w:tcPr>
          <w:p>
            <w:pPr>
              <w:pStyle w:val="12"/>
            </w:pPr>
            <w:r>
              <w:t>巡查记录及营业执照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抽查成本</w:t>
            </w:r>
          </w:p>
        </w:tc>
        <w:tc>
          <w:tcPr>
            <w:tcW w:w="2466" w:type="dxa"/>
            <w:vAlign w:val="center"/>
          </w:tcPr>
          <w:p>
            <w:pPr>
              <w:pStyle w:val="12"/>
            </w:pPr>
            <w:r>
              <w:t>抽查总成本</w:t>
            </w:r>
          </w:p>
        </w:tc>
        <w:tc>
          <w:tcPr>
            <w:tcW w:w="2466" w:type="dxa"/>
            <w:vAlign w:val="center"/>
          </w:tcPr>
          <w:p>
            <w:pPr>
              <w:pStyle w:val="12"/>
            </w:pPr>
            <w:r>
              <w:t>≤100000元</w:t>
            </w:r>
          </w:p>
        </w:tc>
        <w:tc>
          <w:tcPr>
            <w:tcW w:w="2466" w:type="dxa"/>
            <w:vAlign w:val="center"/>
          </w:tcPr>
          <w:p>
            <w:pPr>
              <w:pStyle w:val="12"/>
            </w:pPr>
            <w:r>
              <w:t>加油发票及差旅单等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违法企业处理率（%）</w:t>
            </w:r>
          </w:p>
        </w:tc>
        <w:tc>
          <w:tcPr>
            <w:tcW w:w="2466" w:type="dxa"/>
            <w:vAlign w:val="center"/>
          </w:tcPr>
          <w:p>
            <w:pPr>
              <w:pStyle w:val="12"/>
            </w:pPr>
            <w:r>
              <w:t>违法企业处理数量占违法企业的比率</w:t>
            </w:r>
          </w:p>
        </w:tc>
        <w:tc>
          <w:tcPr>
            <w:tcW w:w="2466" w:type="dxa"/>
            <w:vAlign w:val="center"/>
          </w:tcPr>
          <w:p>
            <w:pPr>
              <w:pStyle w:val="12"/>
            </w:pPr>
            <w:r>
              <w:t>≥90%</w:t>
            </w:r>
          </w:p>
        </w:tc>
        <w:tc>
          <w:tcPr>
            <w:tcW w:w="2466" w:type="dxa"/>
            <w:vAlign w:val="center"/>
          </w:tcPr>
          <w:p>
            <w:pPr>
              <w:pStyle w:val="12"/>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市场主体抽查率（%）</w:t>
            </w:r>
          </w:p>
        </w:tc>
        <w:tc>
          <w:tcPr>
            <w:tcW w:w="2466" w:type="dxa"/>
            <w:vAlign w:val="center"/>
          </w:tcPr>
          <w:p>
            <w:pPr>
              <w:pStyle w:val="12"/>
            </w:pPr>
            <w:r>
              <w:t>市场主体抽查数量占主体总量的比率</w:t>
            </w:r>
          </w:p>
        </w:tc>
        <w:tc>
          <w:tcPr>
            <w:tcW w:w="2466" w:type="dxa"/>
            <w:vAlign w:val="center"/>
          </w:tcPr>
          <w:p>
            <w:pPr>
              <w:pStyle w:val="12"/>
            </w:pPr>
            <w:r>
              <w:t>≥10%</w:t>
            </w:r>
          </w:p>
        </w:tc>
        <w:tc>
          <w:tcPr>
            <w:tcW w:w="2466" w:type="dxa"/>
            <w:vAlign w:val="center"/>
          </w:tcPr>
          <w:p>
            <w:pPr>
              <w:pStyle w:val="12"/>
            </w:pPr>
            <w:r>
              <w:t>抽查记录表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通过提高管理能力，持续提升市场主体依法经营的比率</w:t>
            </w:r>
          </w:p>
        </w:tc>
        <w:tc>
          <w:tcPr>
            <w:tcW w:w="2466" w:type="dxa"/>
            <w:vAlign w:val="center"/>
          </w:tcPr>
          <w:p>
            <w:pPr>
              <w:pStyle w:val="12"/>
            </w:pPr>
            <w:r>
              <w:t>市场主体依法经营比去年提高比率</w:t>
            </w:r>
          </w:p>
        </w:tc>
        <w:tc>
          <w:tcPr>
            <w:tcW w:w="2466" w:type="dxa"/>
            <w:vAlign w:val="center"/>
          </w:tcPr>
          <w:p>
            <w:pPr>
              <w:pStyle w:val="12"/>
            </w:pPr>
            <w:r>
              <w:t>≥5%</w:t>
            </w:r>
          </w:p>
        </w:tc>
        <w:tc>
          <w:tcPr>
            <w:tcW w:w="2466" w:type="dxa"/>
            <w:vAlign w:val="center"/>
          </w:tcPr>
          <w:p>
            <w:pPr>
              <w:pStyle w:val="12"/>
            </w:pPr>
            <w:r>
              <w:t>违法企业登记表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服务对象满意度指标</w:t>
            </w:r>
          </w:p>
        </w:tc>
        <w:tc>
          <w:tcPr>
            <w:tcW w:w="2466" w:type="dxa"/>
            <w:vAlign w:val="center"/>
          </w:tcPr>
          <w:p>
            <w:pPr>
              <w:pStyle w:val="12"/>
            </w:pPr>
            <w:r>
              <w:t>服务群体满意度(％)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12、童车玩具类产品塑化剂检测设备日常使用试剂绩效目标表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1.我局购置的塑化剂检测设备需购买大量实验试剂维持运行，保障工作正常运转，从而提升业务能力，为质量强县战略提供技术支撑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试剂总数量</w:t>
            </w:r>
          </w:p>
        </w:tc>
        <w:tc>
          <w:tcPr>
            <w:tcW w:w="2466" w:type="dxa"/>
            <w:vAlign w:val="center"/>
          </w:tcPr>
          <w:p>
            <w:pPr>
              <w:pStyle w:val="12"/>
            </w:pPr>
            <w:r>
              <w:t xml:space="preserve"> 试剂总数量</w:t>
            </w:r>
          </w:p>
        </w:tc>
        <w:tc>
          <w:tcPr>
            <w:tcW w:w="2466" w:type="dxa"/>
            <w:vAlign w:val="center"/>
          </w:tcPr>
          <w:p>
            <w:pPr>
              <w:pStyle w:val="12"/>
            </w:pPr>
            <w:r>
              <w:t>≥200批</w:t>
            </w:r>
          </w:p>
        </w:tc>
        <w:tc>
          <w:tcPr>
            <w:tcW w:w="246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试剂合格率</w:t>
            </w:r>
          </w:p>
        </w:tc>
        <w:tc>
          <w:tcPr>
            <w:tcW w:w="2466" w:type="dxa"/>
            <w:vAlign w:val="center"/>
          </w:tcPr>
          <w:p>
            <w:pPr>
              <w:pStyle w:val="12"/>
            </w:pPr>
            <w:r>
              <w:t>试剂合格率</w:t>
            </w:r>
          </w:p>
        </w:tc>
        <w:tc>
          <w:tcPr>
            <w:tcW w:w="2466" w:type="dxa"/>
            <w:vAlign w:val="center"/>
          </w:tcPr>
          <w:p>
            <w:pPr>
              <w:pStyle w:val="12"/>
            </w:pPr>
            <w:r>
              <w:t xml:space="preserve">≥90% </w:t>
            </w:r>
          </w:p>
        </w:tc>
        <w:tc>
          <w:tcPr>
            <w:tcW w:w="2466" w:type="dxa"/>
            <w:vAlign w:val="center"/>
          </w:tcPr>
          <w:p>
            <w:pPr>
              <w:pStyle w:val="12"/>
            </w:pPr>
            <w:r>
              <w:t xml:space="preserve"> 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检测时效</w:t>
            </w:r>
          </w:p>
        </w:tc>
        <w:tc>
          <w:tcPr>
            <w:tcW w:w="2466" w:type="dxa"/>
            <w:vAlign w:val="center"/>
          </w:tcPr>
          <w:p>
            <w:pPr>
              <w:pStyle w:val="12"/>
            </w:pPr>
            <w:r>
              <w:t xml:space="preserve"> 检测时效</w:t>
            </w:r>
          </w:p>
        </w:tc>
        <w:tc>
          <w:tcPr>
            <w:tcW w:w="2466" w:type="dxa"/>
            <w:vAlign w:val="center"/>
          </w:tcPr>
          <w:p>
            <w:pPr>
              <w:pStyle w:val="12"/>
            </w:pPr>
            <w:r>
              <w:t>≤7%</w:t>
            </w:r>
          </w:p>
        </w:tc>
        <w:tc>
          <w:tcPr>
            <w:tcW w:w="246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检测成本</w:t>
            </w:r>
          </w:p>
        </w:tc>
        <w:tc>
          <w:tcPr>
            <w:tcW w:w="2466" w:type="dxa"/>
            <w:vAlign w:val="center"/>
          </w:tcPr>
          <w:p>
            <w:pPr>
              <w:pStyle w:val="12"/>
            </w:pPr>
            <w:r>
              <w:t>单次检测成本</w:t>
            </w:r>
          </w:p>
          <w:p>
            <w:pPr>
              <w:pStyle w:val="12"/>
            </w:pPr>
          </w:p>
        </w:tc>
        <w:tc>
          <w:tcPr>
            <w:tcW w:w="2466" w:type="dxa"/>
            <w:vAlign w:val="center"/>
          </w:tcPr>
          <w:p>
            <w:pPr>
              <w:pStyle w:val="12"/>
            </w:pPr>
            <w:r>
              <w:t>≤2000 元</w:t>
            </w:r>
          </w:p>
        </w:tc>
        <w:tc>
          <w:tcPr>
            <w:tcW w:w="2466" w:type="dxa"/>
            <w:vAlign w:val="center"/>
          </w:tcPr>
          <w:p>
            <w:pPr>
              <w:pStyle w:val="12"/>
            </w:pPr>
            <w:r>
              <w:t xml:space="preserve">  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鉴定结果采用率</w:t>
            </w:r>
          </w:p>
        </w:tc>
        <w:tc>
          <w:tcPr>
            <w:tcW w:w="2466" w:type="dxa"/>
            <w:vAlign w:val="center"/>
          </w:tcPr>
          <w:p>
            <w:pPr>
              <w:pStyle w:val="12"/>
            </w:pPr>
            <w:r>
              <w:t>鉴定结果采用率</w:t>
            </w:r>
          </w:p>
        </w:tc>
        <w:tc>
          <w:tcPr>
            <w:tcW w:w="2466" w:type="dxa"/>
            <w:vAlign w:val="center"/>
          </w:tcPr>
          <w:p>
            <w:pPr>
              <w:pStyle w:val="12"/>
            </w:pPr>
            <w:r>
              <w:t>≥90%</w:t>
            </w:r>
          </w:p>
        </w:tc>
        <w:tc>
          <w:tcPr>
            <w:tcW w:w="2466" w:type="dxa"/>
            <w:vAlign w:val="center"/>
          </w:tcPr>
          <w:p>
            <w:pPr>
              <w:pStyle w:val="12"/>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检验准确率</w:t>
            </w:r>
          </w:p>
        </w:tc>
        <w:tc>
          <w:tcPr>
            <w:tcW w:w="2466" w:type="dxa"/>
            <w:vAlign w:val="center"/>
          </w:tcPr>
          <w:p>
            <w:pPr>
              <w:pStyle w:val="12"/>
            </w:pPr>
            <w:r>
              <w:t>检验结果准确比率</w:t>
            </w:r>
          </w:p>
        </w:tc>
        <w:tc>
          <w:tcPr>
            <w:tcW w:w="2466" w:type="dxa"/>
            <w:vAlign w:val="center"/>
          </w:tcPr>
          <w:p>
            <w:pPr>
              <w:pStyle w:val="12"/>
            </w:pPr>
            <w:r>
              <w:t>≥90%</w:t>
            </w:r>
          </w:p>
        </w:tc>
        <w:tc>
          <w:tcPr>
            <w:tcW w:w="2466" w:type="dxa"/>
            <w:vAlign w:val="center"/>
          </w:tcPr>
          <w:p>
            <w:pPr>
              <w:pStyle w:val="12"/>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通过提升业务能力持续降低安全事故发生率</w:t>
            </w:r>
          </w:p>
        </w:tc>
        <w:tc>
          <w:tcPr>
            <w:tcW w:w="2466" w:type="dxa"/>
            <w:vAlign w:val="center"/>
          </w:tcPr>
          <w:p>
            <w:pPr>
              <w:pStyle w:val="12"/>
            </w:pPr>
            <w:r>
              <w:t>实验室安全事故发生比率</w:t>
            </w:r>
          </w:p>
        </w:tc>
        <w:tc>
          <w:tcPr>
            <w:tcW w:w="2466" w:type="dxa"/>
            <w:vAlign w:val="center"/>
          </w:tcPr>
          <w:p>
            <w:pPr>
              <w:pStyle w:val="12"/>
            </w:pPr>
            <w:r>
              <w:t>≤1%</w:t>
            </w:r>
          </w:p>
        </w:tc>
        <w:tc>
          <w:tcPr>
            <w:tcW w:w="2466" w:type="dxa"/>
            <w:vAlign w:val="center"/>
          </w:tcPr>
          <w:p>
            <w:pPr>
              <w:pStyle w:val="12"/>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13、质量安全监管经费绩效目标表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时效指标</w:t>
            </w:r>
          </w:p>
        </w:tc>
        <w:tc>
          <w:tcPr>
            <w:tcW w:w="2466" w:type="dxa"/>
            <w:vAlign w:val="center"/>
          </w:tcPr>
          <w:p>
            <w:pPr>
              <w:pStyle w:val="12"/>
            </w:pPr>
            <w:r>
              <w:t>宣传教育活动完成及时率</w:t>
            </w:r>
          </w:p>
        </w:tc>
        <w:tc>
          <w:tcPr>
            <w:tcW w:w="2466" w:type="dxa"/>
            <w:vAlign w:val="center"/>
          </w:tcPr>
          <w:p>
            <w:pPr>
              <w:pStyle w:val="12"/>
            </w:pPr>
            <w:r>
              <w:t>关于特种设备安全宣传教育活动完成及时比率</w:t>
            </w:r>
          </w:p>
        </w:tc>
        <w:tc>
          <w:tcPr>
            <w:tcW w:w="2466" w:type="dxa"/>
            <w:vAlign w:val="center"/>
          </w:tcPr>
          <w:p>
            <w:pPr>
              <w:pStyle w:val="12"/>
            </w:pPr>
            <w:r>
              <w:t>及时完成宣传培训活动</w:t>
            </w:r>
          </w:p>
        </w:tc>
        <w:tc>
          <w:tcPr>
            <w:tcW w:w="2466" w:type="dxa"/>
            <w:vAlign w:val="center"/>
          </w:tcPr>
          <w:p>
            <w:pPr>
              <w:pStyle w:val="12"/>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特种设备安全宣传培训工作开展次数</w:t>
            </w:r>
          </w:p>
        </w:tc>
        <w:tc>
          <w:tcPr>
            <w:tcW w:w="2466" w:type="dxa"/>
            <w:vAlign w:val="center"/>
          </w:tcPr>
          <w:p>
            <w:pPr>
              <w:pStyle w:val="12"/>
            </w:pPr>
            <w:r>
              <w:t>特种设备安全宣传培训工作开展次数</w:t>
            </w:r>
          </w:p>
        </w:tc>
        <w:tc>
          <w:tcPr>
            <w:tcW w:w="2466" w:type="dxa"/>
            <w:vAlign w:val="center"/>
          </w:tcPr>
          <w:p>
            <w:pPr>
              <w:pStyle w:val="12"/>
            </w:pPr>
            <w:r>
              <w:t>≥5次</w:t>
            </w:r>
          </w:p>
        </w:tc>
        <w:tc>
          <w:tcPr>
            <w:tcW w:w="2466" w:type="dxa"/>
            <w:vAlign w:val="center"/>
          </w:tcPr>
          <w:p>
            <w:pPr>
              <w:pStyle w:val="12"/>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宣传教育培训合格率</w:t>
            </w:r>
          </w:p>
        </w:tc>
        <w:tc>
          <w:tcPr>
            <w:tcW w:w="2466" w:type="dxa"/>
            <w:vAlign w:val="center"/>
          </w:tcPr>
          <w:p>
            <w:pPr>
              <w:pStyle w:val="12"/>
            </w:pPr>
            <w:r>
              <w:t>特种设备宣传教育培训考核的合格率</w:t>
            </w:r>
          </w:p>
        </w:tc>
        <w:tc>
          <w:tcPr>
            <w:tcW w:w="2466" w:type="dxa"/>
            <w:vAlign w:val="center"/>
          </w:tcPr>
          <w:p>
            <w:pPr>
              <w:pStyle w:val="12"/>
            </w:pPr>
            <w:r>
              <w:t>≥90%</w:t>
            </w:r>
          </w:p>
        </w:tc>
        <w:tc>
          <w:tcPr>
            <w:tcW w:w="2466" w:type="dxa"/>
            <w:vAlign w:val="center"/>
          </w:tcPr>
          <w:p>
            <w:pPr>
              <w:pStyle w:val="12"/>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特种设备安全宣传培训成本</w:t>
            </w:r>
          </w:p>
        </w:tc>
        <w:tc>
          <w:tcPr>
            <w:tcW w:w="2466" w:type="dxa"/>
            <w:vAlign w:val="center"/>
          </w:tcPr>
          <w:p>
            <w:pPr>
              <w:pStyle w:val="12"/>
            </w:pPr>
            <w:r>
              <w:t>特种设备安全宣传培训成本每次不高于往常水平</w:t>
            </w:r>
          </w:p>
        </w:tc>
        <w:tc>
          <w:tcPr>
            <w:tcW w:w="2466" w:type="dxa"/>
            <w:vAlign w:val="center"/>
          </w:tcPr>
          <w:p>
            <w:pPr>
              <w:pStyle w:val="12"/>
            </w:pPr>
            <w:r>
              <w:t>≤500元/次</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立案查处率（%）</w:t>
            </w:r>
          </w:p>
        </w:tc>
        <w:tc>
          <w:tcPr>
            <w:tcW w:w="2466" w:type="dxa"/>
            <w:vAlign w:val="center"/>
          </w:tcPr>
          <w:p>
            <w:pPr>
              <w:pStyle w:val="12"/>
            </w:pPr>
            <w:r>
              <w:t>立案查处特种设备案件的比率</w:t>
            </w:r>
          </w:p>
        </w:tc>
        <w:tc>
          <w:tcPr>
            <w:tcW w:w="2466" w:type="dxa"/>
            <w:vAlign w:val="center"/>
          </w:tcPr>
          <w:p>
            <w:pPr>
              <w:pStyle w:val="12"/>
            </w:pPr>
            <w:r>
              <w:t>≥90%</w:t>
            </w:r>
          </w:p>
        </w:tc>
        <w:tc>
          <w:tcPr>
            <w:tcW w:w="2466" w:type="dxa"/>
            <w:vAlign w:val="center"/>
          </w:tcPr>
          <w:p>
            <w:pPr>
              <w:pStyle w:val="12"/>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发生特种设备安全事故的次数（反向指标）</w:t>
            </w:r>
          </w:p>
        </w:tc>
        <w:tc>
          <w:tcPr>
            <w:tcW w:w="2466" w:type="dxa"/>
            <w:vAlign w:val="center"/>
          </w:tcPr>
          <w:p>
            <w:pPr>
              <w:pStyle w:val="12"/>
            </w:pPr>
            <w:r>
              <w:t>通过开展特种设备安全检查工作持续降低特种设备安全事故发生次数</w:t>
            </w:r>
          </w:p>
        </w:tc>
        <w:tc>
          <w:tcPr>
            <w:tcW w:w="2466" w:type="dxa"/>
            <w:vAlign w:val="center"/>
          </w:tcPr>
          <w:p>
            <w:pPr>
              <w:pStyle w:val="12"/>
            </w:pPr>
            <w:r>
              <w:t>≤3次</w:t>
            </w:r>
          </w:p>
        </w:tc>
        <w:tc>
          <w:tcPr>
            <w:tcW w:w="2466" w:type="dxa"/>
            <w:vAlign w:val="center"/>
          </w:tcPr>
          <w:p>
            <w:pPr>
              <w:pStyle w:val="12"/>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特种设备台账登记率（%）</w:t>
            </w:r>
          </w:p>
        </w:tc>
        <w:tc>
          <w:tcPr>
            <w:tcW w:w="2466" w:type="dxa"/>
            <w:vAlign w:val="center"/>
          </w:tcPr>
          <w:p>
            <w:pPr>
              <w:pStyle w:val="12"/>
            </w:pPr>
            <w:r>
              <w:t>特种设备台账登记比率</w:t>
            </w:r>
          </w:p>
        </w:tc>
        <w:tc>
          <w:tcPr>
            <w:tcW w:w="2466" w:type="dxa"/>
            <w:vAlign w:val="center"/>
          </w:tcPr>
          <w:p>
            <w:pPr>
              <w:pStyle w:val="12"/>
            </w:pPr>
            <w:r>
              <w:t>≥90%</w:t>
            </w:r>
          </w:p>
        </w:tc>
        <w:tc>
          <w:tcPr>
            <w:tcW w:w="2466" w:type="dxa"/>
            <w:vAlign w:val="center"/>
          </w:tcPr>
          <w:p>
            <w:pPr>
              <w:pStyle w:val="12"/>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满意和较满意的对象占所有调查对象的比例</w:t>
            </w:r>
          </w:p>
        </w:tc>
        <w:tc>
          <w:tcPr>
            <w:tcW w:w="2466" w:type="dxa"/>
            <w:vAlign w:val="center"/>
          </w:tcPr>
          <w:p>
            <w:pPr>
              <w:pStyle w:val="12"/>
            </w:pPr>
            <w:r>
              <w:t>满意和较满意的对象占所有调查对象的比例</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14、质量基础经费绩效目标表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1.开展宣传抽检等工作安排，落实生产企业主体责任，提高企业质量意识，促进产品质量提升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时效指标</w:t>
            </w:r>
          </w:p>
        </w:tc>
        <w:tc>
          <w:tcPr>
            <w:tcW w:w="2466" w:type="dxa"/>
            <w:vAlign w:val="center"/>
          </w:tcPr>
          <w:p>
            <w:pPr>
              <w:pStyle w:val="12"/>
            </w:pPr>
            <w:r>
              <w:t xml:space="preserve"> 抽检时效</w:t>
            </w:r>
          </w:p>
        </w:tc>
        <w:tc>
          <w:tcPr>
            <w:tcW w:w="2466" w:type="dxa"/>
            <w:vAlign w:val="center"/>
          </w:tcPr>
          <w:p>
            <w:pPr>
              <w:pStyle w:val="12"/>
            </w:pPr>
            <w:r>
              <w:t xml:space="preserve"> 抽检时效</w:t>
            </w:r>
          </w:p>
        </w:tc>
        <w:tc>
          <w:tcPr>
            <w:tcW w:w="2466" w:type="dxa"/>
            <w:vAlign w:val="center"/>
          </w:tcPr>
          <w:p>
            <w:pPr>
              <w:pStyle w:val="12"/>
            </w:pPr>
            <w:r>
              <w:t xml:space="preserve"> 及时完成抽检工作</w:t>
            </w:r>
          </w:p>
        </w:tc>
        <w:tc>
          <w:tcPr>
            <w:tcW w:w="2466" w:type="dxa"/>
            <w:vAlign w:val="center"/>
          </w:tcPr>
          <w:p>
            <w:pPr>
              <w:pStyle w:val="12"/>
            </w:pPr>
            <w:r>
              <w:t xml:space="preserve"> 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 xml:space="preserve"> 宣传活动次数</w:t>
            </w:r>
          </w:p>
        </w:tc>
        <w:tc>
          <w:tcPr>
            <w:tcW w:w="2466" w:type="dxa"/>
            <w:vAlign w:val="center"/>
          </w:tcPr>
          <w:p>
            <w:pPr>
              <w:pStyle w:val="12"/>
            </w:pPr>
            <w:r>
              <w:t xml:space="preserve"> 宣传活动次数</w:t>
            </w:r>
          </w:p>
        </w:tc>
        <w:tc>
          <w:tcPr>
            <w:tcW w:w="2466" w:type="dxa"/>
            <w:vAlign w:val="center"/>
          </w:tcPr>
          <w:p>
            <w:pPr>
              <w:pStyle w:val="12"/>
            </w:pPr>
            <w:r>
              <w:t>≥5次</w:t>
            </w:r>
          </w:p>
        </w:tc>
        <w:tc>
          <w:tcPr>
            <w:tcW w:w="2466" w:type="dxa"/>
            <w:vAlign w:val="center"/>
          </w:tcPr>
          <w:p>
            <w:pPr>
              <w:pStyle w:val="12"/>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抽检合格率</w:t>
            </w:r>
          </w:p>
        </w:tc>
        <w:tc>
          <w:tcPr>
            <w:tcW w:w="2466" w:type="dxa"/>
            <w:vAlign w:val="center"/>
          </w:tcPr>
          <w:p>
            <w:pPr>
              <w:pStyle w:val="12"/>
            </w:pPr>
            <w:r>
              <w:t xml:space="preserve"> 抽检合格率</w:t>
            </w:r>
          </w:p>
        </w:tc>
        <w:tc>
          <w:tcPr>
            <w:tcW w:w="2466" w:type="dxa"/>
            <w:vAlign w:val="center"/>
          </w:tcPr>
          <w:p>
            <w:pPr>
              <w:pStyle w:val="12"/>
            </w:pPr>
            <w:r>
              <w:t>≥90%</w:t>
            </w:r>
          </w:p>
        </w:tc>
        <w:tc>
          <w:tcPr>
            <w:tcW w:w="2466" w:type="dxa"/>
            <w:vAlign w:val="center"/>
          </w:tcPr>
          <w:p>
            <w:pPr>
              <w:pStyle w:val="12"/>
            </w:pPr>
            <w:r>
              <w:t xml:space="preserve"> 国抽、省抽报告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抽检成本</w:t>
            </w:r>
          </w:p>
        </w:tc>
        <w:tc>
          <w:tcPr>
            <w:tcW w:w="2466" w:type="dxa"/>
            <w:vAlign w:val="center"/>
          </w:tcPr>
          <w:p>
            <w:pPr>
              <w:pStyle w:val="12"/>
            </w:pPr>
            <w:r>
              <w:t>抽检成本</w:t>
            </w:r>
          </w:p>
        </w:tc>
        <w:tc>
          <w:tcPr>
            <w:tcW w:w="2466" w:type="dxa"/>
            <w:vAlign w:val="center"/>
          </w:tcPr>
          <w:p>
            <w:pPr>
              <w:pStyle w:val="12"/>
            </w:pPr>
            <w:r>
              <w:t>≤500元/次</w:t>
            </w:r>
          </w:p>
        </w:tc>
        <w:tc>
          <w:tcPr>
            <w:tcW w:w="2466" w:type="dxa"/>
            <w:vAlign w:val="center"/>
          </w:tcPr>
          <w:p>
            <w:pPr>
              <w:pStyle w:val="12"/>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 xml:space="preserve"> 通过质量强市考核</w:t>
            </w:r>
          </w:p>
        </w:tc>
        <w:tc>
          <w:tcPr>
            <w:tcW w:w="2466" w:type="dxa"/>
            <w:vAlign w:val="center"/>
          </w:tcPr>
          <w:p>
            <w:pPr>
              <w:pStyle w:val="12"/>
            </w:pPr>
            <w:r>
              <w:t xml:space="preserve"> 通过持续促进产品质量提升，达到质量强市考核要求</w:t>
            </w:r>
          </w:p>
        </w:tc>
        <w:tc>
          <w:tcPr>
            <w:tcW w:w="2466" w:type="dxa"/>
            <w:vAlign w:val="center"/>
          </w:tcPr>
          <w:p>
            <w:pPr>
              <w:pStyle w:val="12"/>
            </w:pPr>
            <w:r>
              <w:t xml:space="preserve"> 通过质量强市考核</w:t>
            </w:r>
          </w:p>
        </w:tc>
        <w:tc>
          <w:tcPr>
            <w:tcW w:w="2466" w:type="dxa"/>
            <w:vAlign w:val="center"/>
          </w:tcPr>
          <w:p>
            <w:pPr>
              <w:pStyle w:val="12"/>
            </w:pPr>
            <w:r>
              <w:t xml:space="preserve"> 市政府考核结果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产品合格率</w:t>
            </w:r>
          </w:p>
        </w:tc>
        <w:tc>
          <w:tcPr>
            <w:tcW w:w="2466" w:type="dxa"/>
            <w:vAlign w:val="center"/>
          </w:tcPr>
          <w:p>
            <w:pPr>
              <w:pStyle w:val="12"/>
            </w:pPr>
            <w:r>
              <w:t>产品合格率</w:t>
            </w:r>
          </w:p>
        </w:tc>
        <w:tc>
          <w:tcPr>
            <w:tcW w:w="2466" w:type="dxa"/>
            <w:vAlign w:val="center"/>
          </w:tcPr>
          <w:p>
            <w:pPr>
              <w:pStyle w:val="12"/>
            </w:pPr>
            <w:r>
              <w:t>≥80%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12315投诉率</w:t>
            </w:r>
          </w:p>
        </w:tc>
        <w:tc>
          <w:tcPr>
            <w:tcW w:w="2466" w:type="dxa"/>
            <w:vAlign w:val="center"/>
          </w:tcPr>
          <w:p>
            <w:pPr>
              <w:pStyle w:val="12"/>
            </w:pPr>
            <w:r>
              <w:t>12315投诉率</w:t>
            </w:r>
          </w:p>
        </w:tc>
        <w:tc>
          <w:tcPr>
            <w:tcW w:w="2466" w:type="dxa"/>
            <w:vAlign w:val="center"/>
          </w:tcPr>
          <w:p>
            <w:pPr>
              <w:pStyle w:val="12"/>
            </w:pPr>
            <w:r>
              <w:t>≤40%</w:t>
            </w:r>
          </w:p>
        </w:tc>
        <w:tc>
          <w:tcPr>
            <w:tcW w:w="2466" w:type="dxa"/>
            <w:vAlign w:val="center"/>
          </w:tcPr>
          <w:p>
            <w:pPr>
              <w:pStyle w:val="12"/>
            </w:pPr>
            <w:r>
              <w:t>投诉登记表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满意和较满意的对象占所有调查对象的比例</w:t>
            </w:r>
          </w:p>
        </w:tc>
        <w:tc>
          <w:tcPr>
            <w:tcW w:w="2466" w:type="dxa"/>
            <w:vAlign w:val="center"/>
          </w:tcPr>
          <w:p>
            <w:pPr>
              <w:pStyle w:val="12"/>
            </w:pPr>
            <w:r>
              <w:t>满意和较满意的对象占所有调查对象的比例</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上级考核满意度（%）</w:t>
            </w:r>
          </w:p>
        </w:tc>
        <w:tc>
          <w:tcPr>
            <w:tcW w:w="2466" w:type="dxa"/>
            <w:vAlign w:val="center"/>
          </w:tcPr>
          <w:p>
            <w:pPr>
              <w:pStyle w:val="12"/>
            </w:pPr>
            <w:r>
              <w:t>上级考核满意度</w:t>
            </w:r>
          </w:p>
        </w:tc>
        <w:tc>
          <w:tcPr>
            <w:tcW w:w="2466" w:type="dxa"/>
            <w:vAlign w:val="center"/>
          </w:tcPr>
          <w:p>
            <w:pPr>
              <w:pStyle w:val="12"/>
            </w:pPr>
            <w:r>
              <w:t>≥90%</w:t>
            </w:r>
          </w:p>
        </w:tc>
        <w:tc>
          <w:tcPr>
            <w:tcW w:w="2466" w:type="dxa"/>
            <w:vAlign w:val="center"/>
          </w:tcPr>
          <w:p>
            <w:pPr>
              <w:pStyle w:val="12"/>
            </w:pPr>
            <w:r>
              <w:t>考核结果</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0" w:after="0"/>
        <w:ind w:firstLine="560"/>
        <w:jc w:val="left"/>
        <w:outlineLvl w:val="9"/>
      </w:pPr>
      <w:r>
        <w:rPr>
          <w:rFonts w:ascii="方正仿宋_GBK" w:hAnsi="方正仿宋_GBK" w:eastAsia="方正仿宋_GBK" w:cs="方正仿宋_GBK"/>
          <w:b/>
          <w:color w:val="000000"/>
          <w:sz w:val="28"/>
        </w:rPr>
        <w:t>15、自行车检测设备维护校准费绩效目标表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1.对现有自行车检测相关技术设备的校准、维护、保养，提高设备运行保障能力，提高服务对象满意度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校准设备数量</w:t>
            </w:r>
          </w:p>
        </w:tc>
        <w:tc>
          <w:tcPr>
            <w:tcW w:w="2466" w:type="dxa"/>
            <w:vAlign w:val="center"/>
          </w:tcPr>
          <w:p>
            <w:pPr>
              <w:pStyle w:val="12"/>
            </w:pPr>
            <w:r>
              <w:t xml:space="preserve"> 校准设备数量</w:t>
            </w:r>
          </w:p>
        </w:tc>
        <w:tc>
          <w:tcPr>
            <w:tcW w:w="2466" w:type="dxa"/>
            <w:vAlign w:val="center"/>
          </w:tcPr>
          <w:p>
            <w:pPr>
              <w:pStyle w:val="12"/>
            </w:pPr>
            <w:r>
              <w:t>≥280 台</w:t>
            </w:r>
          </w:p>
        </w:tc>
        <w:tc>
          <w:tcPr>
            <w:tcW w:w="2466" w:type="dxa"/>
            <w:vAlign w:val="center"/>
          </w:tcPr>
          <w:p>
            <w:pPr>
              <w:pStyle w:val="12"/>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校准达标率</w:t>
            </w:r>
          </w:p>
        </w:tc>
        <w:tc>
          <w:tcPr>
            <w:tcW w:w="2466" w:type="dxa"/>
            <w:vAlign w:val="center"/>
          </w:tcPr>
          <w:p>
            <w:pPr>
              <w:pStyle w:val="12"/>
            </w:pPr>
            <w:r>
              <w:t xml:space="preserve"> 校准达标率</w:t>
            </w:r>
          </w:p>
        </w:tc>
        <w:tc>
          <w:tcPr>
            <w:tcW w:w="2466" w:type="dxa"/>
            <w:vAlign w:val="center"/>
          </w:tcPr>
          <w:p>
            <w:pPr>
              <w:pStyle w:val="12"/>
            </w:pPr>
            <w:r>
              <w:t>≥90%</w:t>
            </w:r>
          </w:p>
        </w:tc>
        <w:tc>
          <w:tcPr>
            <w:tcW w:w="2466" w:type="dxa"/>
            <w:vAlign w:val="center"/>
          </w:tcPr>
          <w:p>
            <w:pPr>
              <w:pStyle w:val="12"/>
            </w:pPr>
            <w:r>
              <w:t xml:space="preserve"> 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校准及时率</w:t>
            </w:r>
          </w:p>
        </w:tc>
        <w:tc>
          <w:tcPr>
            <w:tcW w:w="2466" w:type="dxa"/>
            <w:vAlign w:val="center"/>
          </w:tcPr>
          <w:p>
            <w:pPr>
              <w:pStyle w:val="12"/>
            </w:pPr>
            <w:r>
              <w:t xml:space="preserve"> 校准及时率</w:t>
            </w:r>
          </w:p>
        </w:tc>
        <w:tc>
          <w:tcPr>
            <w:tcW w:w="2466" w:type="dxa"/>
            <w:vAlign w:val="center"/>
          </w:tcPr>
          <w:p>
            <w:pPr>
              <w:pStyle w:val="12"/>
            </w:pPr>
            <w:r>
              <w:t>≥90 %</w:t>
            </w:r>
          </w:p>
        </w:tc>
        <w:tc>
          <w:tcPr>
            <w:tcW w:w="2466" w:type="dxa"/>
            <w:vAlign w:val="center"/>
          </w:tcPr>
          <w:p>
            <w:pPr>
              <w:pStyle w:val="12"/>
            </w:pPr>
            <w:r>
              <w:t>校准计划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校准成本</w:t>
            </w:r>
          </w:p>
        </w:tc>
        <w:tc>
          <w:tcPr>
            <w:tcW w:w="2466" w:type="dxa"/>
            <w:vAlign w:val="center"/>
          </w:tcPr>
          <w:p>
            <w:pPr>
              <w:pStyle w:val="12"/>
            </w:pPr>
            <w:r>
              <w:t xml:space="preserve"> 单次维护校准成本</w:t>
            </w:r>
          </w:p>
        </w:tc>
        <w:tc>
          <w:tcPr>
            <w:tcW w:w="2466" w:type="dxa"/>
            <w:vAlign w:val="center"/>
          </w:tcPr>
          <w:p>
            <w:pPr>
              <w:pStyle w:val="12"/>
            </w:pPr>
            <w:r>
              <w:t>≤60元</w:t>
            </w:r>
          </w:p>
        </w:tc>
        <w:tc>
          <w:tcPr>
            <w:tcW w:w="2466" w:type="dxa"/>
            <w:vAlign w:val="center"/>
          </w:tcPr>
          <w:p>
            <w:pPr>
              <w:pStyle w:val="12"/>
            </w:pPr>
            <w:r>
              <w:t>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通过提高设备检测质量，持续为自行车检测提供保障</w:t>
            </w:r>
          </w:p>
        </w:tc>
        <w:tc>
          <w:tcPr>
            <w:tcW w:w="2466" w:type="dxa"/>
            <w:vAlign w:val="center"/>
          </w:tcPr>
          <w:p>
            <w:pPr>
              <w:pStyle w:val="12"/>
            </w:pPr>
            <w:r>
              <w:t xml:space="preserve"> 自行车校验设备运行保障比率</w:t>
            </w:r>
          </w:p>
          <w:p>
            <w:pPr>
              <w:pStyle w:val="12"/>
            </w:pPr>
          </w:p>
        </w:tc>
        <w:tc>
          <w:tcPr>
            <w:tcW w:w="2466" w:type="dxa"/>
            <w:vAlign w:val="center"/>
          </w:tcPr>
          <w:p>
            <w:pPr>
              <w:pStyle w:val="12"/>
            </w:pPr>
            <w:r>
              <w:t>≥95%</w:t>
            </w:r>
          </w:p>
        </w:tc>
        <w:tc>
          <w:tcPr>
            <w:tcW w:w="2466" w:type="dxa"/>
            <w:vAlign w:val="center"/>
          </w:tcPr>
          <w:p>
            <w:pPr>
              <w:pStyle w:val="12"/>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维护检验检测机构运行</w:t>
            </w:r>
          </w:p>
        </w:tc>
        <w:tc>
          <w:tcPr>
            <w:tcW w:w="2466" w:type="dxa"/>
            <w:vAlign w:val="center"/>
          </w:tcPr>
          <w:p>
            <w:pPr>
              <w:pStyle w:val="12"/>
            </w:pPr>
            <w:r>
              <w:t xml:space="preserve"> 维护自行车检验检测机构能正常运行</w:t>
            </w:r>
          </w:p>
          <w:p>
            <w:pPr>
              <w:pStyle w:val="12"/>
            </w:pPr>
          </w:p>
        </w:tc>
        <w:tc>
          <w:tcPr>
            <w:tcW w:w="2466" w:type="dxa"/>
            <w:vAlign w:val="center"/>
          </w:tcPr>
          <w:p>
            <w:pPr>
              <w:pStyle w:val="12"/>
            </w:pPr>
            <w:r>
              <w:t>检测机构能正常运转以保障企业正常运转</w:t>
            </w:r>
          </w:p>
        </w:tc>
        <w:tc>
          <w:tcPr>
            <w:tcW w:w="2466" w:type="dxa"/>
            <w:vAlign w:val="center"/>
          </w:tcPr>
          <w:p>
            <w:pPr>
              <w:pStyle w:val="12"/>
            </w:pPr>
            <w:r>
              <w:t>检测报告数量及准确率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服务对象投诉率</w:t>
            </w:r>
          </w:p>
        </w:tc>
        <w:tc>
          <w:tcPr>
            <w:tcW w:w="2466" w:type="dxa"/>
            <w:vAlign w:val="center"/>
          </w:tcPr>
          <w:p>
            <w:pPr>
              <w:pStyle w:val="12"/>
            </w:pPr>
            <w:r>
              <w:t xml:space="preserve"> 被服务对象投诉比率</w:t>
            </w:r>
          </w:p>
          <w:p>
            <w:pPr>
              <w:pStyle w:val="12"/>
            </w:pPr>
          </w:p>
        </w:tc>
        <w:tc>
          <w:tcPr>
            <w:tcW w:w="2466" w:type="dxa"/>
            <w:vAlign w:val="center"/>
          </w:tcPr>
          <w:p>
            <w:pPr>
              <w:pStyle w:val="12"/>
            </w:pPr>
            <w:r>
              <w:t>&lt;5%</w:t>
            </w:r>
          </w:p>
        </w:tc>
        <w:tc>
          <w:tcPr>
            <w:tcW w:w="2466" w:type="dxa"/>
            <w:vAlign w:val="center"/>
          </w:tcPr>
          <w:p>
            <w:pPr>
              <w:pStyle w:val="12"/>
            </w:pPr>
            <w:r>
              <w:t>投诉记录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 xml:space="preserve"> 服务对象满意度</w:t>
            </w:r>
          </w:p>
          <w:p>
            <w:pPr>
              <w:pStyle w:val="12"/>
            </w:pPr>
          </w:p>
        </w:tc>
        <w:tc>
          <w:tcPr>
            <w:tcW w:w="2466" w:type="dxa"/>
            <w:vAlign w:val="center"/>
          </w:tcPr>
          <w:p>
            <w:pPr>
              <w:pStyle w:val="12"/>
            </w:pPr>
            <w:r>
              <w:t xml:space="preserve"> 服务对象满意度</w:t>
            </w:r>
          </w:p>
          <w:p>
            <w:pPr>
              <w:pStyle w:val="12"/>
            </w:pP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2023年，平乡县市场监督管理局本级安排政府采购预算0.00万元。具体内容见下表。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平乡县市场监督管理局本级上年末固定资产金额为2121.88万元（详见下表）。本年度拟购置固定资产总额为0.00万元，已按要求列入政府采购预算，详见政府采购预算表。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414001平乡县市场监督管理局本级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2121.88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7507.44</w:t>
            </w:r>
          </w:p>
        </w:tc>
        <w:tc>
          <w:tcPr>
            <w:tcW w:w="4933" w:type="dxa"/>
            <w:vAlign w:val="center"/>
          </w:tcPr>
          <w:p>
            <w:pPr>
              <w:pStyle w:val="11"/>
            </w:pPr>
            <w:r>
              <w:t>1042.41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8</w:t>
            </w:r>
          </w:p>
        </w:tc>
        <w:tc>
          <w:tcPr>
            <w:tcW w:w="4933" w:type="dxa"/>
            <w:vAlign w:val="center"/>
          </w:tcPr>
          <w:p>
            <w:pPr>
              <w:pStyle w:val="11"/>
            </w:pPr>
            <w:r>
              <w:t>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r>
              <w:t>1015.76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bookmarkStart w:id="1" w:name="_GoBack"/>
      <w:bookmarkEnd w:id="1"/>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53688"/>
    <w:rsid w:val="03B60A15"/>
    <w:rsid w:val="13E936BB"/>
    <w:rsid w:val="1F832E1D"/>
    <w:rsid w:val="29050D1D"/>
    <w:rsid w:val="2BC22D42"/>
    <w:rsid w:val="35B42BE9"/>
    <w:rsid w:val="40275F8E"/>
    <w:rsid w:val="43C60CD6"/>
    <w:rsid w:val="44964873"/>
    <w:rsid w:val="449708D1"/>
    <w:rsid w:val="57D21129"/>
    <w:rsid w:val="5C084DFF"/>
    <w:rsid w:val="672D449C"/>
    <w:rsid w:val="72BD4B9D"/>
    <w:rsid w:val="7B0C7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2023-09-05T20:57:14Z</dcterms:created>
  <dcterms:modified xsi:type="dcterms:W3CDTF">2023-09-05T12:57:14Z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2023-09-05T20:57:14Z</dcterms:created>
  <dcterms:modified xsi:type="dcterms:W3CDTF">2023-09-05T12:57:14Z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2023-09-05T20:57:10Z</dcterms:created>
  <dcterms:modified xsi:type="dcterms:W3CDTF">2023-09-05T12:57:10Z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2023-09-05T20:57:14Z</dcterms:created>
  <dcterms:modified xsi:type="dcterms:W3CDTF">2023-09-05T12:57:14Z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2023-09-05T20:57:14Z</dcterms:created>
  <dcterms:modified xsi:type="dcterms:W3CDTF">2023-09-05T12:57:14Z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2023-09-05T20:57:12Z</dcterms:created>
  <dcterms:modified xsi:type="dcterms:W3CDTF">2023-09-05T12:57:12Z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2023-09-05T20:57:13Z</dcterms:created>
  <dcterms:modified xsi:type="dcterms:W3CDTF">2023-09-05T12:57:13Z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2023-09-05T20:57:12Z</dcterms:created>
  <dcterms:modified xsi:type="dcterms:W3CDTF">2023-09-05T12:57:12Z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2023-09-05T20:57:07Z</dcterms:created>
  <dcterms:modified xsi:type="dcterms:W3CDTF">2023-09-05T12:57:07Z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2023-09-05T20:57:12Z</dcterms:created>
  <dcterms:modified xsi:type="dcterms:W3CDTF">2023-09-05T12:57:12Z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2023-09-05T20:57:12Z</dcterms:created>
  <dcterms:modified xsi:type="dcterms:W3CDTF">2023-09-05T12:57:12Z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2023-09-05T20:57:14Z</dcterms:created>
  <dcterms:modified xsi:type="dcterms:W3CDTF">2023-09-05T12:57:14Z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f4c782f-5cf4-4dd6-be25-345183a289a5}">
  <ds:schemaRefs/>
</ds:datastoreItem>
</file>

<file path=customXml/itemProps11.xml><?xml version="1.0" encoding="utf-8"?>
<ds:datastoreItem xmlns:ds="http://schemas.openxmlformats.org/officeDocument/2006/customXml" ds:itemID="{68063d98-d03d-4f0d-9a8d-d9d61b148c95}">
  <ds:schemaRefs/>
</ds:datastoreItem>
</file>

<file path=customXml/itemProps12.xml><?xml version="1.0" encoding="utf-8"?>
<ds:datastoreItem xmlns:ds="http://schemas.openxmlformats.org/officeDocument/2006/customXml" ds:itemID="{ad033c3b-fa52-4955-9452-c8ce26eef7f8}">
  <ds:schemaRefs/>
</ds:datastoreItem>
</file>

<file path=customXml/itemProps13.xml><?xml version="1.0" encoding="utf-8"?>
<ds:datastoreItem xmlns:ds="http://schemas.openxmlformats.org/officeDocument/2006/customXml" ds:itemID="{0e5bec01-904a-47c8-aa85-ce395d7b460c}">
  <ds:schemaRefs/>
</ds:datastoreItem>
</file>

<file path=customXml/itemProps14.xml><?xml version="1.0" encoding="utf-8"?>
<ds:datastoreItem xmlns:ds="http://schemas.openxmlformats.org/officeDocument/2006/customXml" ds:itemID="{67f95e25-2b76-415c-bc6f-53240913a178}">
  <ds:schemaRefs/>
</ds:datastoreItem>
</file>

<file path=customXml/itemProps15.xml><?xml version="1.0" encoding="utf-8"?>
<ds:datastoreItem xmlns:ds="http://schemas.openxmlformats.org/officeDocument/2006/customXml" ds:itemID="{502f7ab0-79ff-4703-9673-0fd435cb0437}">
  <ds:schemaRefs/>
</ds:datastoreItem>
</file>

<file path=customXml/itemProps16.xml><?xml version="1.0" encoding="utf-8"?>
<ds:datastoreItem xmlns:ds="http://schemas.openxmlformats.org/officeDocument/2006/customXml" ds:itemID="{78e5174c-320e-47e6-8dfa-1dd205086479}">
  <ds:schemaRefs/>
</ds:datastoreItem>
</file>

<file path=customXml/itemProps17.xml><?xml version="1.0" encoding="utf-8"?>
<ds:datastoreItem xmlns:ds="http://schemas.openxmlformats.org/officeDocument/2006/customXml" ds:itemID="{fcef9d4c-fbde-4726-94af-f04deb686b18}">
  <ds:schemaRefs/>
</ds:datastoreItem>
</file>

<file path=customXml/itemProps18.xml><?xml version="1.0" encoding="utf-8"?>
<ds:datastoreItem xmlns:ds="http://schemas.openxmlformats.org/officeDocument/2006/customXml" ds:itemID="{ddf4831a-bf16-4e19-ac59-d955cd1b8f09}">
  <ds:schemaRefs/>
</ds:datastoreItem>
</file>

<file path=customXml/itemProps19.xml><?xml version="1.0" encoding="utf-8"?>
<ds:datastoreItem xmlns:ds="http://schemas.openxmlformats.org/officeDocument/2006/customXml" ds:itemID="{758c0644-f942-4d6d-bfbc-84b41b78c8ed}">
  <ds:schemaRefs/>
</ds:datastoreItem>
</file>

<file path=customXml/itemProps2.xml><?xml version="1.0" encoding="utf-8"?>
<ds:datastoreItem xmlns:ds="http://schemas.openxmlformats.org/officeDocument/2006/customXml" ds:itemID="{aace975a-d796-4b48-97f6-cfc5b7943aaf}">
  <ds:schemaRefs/>
</ds:datastoreItem>
</file>

<file path=customXml/itemProps20.xml><?xml version="1.0" encoding="utf-8"?>
<ds:datastoreItem xmlns:ds="http://schemas.openxmlformats.org/officeDocument/2006/customXml" ds:itemID="{d1dda351-1843-45bd-8b42-043ee53eb71b}">
  <ds:schemaRefs/>
</ds:datastoreItem>
</file>

<file path=customXml/itemProps21.xml><?xml version="1.0" encoding="utf-8"?>
<ds:datastoreItem xmlns:ds="http://schemas.openxmlformats.org/officeDocument/2006/customXml" ds:itemID="{3e069480-76ba-4d64-bd82-90a894cd61e2}">
  <ds:schemaRefs/>
</ds:datastoreItem>
</file>

<file path=customXml/itemProps22.xml><?xml version="1.0" encoding="utf-8"?>
<ds:datastoreItem xmlns:ds="http://schemas.openxmlformats.org/officeDocument/2006/customXml" ds:itemID="{269551d6-fda7-461c-9027-ebb6618cbf7a}">
  <ds:schemaRefs/>
</ds:datastoreItem>
</file>

<file path=customXml/itemProps23.xml><?xml version="1.0" encoding="utf-8"?>
<ds:datastoreItem xmlns:ds="http://schemas.openxmlformats.org/officeDocument/2006/customXml" ds:itemID="{a812598c-28c3-4b8f-a37d-435b323e69dc}">
  <ds:schemaRefs/>
</ds:datastoreItem>
</file>

<file path=customXml/itemProps24.xml><?xml version="1.0" encoding="utf-8"?>
<ds:datastoreItem xmlns:ds="http://schemas.openxmlformats.org/officeDocument/2006/customXml" ds:itemID="{81cbed1f-bf17-494c-a513-5ad1e1b00b6a}">
  <ds:schemaRefs/>
</ds:datastoreItem>
</file>

<file path=customXml/itemProps25.xml><?xml version="1.0" encoding="utf-8"?>
<ds:datastoreItem xmlns:ds="http://schemas.openxmlformats.org/officeDocument/2006/customXml" ds:itemID="{26c819da-1886-489f-bbb6-910ab7f1bf13}">
  <ds:schemaRefs/>
</ds:datastoreItem>
</file>

<file path=customXml/itemProps26.xml><?xml version="1.0" encoding="utf-8"?>
<ds:datastoreItem xmlns:ds="http://schemas.openxmlformats.org/officeDocument/2006/customXml" ds:itemID="{65b61393-05ce-4433-9f41-315b9528f429}">
  <ds:schemaRefs/>
</ds:datastoreItem>
</file>

<file path=customXml/itemProps27.xml><?xml version="1.0" encoding="utf-8"?>
<ds:datastoreItem xmlns:ds="http://schemas.openxmlformats.org/officeDocument/2006/customXml" ds:itemID="{420c4569-64b4-461f-b959-0b3ea1276a94}">
  <ds:schemaRefs/>
</ds:datastoreItem>
</file>

<file path=customXml/itemProps28.xml><?xml version="1.0" encoding="utf-8"?>
<ds:datastoreItem xmlns:ds="http://schemas.openxmlformats.org/officeDocument/2006/customXml" ds:itemID="{9d060569-1a6e-4211-88e6-e8b027ac1a82}">
  <ds:schemaRefs/>
</ds:datastoreItem>
</file>

<file path=customXml/itemProps29.xml><?xml version="1.0" encoding="utf-8"?>
<ds:datastoreItem xmlns:ds="http://schemas.openxmlformats.org/officeDocument/2006/customXml" ds:itemID="{f58b313b-43dc-4ecd-8b57-2ee55bafef50}">
  <ds:schemaRefs/>
</ds:datastoreItem>
</file>

<file path=customXml/itemProps3.xml><?xml version="1.0" encoding="utf-8"?>
<ds:datastoreItem xmlns:ds="http://schemas.openxmlformats.org/officeDocument/2006/customXml" ds:itemID="{b132e722-7bf4-4fa8-a21c-6c8c0dcc30a1}">
  <ds:schemaRefs/>
</ds:datastoreItem>
</file>

<file path=customXml/itemProps30.xml><?xml version="1.0" encoding="utf-8"?>
<ds:datastoreItem xmlns:ds="http://schemas.openxmlformats.org/officeDocument/2006/customXml" ds:itemID="{cb0efc90-8902-43f9-9e4a-9570dc5e1436}">
  <ds:schemaRefs/>
</ds:datastoreItem>
</file>

<file path=customXml/itemProps31.xml><?xml version="1.0" encoding="utf-8"?>
<ds:datastoreItem xmlns:ds="http://schemas.openxmlformats.org/officeDocument/2006/customXml" ds:itemID="{4305430a-0211-43c9-939b-180f97a6b83e}">
  <ds:schemaRefs/>
</ds:datastoreItem>
</file>

<file path=customXml/itemProps32.xml><?xml version="1.0" encoding="utf-8"?>
<ds:datastoreItem xmlns:ds="http://schemas.openxmlformats.org/officeDocument/2006/customXml" ds:itemID="{8a59035f-873a-4e27-83ec-0e266dc0188b}">
  <ds:schemaRefs/>
</ds:datastoreItem>
</file>

<file path=customXml/itemProps33.xml><?xml version="1.0" encoding="utf-8"?>
<ds:datastoreItem xmlns:ds="http://schemas.openxmlformats.org/officeDocument/2006/customXml" ds:itemID="{ee8cf2af-6f6c-44a9-9a4f-cd6b2acf7d8f}">
  <ds:schemaRefs/>
</ds:datastoreItem>
</file>

<file path=customXml/itemProps34.xml><?xml version="1.0" encoding="utf-8"?>
<ds:datastoreItem xmlns:ds="http://schemas.openxmlformats.org/officeDocument/2006/customXml" ds:itemID="{3eaf7878-0a9e-4299-842c-c439e1880c81}">
  <ds:schemaRefs/>
</ds:datastoreItem>
</file>

<file path=customXml/itemProps35.xml><?xml version="1.0" encoding="utf-8"?>
<ds:datastoreItem xmlns:ds="http://schemas.openxmlformats.org/officeDocument/2006/customXml" ds:itemID="{a8c893d1-fa34-4fbd-8813-657548f3056e}">
  <ds:schemaRefs/>
</ds:datastoreItem>
</file>

<file path=customXml/itemProps36.xml><?xml version="1.0" encoding="utf-8"?>
<ds:datastoreItem xmlns:ds="http://schemas.openxmlformats.org/officeDocument/2006/customXml" ds:itemID="{6d1057e0-ff0d-4aa7-8945-3463d3e15b1b}">
  <ds:schemaRefs/>
</ds:datastoreItem>
</file>

<file path=customXml/itemProps37.xml><?xml version="1.0" encoding="utf-8"?>
<ds:datastoreItem xmlns:ds="http://schemas.openxmlformats.org/officeDocument/2006/customXml" ds:itemID="{b91063bb-9f7d-4bad-950e-46afc9824bbe}">
  <ds:schemaRefs/>
</ds:datastoreItem>
</file>

<file path=customXml/itemProps4.xml><?xml version="1.0" encoding="utf-8"?>
<ds:datastoreItem xmlns:ds="http://schemas.openxmlformats.org/officeDocument/2006/customXml" ds:itemID="{68f1fcfe-ae76-4abe-8d53-7ea669bf9b93}">
  <ds:schemaRefs/>
</ds:datastoreItem>
</file>

<file path=customXml/itemProps5.xml><?xml version="1.0" encoding="utf-8"?>
<ds:datastoreItem xmlns:ds="http://schemas.openxmlformats.org/officeDocument/2006/customXml" ds:itemID="{f941cda2-499e-4267-81a4-aa1c746225ef}">
  <ds:schemaRefs/>
</ds:datastoreItem>
</file>

<file path=customXml/itemProps6.xml><?xml version="1.0" encoding="utf-8"?>
<ds:datastoreItem xmlns:ds="http://schemas.openxmlformats.org/officeDocument/2006/customXml" ds:itemID="{fa237a83-c1e4-48ae-8191-e8dea3599bae}">
  <ds:schemaRefs/>
</ds:datastoreItem>
</file>

<file path=customXml/itemProps7.xml><?xml version="1.0" encoding="utf-8"?>
<ds:datastoreItem xmlns:ds="http://schemas.openxmlformats.org/officeDocument/2006/customXml" ds:itemID="{0a15c0c5-6d34-4ffe-9c88-ab79821ceb60}">
  <ds:schemaRefs/>
</ds:datastoreItem>
</file>

<file path=customXml/itemProps8.xml><?xml version="1.0" encoding="utf-8"?>
<ds:datastoreItem xmlns:ds="http://schemas.openxmlformats.org/officeDocument/2006/customXml" ds:itemID="{32594105-72f2-4bd8-affb-e7398dc07dc2}">
  <ds:schemaRefs/>
</ds:datastoreItem>
</file>

<file path=customXml/itemProps9.xml><?xml version="1.0" encoding="utf-8"?>
<ds:datastoreItem xmlns:ds="http://schemas.openxmlformats.org/officeDocument/2006/customXml" ds:itemID="{9c30bec3-2d33-47d5-9559-d382e3ada76b}">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2023-09-05T20:57:00Z</dcterms:created>
  <dc:creator>Lenovo</dc:creator>
  <cp:lastModifiedBy>Administrator</cp:lastModifiedBy>
  <dcterms:modified xsi:type="dcterms:W3CDTF">2023-09-07T01:02:47Z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