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平乡县民兵训练基地</w:t>
      </w:r>
    </w:p>
    <w:p>
      <w:pPr>
        <w:jc w:val="center"/>
      </w:pPr>
      <w:r>
        <w:rPr>
          <w:b/>
          <w:sz w:val="44"/>
          <w:szCs w:val="44"/>
        </w:rPr>
        <w:t>2017</w:t>
      </w:r>
      <w:r>
        <w:rPr>
          <w:rFonts w:hint="eastAsia"/>
          <w:b/>
          <w:sz w:val="44"/>
          <w:szCs w:val="44"/>
        </w:rPr>
        <w:t>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560"/>
        <w:rPr>
          <w:rFonts w:ascii="方正仿宋_GBK" w:eastAsia="方正仿宋_GBK"/>
          <w:sz w:val="28"/>
        </w:rPr>
      </w:pPr>
      <w:r>
        <w:rPr>
          <w:rFonts w:hint="eastAsia" w:ascii="方正仿宋_GBK" w:eastAsia="方正仿宋_GBK"/>
          <w:sz w:val="28"/>
        </w:rPr>
        <w:t xml:space="preserve">     </w:t>
      </w:r>
      <w:r>
        <w:rPr>
          <w:rFonts w:ascii="方正仿宋_GBK" w:eastAsia="方正仿宋_GBK"/>
          <w:sz w:val="28"/>
        </w:rPr>
        <w:t xml:space="preserve">1.负责做好年度民兵军事训练和预备役人员轮训以及各个应急分队训练，最大限度地保障好参训人员的训练场地和饮食住宿设施完善良好。  </w:t>
      </w:r>
    </w:p>
    <w:p>
      <w:pPr>
        <w:ind w:firstLine="560"/>
        <w:rPr>
          <w:rFonts w:ascii="方正仿宋_GBK" w:eastAsia="方正仿宋_GBK"/>
          <w:sz w:val="28"/>
        </w:rPr>
      </w:pPr>
      <w:r>
        <w:rPr>
          <w:rFonts w:ascii="方正仿宋_GBK" w:eastAsia="方正仿宋_GBK"/>
          <w:sz w:val="28"/>
        </w:rPr>
        <w:t>2.做好本单位工作人员的教育培训，努力提高其对相关保障工作的业务管理水平。</w:t>
      </w:r>
    </w:p>
    <w:p>
      <w:pPr>
        <w:ind w:firstLine="560"/>
        <w:rPr>
          <w:rFonts w:ascii="方正仿宋_GBK" w:eastAsia="方正仿宋_GBK"/>
          <w:sz w:val="28"/>
        </w:rPr>
      </w:pPr>
      <w:r>
        <w:rPr>
          <w:rFonts w:ascii="方正仿宋_GBK" w:eastAsia="方正仿宋_GBK"/>
          <w:sz w:val="28"/>
        </w:rPr>
        <w:t>3.负责做好充分发挥训练基地的战备效益、社会效益和经济效益工作。</w:t>
      </w:r>
    </w:p>
    <w:p>
      <w:pPr>
        <w:spacing w:line="568" w:lineRule="atLeast"/>
        <w:ind w:left="1" w:firstLine="640"/>
        <w:textAlignment w:val="center"/>
        <w:rPr>
          <w:rFonts w:ascii="仿宋" w:hAnsi="仿宋" w:eastAsia="仿宋"/>
          <w:sz w:val="32"/>
          <w:szCs w:val="32"/>
        </w:rPr>
      </w:pPr>
      <w:r>
        <w:rPr>
          <w:rFonts w:ascii="方正仿宋_GBK" w:eastAsia="方正仿宋_GBK"/>
          <w:sz w:val="28"/>
        </w:rPr>
        <w:t>4.负责做好训练辅助设施日常维护、拉动演练及其他相关保障工作</w:t>
      </w:r>
      <w:r>
        <w:rPr>
          <w:rFonts w:hint="eastAsia" w:ascii="方正仿宋_GBK" w:eastAsia="方正仿宋_GBK"/>
          <w:sz w:val="28"/>
        </w:rPr>
        <w:t>；</w:t>
      </w:r>
      <w:r>
        <w:rPr>
          <w:rFonts w:ascii="方正仿宋_GBK" w:eastAsia="方正仿宋_GBK"/>
          <w:sz w:val="28"/>
        </w:rPr>
        <w:t>完成年计划民兵致富技能培训相关保障工作。</w:t>
      </w:r>
    </w:p>
    <w:p>
      <w:pPr>
        <w:ind w:firstLine="560"/>
        <w:rPr>
          <w:rFonts w:ascii="方正仿宋_GBK" w:eastAsia="方正仿宋_GBK"/>
          <w:sz w:val="28"/>
        </w:rPr>
      </w:pPr>
      <w:r>
        <w:rPr>
          <w:rFonts w:hint="eastAsia" w:ascii="方正仿宋_GBK" w:eastAsia="方正仿宋_GBK"/>
          <w:sz w:val="28"/>
        </w:rPr>
        <w:t>5</w:t>
      </w:r>
      <w:r>
        <w:rPr>
          <w:rFonts w:ascii="方正仿宋_GBK" w:eastAsia="方正仿宋_GBK"/>
          <w:sz w:val="28"/>
        </w:rPr>
        <w:t>.完成上级赋予的阶段性、临时性工作保障任务。</w:t>
      </w:r>
      <w:bookmarkStart w:id="1" w:name="_GoBack"/>
      <w:bookmarkEnd w:id="1"/>
    </w:p>
    <w:p>
      <w:pPr>
        <w:ind w:firstLine="560"/>
        <w:rPr>
          <w:rFonts w:ascii="方正仿宋_GBK" w:eastAsia="方正仿宋_GBK"/>
          <w:sz w:val="28"/>
        </w:rPr>
      </w:pPr>
      <w:r>
        <w:rPr>
          <w:rFonts w:hint="eastAsia" w:ascii="方正仿宋_GBK" w:eastAsia="方正仿宋_GBK"/>
          <w:sz w:val="28"/>
        </w:rPr>
        <w:t>6.</w:t>
      </w:r>
      <w:r>
        <w:rPr>
          <w:rFonts w:ascii="方正仿宋_GBK" w:eastAsia="方正仿宋_GBK"/>
          <w:sz w:val="28"/>
        </w:rPr>
        <w:t>根据上级军事机关时间安排和要求认真做好民兵整组以及兵员征集下乡摸底工作，积极做好征兵宣传和适龄青年上站体检工作。</w:t>
      </w: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 xml:space="preserve">  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zh-CN"/>
        </w:rPr>
        <w:t>单位构成：平乡县民兵训练基地</w:t>
      </w:r>
    </w:p>
    <w:p>
      <w:pPr>
        <w:rPr>
          <w:rFonts w:ascii="仿宋" w:hAnsi="仿宋" w:eastAsia="仿宋" w:cs="宋体"/>
          <w:b/>
          <w:kern w:val="0"/>
          <w:sz w:val="32"/>
          <w:szCs w:val="32"/>
          <w:lang w:val="zh-CN"/>
        </w:rPr>
      </w:pPr>
    </w:p>
    <w:p>
      <w:pPr>
        <w:rPr>
          <w:rFonts w:ascii="仿宋" w:hAnsi="仿宋" w:eastAsia="仿宋" w:cs="宋体"/>
          <w:b/>
          <w:kern w:val="0"/>
          <w:sz w:val="32"/>
          <w:szCs w:val="32"/>
          <w:lang w:val="zh-CN"/>
        </w:rPr>
      </w:pPr>
    </w:p>
    <w:p>
      <w:pPr>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三、工作活动绩效目标</w:t>
      </w:r>
    </w:p>
    <w:p>
      <w:pPr>
        <w:jc w:val="center"/>
        <w:outlineLvl w:val="0"/>
        <w:rPr>
          <w:rFonts w:ascii="方正小标宋_GBK" w:hAnsi="Calibri" w:eastAsia="方正小标宋_GBK"/>
          <w:sz w:val="32"/>
          <w:szCs w:val="22"/>
        </w:rPr>
      </w:pPr>
      <w:bookmarkStart w:id="0" w:name="_Toc477787906"/>
      <w:r>
        <w:rPr>
          <w:rFonts w:hint="eastAsia" w:ascii="方正小标宋_GBK" w:hAnsi="Calibri" w:eastAsia="方正小标宋_GBK"/>
          <w:sz w:val="32"/>
          <w:szCs w:val="2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sz w:val="24"/>
                <w:szCs w:val="22"/>
              </w:rPr>
            </w:pPr>
            <w:r>
              <w:rPr>
                <w:rFonts w:ascii="方正小标宋_GBK" w:hAnsi="Calibri" w:eastAsia="方正小标宋_GBK"/>
                <w:sz w:val="24"/>
                <w:szCs w:val="22"/>
              </w:rPr>
              <w:t>813</w:t>
            </w:r>
            <w:r>
              <w:rPr>
                <w:rFonts w:hint="eastAsia" w:ascii="方正小标宋_GBK" w:hAnsi="Calibri" w:eastAsia="方正小标宋_GBK"/>
                <w:sz w:val="24"/>
                <w:szCs w:val="22"/>
              </w:rPr>
              <w:t>民兵训练基地</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 w:val="24"/>
                <w:szCs w:val="22"/>
              </w:rPr>
            </w:pPr>
            <w:r>
              <w:rPr>
                <w:rFonts w:hint="eastAsia" w:ascii="方正书宋_GBK" w:hAnsi="Calibri" w:eastAsia="方正书宋_GBK"/>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职责活动</w:t>
            </w:r>
          </w:p>
        </w:tc>
        <w:tc>
          <w:tcPr>
            <w:tcW w:w="1276"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年度预算数</w:t>
            </w:r>
          </w:p>
        </w:tc>
        <w:tc>
          <w:tcPr>
            <w:tcW w:w="2976"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内容描述</w:t>
            </w:r>
          </w:p>
        </w:tc>
        <w:tc>
          <w:tcPr>
            <w:tcW w:w="2976"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1417"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w:t>
            </w:r>
          </w:p>
        </w:tc>
        <w:tc>
          <w:tcPr>
            <w:tcW w:w="2948" w:type="dxa"/>
            <w:gridSpan w:val="4"/>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Calibri" w:hAnsi="Calibri"/>
                <w:szCs w:val="22"/>
              </w:rPr>
            </w:pPr>
          </w:p>
        </w:tc>
        <w:tc>
          <w:tcPr>
            <w:tcW w:w="1276" w:type="dxa"/>
            <w:vMerge w:val="continue"/>
            <w:shd w:val="clear" w:color="auto" w:fill="auto"/>
            <w:vAlign w:val="center"/>
          </w:tcPr>
          <w:p>
            <w:pPr>
              <w:spacing w:line="300" w:lineRule="exact"/>
              <w:jc w:val="left"/>
              <w:outlineLvl w:val="0"/>
              <w:rPr>
                <w:rFonts w:ascii="Calibri" w:hAnsi="Calibri"/>
                <w:szCs w:val="22"/>
              </w:rPr>
            </w:pPr>
          </w:p>
        </w:tc>
        <w:tc>
          <w:tcPr>
            <w:tcW w:w="2976" w:type="dxa"/>
            <w:vMerge w:val="continue"/>
            <w:shd w:val="clear" w:color="auto" w:fill="auto"/>
            <w:vAlign w:val="center"/>
          </w:tcPr>
          <w:p>
            <w:pPr>
              <w:spacing w:line="300" w:lineRule="exact"/>
              <w:jc w:val="left"/>
              <w:outlineLvl w:val="0"/>
              <w:rPr>
                <w:rFonts w:ascii="Calibri" w:hAnsi="Calibri"/>
                <w:szCs w:val="22"/>
              </w:rPr>
            </w:pPr>
          </w:p>
        </w:tc>
        <w:tc>
          <w:tcPr>
            <w:tcW w:w="2976" w:type="dxa"/>
            <w:vMerge w:val="continue"/>
            <w:shd w:val="clear" w:color="auto" w:fill="auto"/>
            <w:vAlign w:val="center"/>
          </w:tcPr>
          <w:p>
            <w:pPr>
              <w:spacing w:line="300" w:lineRule="exact"/>
              <w:jc w:val="left"/>
              <w:outlineLvl w:val="0"/>
              <w:rPr>
                <w:rFonts w:ascii="Calibri" w:hAnsi="Calibri"/>
                <w:szCs w:val="22"/>
              </w:rPr>
            </w:pPr>
          </w:p>
        </w:tc>
        <w:tc>
          <w:tcPr>
            <w:tcW w:w="1417" w:type="dxa"/>
            <w:vMerge w:val="continue"/>
            <w:shd w:val="clear" w:color="auto" w:fill="auto"/>
            <w:vAlign w:val="center"/>
          </w:tcPr>
          <w:p>
            <w:pPr>
              <w:spacing w:line="300" w:lineRule="exact"/>
              <w:jc w:val="left"/>
              <w:outlineLvl w:val="0"/>
              <w:rPr>
                <w:rFonts w:ascii="Calibri" w:hAnsi="Calibri"/>
                <w:szCs w:val="22"/>
              </w:rPr>
            </w:pPr>
          </w:p>
        </w:tc>
        <w:tc>
          <w:tcPr>
            <w:tcW w:w="73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优</w:t>
            </w:r>
          </w:p>
        </w:tc>
        <w:tc>
          <w:tcPr>
            <w:tcW w:w="73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良</w:t>
            </w:r>
          </w:p>
        </w:tc>
        <w:tc>
          <w:tcPr>
            <w:tcW w:w="73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中</w:t>
            </w:r>
          </w:p>
        </w:tc>
        <w:tc>
          <w:tcPr>
            <w:tcW w:w="73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Calibri" w:eastAsia="方正书宋_GBK"/>
                <w:b/>
                <w:szCs w:val="22"/>
              </w:rPr>
            </w:pPr>
            <w:r>
              <w:rPr>
                <w:rFonts w:hint="eastAsia" w:ascii="方正书宋_GBK" w:hAnsi="Calibri" w:eastAsia="方正书宋_GBK"/>
                <w:b/>
                <w:szCs w:val="22"/>
              </w:rPr>
              <w:t>民兵训练保障</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3.40</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端正思想，加强组织领导，完善内部建设管理，为民兵训练提供基地与相关保障，训练场地的提供与管理</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基地自身建设管理与保障民兵训练要求标准相适应，完善训练相关保障，满足参训人员的设施优良、食宿达标。加强工作人员学习提高服务保障能力</w:t>
            </w:r>
          </w:p>
        </w:tc>
        <w:tc>
          <w:tcPr>
            <w:tcW w:w="1417" w:type="dxa"/>
            <w:shd w:val="clear" w:color="auto" w:fill="auto"/>
            <w:vAlign w:val="center"/>
          </w:tcPr>
          <w:p>
            <w:pPr>
              <w:spacing w:line="300" w:lineRule="exact"/>
              <w:jc w:val="left"/>
              <w:rPr>
                <w:rFonts w:ascii="方正书宋_GBK" w:hAnsi="Calibri" w:eastAsia="方正书宋_GBK"/>
                <w:szCs w:val="22"/>
              </w:rPr>
            </w:pPr>
          </w:p>
        </w:tc>
        <w:tc>
          <w:tcPr>
            <w:tcW w:w="737" w:type="dxa"/>
            <w:shd w:val="clear" w:color="auto" w:fill="auto"/>
            <w:vAlign w:val="center"/>
          </w:tcPr>
          <w:p>
            <w:pPr>
              <w:spacing w:line="300" w:lineRule="exact"/>
              <w:jc w:val="center"/>
              <w:rPr>
                <w:rFonts w:ascii="方正书宋_GBK" w:hAnsi="Calibri" w:eastAsia="方正书宋_GBK"/>
                <w:szCs w:val="22"/>
              </w:rPr>
            </w:pPr>
          </w:p>
        </w:tc>
        <w:tc>
          <w:tcPr>
            <w:tcW w:w="737" w:type="dxa"/>
            <w:shd w:val="clear" w:color="auto" w:fill="auto"/>
            <w:vAlign w:val="center"/>
          </w:tcPr>
          <w:p>
            <w:pPr>
              <w:spacing w:line="300" w:lineRule="exact"/>
              <w:jc w:val="center"/>
              <w:rPr>
                <w:rFonts w:ascii="方正书宋_GBK" w:hAnsi="Calibri" w:eastAsia="方正书宋_GBK"/>
                <w:szCs w:val="22"/>
              </w:rPr>
            </w:pPr>
          </w:p>
        </w:tc>
        <w:tc>
          <w:tcPr>
            <w:tcW w:w="737" w:type="dxa"/>
            <w:shd w:val="clear" w:color="auto" w:fill="auto"/>
            <w:vAlign w:val="center"/>
          </w:tcPr>
          <w:p>
            <w:pPr>
              <w:spacing w:line="300" w:lineRule="exact"/>
              <w:jc w:val="center"/>
              <w:rPr>
                <w:rFonts w:ascii="方正书宋_GBK" w:hAnsi="Calibri" w:eastAsia="方正书宋_GBK"/>
                <w:szCs w:val="22"/>
              </w:rPr>
            </w:pPr>
          </w:p>
        </w:tc>
        <w:tc>
          <w:tcPr>
            <w:tcW w:w="737" w:type="dxa"/>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Calibri" w:eastAsia="方正书宋_GBK"/>
                <w:b/>
                <w:szCs w:val="22"/>
              </w:rPr>
            </w:pPr>
            <w:r>
              <w:rPr>
                <w:rFonts w:hint="eastAsia" w:ascii="方正书宋_GBK" w:hAnsi="Calibri" w:eastAsia="方正书宋_GBK"/>
                <w:b/>
                <w:szCs w:val="22"/>
              </w:rPr>
              <w:t>　　训练场地管理提供与相关保障</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3.00</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按照上级军事机关要求，对训场地、训练器材和食宿等相关设施维修维护管理，负责参训人员的训练场地、器材和食宿按要求落实到位</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完善训练设施及后勤相关保障设施，保质保量训前一个月完工，并使训练场地和食宿等相关设施维修维护与管理，达到军事、防灾等训练科目需求，确保训练无误。训练效果达到预期目的。提高其战备和社会效益。</w:t>
            </w:r>
          </w:p>
        </w:tc>
        <w:tc>
          <w:tcPr>
            <w:tcW w:w="1417"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达到</w:t>
            </w:r>
            <w:r>
              <w:rPr>
                <w:rFonts w:ascii="方正书宋_GBK" w:hAnsi="Calibri" w:eastAsia="方正书宋_GBK"/>
                <w:szCs w:val="22"/>
              </w:rPr>
              <w:t>100%</w:t>
            </w:r>
            <w:r>
              <w:rPr>
                <w:rFonts w:hint="eastAsia" w:ascii="方正书宋_GBK" w:hAnsi="Calibri" w:eastAsia="方正书宋_GBK"/>
                <w:szCs w:val="22"/>
              </w:rPr>
              <w:t>完工率。修整后的训练场地、食宿等相关设施要达到军事、防灾等相关训练科目标准要求</w:t>
            </w:r>
            <w:r>
              <w:rPr>
                <w:rFonts w:ascii="方正书宋_GBK" w:hAnsi="Calibri" w:eastAsia="方正书宋_GBK"/>
                <w:szCs w:val="22"/>
              </w:rPr>
              <w:t>95%</w:t>
            </w:r>
            <w:r>
              <w:rPr>
                <w:rFonts w:hint="eastAsia" w:ascii="方正书宋_GBK" w:hAnsi="Calibri" w:eastAsia="方正书宋_GBK"/>
                <w:szCs w:val="22"/>
              </w:rPr>
              <w:t>以上。确保训练效果达到要求标准，确保训练任务完成。后勤保障达到要求指标。战备效益和社会效益明显增强</w:t>
            </w:r>
          </w:p>
        </w:tc>
        <w:tc>
          <w:tcPr>
            <w:tcW w:w="737" w:type="dxa"/>
            <w:shd w:val="clear" w:color="auto" w:fill="auto"/>
            <w:vAlign w:val="center"/>
          </w:tcPr>
          <w:p>
            <w:pPr>
              <w:spacing w:line="300" w:lineRule="exact"/>
              <w:jc w:val="center"/>
              <w:rPr>
                <w:rFonts w:ascii="方正书宋_GBK" w:hAnsi="Calibri" w:eastAsia="方正书宋_GBK"/>
                <w:szCs w:val="22"/>
              </w:rPr>
            </w:pPr>
            <w:r>
              <w:rPr>
                <w:rFonts w:ascii="方正书宋_GBK" w:hAnsi="Calibri" w:eastAsia="方正书宋_GBK"/>
                <w:szCs w:val="22"/>
              </w:rPr>
              <w:t>100%</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Calibri" w:eastAsia="方正书宋_GBK"/>
                <w:b/>
                <w:szCs w:val="22"/>
              </w:rPr>
            </w:pPr>
            <w:r>
              <w:rPr>
                <w:rFonts w:hint="eastAsia" w:ascii="方正书宋_GBK" w:hAnsi="Calibri" w:eastAsia="方正书宋_GBK"/>
                <w:b/>
                <w:szCs w:val="22"/>
              </w:rPr>
              <w:t>　　综合事务管理</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0.40</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加强相关工作人员业务学习。训练相</w:t>
            </w:r>
          </w:p>
          <w:p>
            <w:pPr>
              <w:spacing w:line="300" w:lineRule="exact"/>
              <w:jc w:val="left"/>
              <w:rPr>
                <w:rFonts w:ascii="方正书宋_GBK" w:hAnsi="Calibri" w:eastAsia="方正书宋_GBK"/>
                <w:szCs w:val="22"/>
              </w:rPr>
            </w:pPr>
            <w:r>
              <w:rPr>
                <w:rFonts w:hint="eastAsia" w:ascii="方正书宋_GBK" w:hAnsi="Calibri" w:eastAsia="方正书宋_GBK"/>
                <w:szCs w:val="22"/>
              </w:rPr>
              <w:t>关文书档案印信等资料管理保密保存，办公设施管理、后勤服务；训练墙标、宣传条幅、展板等资料保障；训练器材日常保养维</w:t>
            </w:r>
            <w:r>
              <w:rPr>
                <w:rFonts w:ascii="方正书宋_GBK" w:hAnsi="Calibri" w:eastAsia="方正书宋_GBK"/>
                <w:szCs w:val="22"/>
              </w:rPr>
              <w:t>(</w:t>
            </w:r>
            <w:r>
              <w:rPr>
                <w:rFonts w:hint="eastAsia" w:ascii="方正书宋_GBK" w:hAnsi="Calibri" w:eastAsia="方正书宋_GBK"/>
                <w:szCs w:val="22"/>
              </w:rPr>
              <w:t>护</w:t>
            </w:r>
            <w:r>
              <w:rPr>
                <w:rFonts w:ascii="方正书宋_GBK" w:hAnsi="Calibri" w:eastAsia="方正书宋_GBK"/>
                <w:szCs w:val="22"/>
              </w:rPr>
              <w:t>)</w:t>
            </w:r>
            <w:r>
              <w:rPr>
                <w:rFonts w:hint="eastAsia" w:ascii="方正书宋_GBK" w:hAnsi="Calibri" w:eastAsia="方正书宋_GBK"/>
                <w:szCs w:val="22"/>
              </w:rPr>
              <w:t>修；领导交办的其他工作</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相关工作人员业务水平进一步提高，确保各项服务工作精准到位</w:t>
            </w:r>
          </w:p>
          <w:p>
            <w:pPr>
              <w:spacing w:line="300" w:lineRule="exact"/>
              <w:jc w:val="left"/>
              <w:rPr>
                <w:rFonts w:ascii="方正书宋_GBK" w:hAnsi="Calibri" w:eastAsia="方正书宋_GBK"/>
                <w:szCs w:val="22"/>
              </w:rPr>
            </w:pPr>
            <w:r>
              <w:rPr>
                <w:rFonts w:hint="eastAsia" w:ascii="方正书宋_GBK" w:hAnsi="Calibri" w:eastAsia="方正书宋_GBK"/>
                <w:szCs w:val="22"/>
              </w:rPr>
              <w:t>积极完成附属于民兵训练相关保障任务</w:t>
            </w:r>
          </w:p>
        </w:tc>
        <w:tc>
          <w:tcPr>
            <w:tcW w:w="1417"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服务民兵训练相关人员的业务水平达到</w:t>
            </w:r>
            <w:r>
              <w:rPr>
                <w:rFonts w:ascii="方正书宋_GBK" w:hAnsi="Calibri" w:eastAsia="方正书宋_GBK"/>
                <w:szCs w:val="22"/>
              </w:rPr>
              <w:t>95%</w:t>
            </w:r>
            <w:r>
              <w:rPr>
                <w:rFonts w:hint="eastAsia" w:ascii="方正书宋_GBK" w:hAnsi="Calibri" w:eastAsia="方正书宋_GBK"/>
                <w:szCs w:val="22"/>
              </w:rPr>
              <w:t>以上</w:t>
            </w:r>
          </w:p>
          <w:p>
            <w:pPr>
              <w:spacing w:line="300" w:lineRule="exact"/>
              <w:jc w:val="left"/>
              <w:rPr>
                <w:rFonts w:ascii="方正书宋_GBK" w:hAnsi="Calibri" w:eastAsia="方正书宋_GBK"/>
                <w:szCs w:val="22"/>
              </w:rPr>
            </w:pPr>
            <w:r>
              <w:rPr>
                <w:rFonts w:hint="eastAsia" w:ascii="方正书宋_GBK" w:hAnsi="Calibri" w:eastAsia="方正书宋_GBK"/>
                <w:szCs w:val="22"/>
              </w:rPr>
              <w:t>达到综合保障服务要求标准</w:t>
            </w:r>
            <w:r>
              <w:rPr>
                <w:rFonts w:ascii="方正书宋_GBK" w:hAnsi="Calibri" w:eastAsia="方正书宋_GBK"/>
                <w:szCs w:val="22"/>
              </w:rPr>
              <w:t>98%</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98%</w:t>
            </w:r>
            <w:r>
              <w:rPr>
                <w:rFonts w:hint="eastAsia" w:ascii="方正书宋_GBK" w:hAnsi="Calibri" w:eastAsia="方正书宋_GBK"/>
                <w:szCs w:val="22"/>
              </w:rPr>
              <w:t xml:space="preserve"> </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95%</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89%</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88%</w:t>
            </w:r>
            <w:r>
              <w:rPr>
                <w:rFonts w:hint="eastAsia" w:ascii="方正书宋_GBK" w:hAnsi="Calibri" w:eastAsia="方正书宋_GBK"/>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hAnsi="Calibri" w:eastAsia="方正书宋_GBK"/>
                <w:b/>
                <w:szCs w:val="22"/>
              </w:rPr>
            </w:pPr>
            <w:r>
              <w:rPr>
                <w:rFonts w:hint="eastAsia" w:ascii="方正书宋_GBK" w:hAnsi="Calibri" w:eastAsia="方正书宋_GBK"/>
                <w:b/>
                <w:szCs w:val="22"/>
              </w:rPr>
              <w:t>　　拉动演练保障</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根据上级军事机关要求，负责相关拉动演练后勤保障，确保此项工作顺利完成</w:t>
            </w:r>
          </w:p>
        </w:tc>
        <w:tc>
          <w:tcPr>
            <w:tcW w:w="29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按要求加强相关保障人员教育，做到政治上可靠，服务上安全。做好提供场地，筹备好所需物资，顺利安全完成拉动演练保障工作任务</w:t>
            </w:r>
          </w:p>
        </w:tc>
        <w:tc>
          <w:tcPr>
            <w:tcW w:w="1417"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确保相关人员的业务和政审</w:t>
            </w:r>
            <w:r>
              <w:rPr>
                <w:rFonts w:ascii="方正书宋_GBK" w:hAnsi="Calibri" w:eastAsia="方正书宋_GBK"/>
                <w:szCs w:val="22"/>
              </w:rPr>
              <w:t>100%</w:t>
            </w:r>
            <w:r>
              <w:rPr>
                <w:rFonts w:hint="eastAsia" w:ascii="方正书宋_GBK" w:hAnsi="Calibri" w:eastAsia="方正书宋_GBK"/>
                <w:szCs w:val="22"/>
              </w:rPr>
              <w:t>达到标准要求，所需场地和物资达到标准要求</w:t>
            </w:r>
          </w:p>
        </w:tc>
        <w:tc>
          <w:tcPr>
            <w:tcW w:w="737" w:type="dxa"/>
            <w:shd w:val="clear" w:color="auto" w:fill="auto"/>
            <w:vAlign w:val="center"/>
          </w:tcPr>
          <w:p>
            <w:pPr>
              <w:spacing w:line="300" w:lineRule="exact"/>
              <w:jc w:val="center"/>
              <w:rPr>
                <w:rFonts w:ascii="方正书宋_GBK" w:hAnsi="Calibri" w:eastAsia="方正书宋_GBK"/>
                <w:szCs w:val="22"/>
              </w:rPr>
            </w:pPr>
            <w:r>
              <w:rPr>
                <w:rFonts w:ascii="方正书宋_GBK" w:hAnsi="Calibri" w:eastAsia="方正书宋_GBK"/>
                <w:szCs w:val="22"/>
              </w:rPr>
              <w:t>100%</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96%</w:t>
            </w:r>
            <w:r>
              <w:rPr>
                <w:rFonts w:hint="eastAsia" w:ascii="方正书宋_GBK" w:hAnsi="Calibri" w:eastAsia="方正书宋_GBK"/>
                <w:szCs w:val="22"/>
              </w:rPr>
              <w:t xml:space="preserve"> </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90%</w:t>
            </w:r>
            <w:r>
              <w:rPr>
                <w:rFonts w:hint="eastAsia" w:ascii="方正书宋_GBK" w:hAnsi="Calibri" w:eastAsia="方正书宋_GBK"/>
                <w:szCs w:val="22"/>
              </w:rPr>
              <w:t xml:space="preserve"> </w:t>
            </w:r>
          </w:p>
        </w:tc>
        <w:tc>
          <w:tcPr>
            <w:tcW w:w="737"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eastAsia="方正书宋_GBK"/>
              </w:rPr>
              <w:t>＜</w:t>
            </w:r>
            <w:r>
              <w:rPr>
                <w:rFonts w:ascii="方正书宋_GBK" w:hAnsi="Calibri" w:eastAsia="方正书宋_GBK"/>
                <w:szCs w:val="22"/>
              </w:rPr>
              <w:t>90%</w:t>
            </w:r>
            <w:r>
              <w:rPr>
                <w:rFonts w:hint="eastAsia" w:ascii="方正书宋_GBK" w:hAnsi="Calibri" w:eastAsia="方正书宋_GBK"/>
                <w:szCs w:val="22"/>
              </w:rPr>
              <w:t xml:space="preserve"> </w:t>
            </w:r>
          </w:p>
        </w:tc>
      </w:tr>
    </w:tbl>
    <w:p>
      <w:pPr>
        <w:spacing w:line="300" w:lineRule="exact"/>
        <w:jc w:val="left"/>
        <w:outlineLvl w:val="0"/>
        <w:rPr>
          <w:rFonts w:ascii="Calibri" w:hAnsi="Calibri"/>
          <w:szCs w:val="22"/>
        </w:rPr>
        <w:sectPr>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rPr>
          <w:rFonts w:ascii="仿宋" w:hAnsi="仿宋" w:eastAsia="仿宋"/>
          <w:b/>
          <w:sz w:val="32"/>
        </w:rPr>
      </w:pPr>
      <w:r>
        <w:rPr>
          <w:rFonts w:hint="eastAsia" w:ascii="仿宋" w:hAnsi="仿宋" w:eastAsia="仿宋"/>
          <w:b/>
          <w:sz w:val="32"/>
          <w:szCs w:val="32"/>
        </w:rPr>
        <w:t xml:space="preserve">  四、</w:t>
      </w:r>
      <w:r>
        <w:rPr>
          <w:rFonts w:hint="eastAsia" w:ascii="仿宋" w:hAnsi="仿宋" w:eastAsia="仿宋"/>
          <w:b/>
          <w:sz w:val="32"/>
        </w:rPr>
        <w:t>政府采购预算情况</w:t>
      </w:r>
    </w:p>
    <w:p>
      <w:pPr>
        <w:ind w:firstLine="716" w:firstLineChars="224"/>
        <w:rPr>
          <w:rFonts w:ascii="仿宋" w:hAnsi="仿宋" w:eastAsia="仿宋"/>
          <w:b/>
          <w:color w:val="FF0000"/>
          <w:sz w:val="32"/>
          <w:szCs w:val="32"/>
        </w:rPr>
      </w:pPr>
      <w:r>
        <w:rPr>
          <w:rFonts w:hint="eastAsia" w:ascii="仿宋" w:hAnsi="仿宋" w:eastAsia="仿宋"/>
          <w:sz w:val="32"/>
          <w:szCs w:val="32"/>
        </w:rPr>
        <w:t xml:space="preserve">   </w:t>
      </w:r>
      <w:r>
        <w:rPr>
          <w:rFonts w:ascii="仿宋" w:hAnsi="仿宋" w:eastAsia="仿宋"/>
          <w:sz w:val="32"/>
          <w:szCs w:val="32"/>
        </w:rPr>
        <w:t>201</w:t>
      </w:r>
      <w:r>
        <w:rPr>
          <w:rFonts w:hint="eastAsia" w:ascii="仿宋" w:hAnsi="仿宋" w:eastAsia="仿宋"/>
          <w:sz w:val="32"/>
          <w:szCs w:val="32"/>
        </w:rPr>
        <w:t xml:space="preserve">7年我单位未安排政府采购事宜。 </w:t>
      </w:r>
    </w:p>
    <w:p>
      <w:pPr>
        <w:rPr>
          <w:rFonts w:ascii="仿宋" w:hAnsi="仿宋" w:eastAsia="仿宋"/>
          <w:b/>
          <w:color w:val="FF0000"/>
          <w:sz w:val="32"/>
        </w:rPr>
      </w:pPr>
      <w:r>
        <w:rPr>
          <w:rFonts w:hint="eastAsia" w:ascii="仿宋" w:hAnsi="仿宋" w:eastAsia="仿宋"/>
          <w:b/>
          <w:sz w:val="32"/>
        </w:rPr>
        <w:t xml:space="preserve">  五、国有资产信息 </w:t>
      </w:r>
    </w:p>
    <w:p>
      <w:pPr>
        <w:ind w:firstLine="716" w:firstLineChars="224"/>
        <w:rPr>
          <w:rFonts w:ascii="仿宋" w:hAnsi="仿宋" w:eastAsia="仿宋"/>
          <w:sz w:val="32"/>
        </w:rPr>
      </w:pPr>
      <w:r>
        <w:rPr>
          <w:rFonts w:hint="eastAsia" w:ascii="仿宋" w:hAnsi="仿宋" w:eastAsia="仿宋"/>
          <w:sz w:val="32"/>
        </w:rPr>
        <w:t xml:space="preserve">  截止</w:t>
      </w:r>
      <w:r>
        <w:rPr>
          <w:rFonts w:ascii="仿宋" w:hAnsi="仿宋" w:eastAsia="仿宋"/>
          <w:sz w:val="32"/>
        </w:rPr>
        <w:t>2016</w:t>
      </w:r>
      <w:r>
        <w:rPr>
          <w:rFonts w:hint="eastAsia" w:ascii="仿宋" w:hAnsi="仿宋" w:eastAsia="仿宋"/>
          <w:sz w:val="32"/>
        </w:rPr>
        <w:t>年末，我单位资产总额为 0万元.</w:t>
      </w:r>
    </w:p>
    <w:p/>
    <w:tbl>
      <w:tblPr>
        <w:tblStyle w:val="4"/>
        <w:tblpPr w:leftFromText="180" w:rightFromText="180" w:vertAnchor="text" w:horzAnchor="page" w:tblpX="107" w:tblpY="321"/>
        <w:tblOverlap w:val="never"/>
        <w:tblW w:w="10220" w:type="dxa"/>
        <w:tblInd w:w="0" w:type="dxa"/>
        <w:tblLayout w:type="fixed"/>
        <w:tblCellMar>
          <w:top w:w="0" w:type="dxa"/>
          <w:left w:w="108" w:type="dxa"/>
          <w:bottom w:w="0" w:type="dxa"/>
          <w:right w:w="108" w:type="dxa"/>
        </w:tblCellMar>
      </w:tblPr>
      <w:tblGrid>
        <w:gridCol w:w="4117"/>
        <w:gridCol w:w="561"/>
        <w:gridCol w:w="561"/>
        <w:gridCol w:w="852"/>
        <w:gridCol w:w="72"/>
        <w:gridCol w:w="1635"/>
        <w:gridCol w:w="1053"/>
        <w:gridCol w:w="1369"/>
      </w:tblGrid>
      <w:tr>
        <w:tblPrEx>
          <w:tblCellMar>
            <w:top w:w="0" w:type="dxa"/>
            <w:left w:w="108" w:type="dxa"/>
            <w:bottom w:w="0" w:type="dxa"/>
            <w:right w:w="108" w:type="dxa"/>
          </w:tblCellMar>
        </w:tblPrEx>
        <w:trPr>
          <w:trHeight w:val="735" w:hRule="atLeast"/>
        </w:trPr>
        <w:tc>
          <w:tcPr>
            <w:tcW w:w="7798" w:type="dxa"/>
            <w:gridSpan w:val="6"/>
            <w:tcBorders>
              <w:top w:val="nil"/>
              <w:left w:val="nil"/>
              <w:bottom w:val="nil"/>
              <w:right w:val="nil"/>
              <w:tl2br w:val="nil"/>
              <w:tr2bl w:val="nil"/>
            </w:tcBorders>
            <w:vAlign w:val="bottom"/>
          </w:tcPr>
          <w:p>
            <w:pPr>
              <w:widowControl/>
              <w:jc w:val="center"/>
              <w:rPr>
                <w:rFonts w:ascii="宋体" w:hAnsi="宋体"/>
                <w:color w:val="000000"/>
                <w:kern w:val="0"/>
                <w:szCs w:val="21"/>
              </w:rPr>
            </w:pPr>
            <w:r>
              <w:rPr>
                <w:rFonts w:hint="eastAsia" w:ascii="宋体" w:hAnsi="宋体"/>
                <w:color w:val="000000"/>
                <w:kern w:val="0"/>
                <w:szCs w:val="21"/>
              </w:rPr>
              <w:t>资产情况表</w:t>
            </w:r>
          </w:p>
        </w:tc>
        <w:tc>
          <w:tcPr>
            <w:tcW w:w="1052" w:type="dxa"/>
            <w:tcBorders>
              <w:top w:val="nil"/>
              <w:left w:val="nil"/>
              <w:bottom w:val="nil"/>
              <w:right w:val="nil"/>
              <w:tl2br w:val="nil"/>
              <w:tr2bl w:val="nil"/>
            </w:tcBorders>
            <w:vAlign w:val="bottom"/>
          </w:tcPr>
          <w:p>
            <w:pPr>
              <w:widowControl/>
              <w:jc w:val="center"/>
              <w:rPr>
                <w:rFonts w:ascii="宋体" w:hAnsi="宋体"/>
                <w:color w:val="000000"/>
                <w:kern w:val="0"/>
                <w:szCs w:val="21"/>
              </w:rPr>
            </w:pPr>
          </w:p>
        </w:tc>
        <w:tc>
          <w:tcPr>
            <w:tcW w:w="1369" w:type="dxa"/>
            <w:tcBorders>
              <w:top w:val="nil"/>
              <w:left w:val="nil"/>
              <w:bottom w:val="nil"/>
              <w:right w:val="nil"/>
              <w:tl2br w:val="nil"/>
              <w:tr2bl w:val="nil"/>
            </w:tcBorders>
            <w:vAlign w:val="bottom"/>
          </w:tcPr>
          <w:p>
            <w:pPr>
              <w:widowControl/>
              <w:jc w:val="center"/>
              <w:rPr>
                <w:rFonts w:ascii="宋体" w:hAnsi="宋体"/>
                <w:color w:val="000000"/>
                <w:kern w:val="0"/>
                <w:szCs w:val="21"/>
              </w:rPr>
            </w:pPr>
          </w:p>
        </w:tc>
      </w:tr>
      <w:tr>
        <w:tblPrEx>
          <w:tblCellMar>
            <w:top w:w="0" w:type="dxa"/>
            <w:left w:w="108" w:type="dxa"/>
            <w:bottom w:w="0" w:type="dxa"/>
            <w:right w:w="108" w:type="dxa"/>
          </w:tblCellMar>
        </w:tblPrEx>
        <w:trPr>
          <w:trHeight w:val="255" w:hRule="atLeast"/>
        </w:trPr>
        <w:tc>
          <w:tcPr>
            <w:tcW w:w="4117"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561"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561"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924" w:type="dxa"/>
            <w:gridSpan w:val="2"/>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1635"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1053"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1369" w:type="dxa"/>
            <w:tcBorders>
              <w:top w:val="nil"/>
              <w:left w:val="nil"/>
              <w:bottom w:val="nil"/>
              <w:right w:val="nil"/>
              <w:tl2br w:val="nil"/>
              <w:tr2bl w:val="nil"/>
            </w:tcBorders>
            <w:vAlign w:val="bottom"/>
          </w:tcPr>
          <w:p>
            <w:pPr>
              <w:widowControl/>
              <w:jc w:val="left"/>
              <w:rPr>
                <w:rFonts w:ascii="Arial" w:hAnsi="Arial"/>
                <w:color w:val="000000"/>
                <w:kern w:val="0"/>
                <w:szCs w:val="21"/>
              </w:rPr>
            </w:pPr>
          </w:p>
        </w:tc>
      </w:tr>
      <w:tr>
        <w:tblPrEx>
          <w:tblCellMar>
            <w:top w:w="0" w:type="dxa"/>
            <w:left w:w="108" w:type="dxa"/>
            <w:bottom w:w="0" w:type="dxa"/>
            <w:right w:w="108" w:type="dxa"/>
          </w:tblCellMar>
        </w:tblPrEx>
        <w:trPr>
          <w:trHeight w:val="315" w:hRule="atLeast"/>
        </w:trPr>
        <w:tc>
          <w:tcPr>
            <w:tcW w:w="4117" w:type="dxa"/>
            <w:tcBorders>
              <w:top w:val="nil"/>
              <w:left w:val="nil"/>
              <w:bottom w:val="nil"/>
              <w:right w:val="nil"/>
              <w:tl2br w:val="nil"/>
              <w:tr2bl w:val="nil"/>
            </w:tcBorders>
            <w:vAlign w:val="bottom"/>
          </w:tcPr>
          <w:p>
            <w:pPr>
              <w:widowControl/>
              <w:jc w:val="left"/>
              <w:rPr>
                <w:rFonts w:ascii="宋体" w:hAnsi="宋体"/>
                <w:color w:val="000000"/>
                <w:kern w:val="0"/>
                <w:szCs w:val="21"/>
              </w:rPr>
            </w:pPr>
            <w:r>
              <w:rPr>
                <w:rFonts w:hint="eastAsia" w:ascii="宋体" w:hAnsi="宋体"/>
                <w:color w:val="000000"/>
                <w:kern w:val="0"/>
                <w:szCs w:val="21"/>
              </w:rPr>
              <w:t>编制单位：平乡县民兵训练基地</w:t>
            </w:r>
          </w:p>
        </w:tc>
        <w:tc>
          <w:tcPr>
            <w:tcW w:w="561"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561" w:type="dxa"/>
            <w:tcBorders>
              <w:top w:val="nil"/>
              <w:left w:val="nil"/>
              <w:bottom w:val="nil"/>
              <w:right w:val="nil"/>
              <w:tl2br w:val="nil"/>
              <w:tr2bl w:val="nil"/>
            </w:tcBorders>
            <w:vAlign w:val="bottom"/>
          </w:tcPr>
          <w:p>
            <w:pPr>
              <w:widowControl/>
              <w:jc w:val="left"/>
              <w:rPr>
                <w:rFonts w:ascii="Arial" w:hAnsi="Arial"/>
                <w:color w:val="000000"/>
                <w:kern w:val="0"/>
                <w:szCs w:val="21"/>
              </w:rPr>
            </w:pPr>
          </w:p>
        </w:tc>
        <w:tc>
          <w:tcPr>
            <w:tcW w:w="924" w:type="dxa"/>
            <w:gridSpan w:val="2"/>
            <w:tcBorders>
              <w:top w:val="nil"/>
              <w:left w:val="nil"/>
              <w:bottom w:val="nil"/>
              <w:right w:val="nil"/>
              <w:tl2br w:val="nil"/>
              <w:tr2bl w:val="nil"/>
            </w:tcBorders>
            <w:vAlign w:val="bottom"/>
          </w:tcPr>
          <w:p>
            <w:pPr>
              <w:widowControl/>
              <w:jc w:val="center"/>
              <w:rPr>
                <w:rFonts w:ascii="宋体" w:hAnsi="宋体"/>
                <w:color w:val="000000"/>
                <w:kern w:val="0"/>
                <w:szCs w:val="21"/>
              </w:rPr>
            </w:pPr>
            <w:r>
              <w:rPr>
                <w:rFonts w:hint="eastAsia" w:ascii="宋体" w:hAnsi="宋体"/>
                <w:color w:val="000000"/>
                <w:kern w:val="0"/>
                <w:szCs w:val="21"/>
              </w:rPr>
              <w:t>2016度</w:t>
            </w:r>
          </w:p>
        </w:tc>
        <w:tc>
          <w:tcPr>
            <w:tcW w:w="1635" w:type="dxa"/>
            <w:tcBorders>
              <w:top w:val="nil"/>
              <w:left w:val="nil"/>
              <w:bottom w:val="nil"/>
              <w:right w:val="nil"/>
              <w:tl2br w:val="nil"/>
              <w:tr2bl w:val="nil"/>
            </w:tcBorders>
            <w:vAlign w:val="bottom"/>
          </w:tcPr>
          <w:p>
            <w:pPr>
              <w:widowControl/>
              <w:jc w:val="right"/>
              <w:rPr>
                <w:rFonts w:ascii="宋体" w:hAnsi="宋体"/>
                <w:color w:val="000000"/>
                <w:kern w:val="0"/>
                <w:szCs w:val="21"/>
              </w:rPr>
            </w:pPr>
            <w:r>
              <w:rPr>
                <w:rFonts w:hint="eastAsia" w:ascii="宋体" w:hAnsi="宋体"/>
                <w:color w:val="000000"/>
                <w:kern w:val="0"/>
                <w:szCs w:val="21"/>
              </w:rPr>
              <w:t>金额单位：万元</w:t>
            </w:r>
          </w:p>
        </w:tc>
        <w:tc>
          <w:tcPr>
            <w:tcW w:w="1053" w:type="dxa"/>
            <w:tcBorders>
              <w:top w:val="nil"/>
              <w:left w:val="nil"/>
              <w:bottom w:val="nil"/>
              <w:right w:val="nil"/>
              <w:tl2br w:val="nil"/>
              <w:tr2bl w:val="nil"/>
            </w:tcBorders>
            <w:vAlign w:val="bottom"/>
          </w:tcPr>
          <w:p>
            <w:pPr>
              <w:widowControl/>
              <w:jc w:val="right"/>
              <w:rPr>
                <w:rFonts w:ascii="宋体" w:hAnsi="宋体"/>
                <w:color w:val="000000"/>
                <w:kern w:val="0"/>
                <w:szCs w:val="21"/>
              </w:rPr>
            </w:pPr>
          </w:p>
        </w:tc>
        <w:tc>
          <w:tcPr>
            <w:tcW w:w="1369" w:type="dxa"/>
            <w:tcBorders>
              <w:top w:val="nil"/>
              <w:left w:val="nil"/>
              <w:bottom w:val="nil"/>
              <w:right w:val="nil"/>
              <w:tl2br w:val="nil"/>
              <w:tr2bl w:val="nil"/>
            </w:tcBorders>
            <w:vAlign w:val="bottom"/>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402" w:hRule="atLeast"/>
        </w:trPr>
        <w:tc>
          <w:tcPr>
            <w:tcW w:w="4117" w:type="dxa"/>
            <w:vMerge w:val="restart"/>
            <w:tcBorders>
              <w:top w:val="single" w:color="000000" w:sz="8" w:space="0"/>
              <w:left w:val="single" w:color="000000" w:sz="8" w:space="0"/>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项　　目</w:t>
            </w:r>
          </w:p>
        </w:tc>
        <w:tc>
          <w:tcPr>
            <w:tcW w:w="1122" w:type="dxa"/>
            <w:gridSpan w:val="2"/>
            <w:tcBorders>
              <w:top w:val="single" w:color="000000" w:sz="8" w:space="0"/>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数量</w:t>
            </w:r>
          </w:p>
        </w:tc>
        <w:tc>
          <w:tcPr>
            <w:tcW w:w="2559" w:type="dxa"/>
            <w:gridSpan w:val="3"/>
            <w:tcBorders>
              <w:top w:val="single" w:color="000000" w:sz="8" w:space="0"/>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价值</w:t>
            </w:r>
          </w:p>
        </w:tc>
        <w:tc>
          <w:tcPr>
            <w:tcW w:w="1053" w:type="dxa"/>
            <w:tcBorders>
              <w:top w:val="single" w:color="000000" w:sz="8" w:space="0"/>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p>
        </w:tc>
        <w:tc>
          <w:tcPr>
            <w:tcW w:w="1369" w:type="dxa"/>
            <w:tcBorders>
              <w:top w:val="single" w:color="000000" w:sz="8" w:space="0"/>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vMerge w:val="continue"/>
            <w:tcBorders>
              <w:top w:val="single" w:color="000000" w:sz="8" w:space="0"/>
              <w:left w:val="single" w:color="000000" w:sz="8" w:space="0"/>
              <w:bottom w:val="single" w:color="000000" w:sz="4" w:space="0"/>
              <w:right w:val="single" w:color="000000" w:sz="4" w:space="0"/>
              <w:tl2br w:val="nil"/>
              <w:tr2bl w:val="nil"/>
            </w:tcBorders>
            <w:shd w:val="clear" w:color="auto" w:fill="auto"/>
            <w:vAlign w:val="center"/>
          </w:tcPr>
          <w:p>
            <w:pPr>
              <w:widowControl/>
              <w:jc w:val="left"/>
              <w:rPr>
                <w:rFonts w:ascii="宋体" w:hAnsi="宋体"/>
                <w:color w:val="000000"/>
                <w:kern w:val="0"/>
                <w:szCs w:val="21"/>
              </w:rPr>
            </w:pPr>
          </w:p>
        </w:tc>
        <w:tc>
          <w:tcPr>
            <w:tcW w:w="561"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年初数</w:t>
            </w:r>
          </w:p>
        </w:tc>
        <w:tc>
          <w:tcPr>
            <w:tcW w:w="561"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年末数</w:t>
            </w:r>
          </w:p>
        </w:tc>
        <w:tc>
          <w:tcPr>
            <w:tcW w:w="852"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年初数</w:t>
            </w:r>
          </w:p>
        </w:tc>
        <w:tc>
          <w:tcPr>
            <w:tcW w:w="1707" w:type="dxa"/>
            <w:gridSpan w:val="2"/>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r>
              <w:rPr>
                <w:rFonts w:hint="eastAsia" w:ascii="宋体" w:hAnsi="宋体"/>
                <w:color w:val="000000"/>
                <w:kern w:val="0"/>
                <w:szCs w:val="21"/>
              </w:rPr>
              <w:t>年末数</w:t>
            </w:r>
          </w:p>
        </w:tc>
        <w:tc>
          <w:tcPr>
            <w:tcW w:w="1053"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固定资产合计</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852" w:type="dxa"/>
            <w:tcBorders>
              <w:top w:val="nil"/>
              <w:left w:val="nil"/>
              <w:bottom w:val="single" w:color="000000" w:sz="4" w:space="0"/>
              <w:right w:val="single" w:color="000000" w:sz="4" w:space="0"/>
              <w:tl2br w:val="nil"/>
              <w:tr2bl w:val="nil"/>
            </w:tcBorders>
            <w:vAlign w:val="center"/>
          </w:tcPr>
          <w:p>
            <w:pPr>
              <w:widowControl/>
              <w:wordWrap w:val="0"/>
              <w:jc w:val="right"/>
              <w:rPr>
                <w:rFonts w:ascii="宋体" w:hAnsi="宋体"/>
                <w:color w:val="000000"/>
                <w:kern w:val="0"/>
                <w:szCs w:val="21"/>
              </w:rPr>
            </w:pPr>
            <w:r>
              <w:rPr>
                <w:rFonts w:hint="eastAsia" w:ascii="宋体" w:hAnsi="宋体"/>
                <w:color w:val="000000"/>
                <w:kern w:val="0"/>
                <w:szCs w:val="21"/>
              </w:rPr>
              <w:t xml:space="preserve"> 0</w:t>
            </w:r>
          </w:p>
        </w:tc>
        <w:tc>
          <w:tcPr>
            <w:tcW w:w="1707" w:type="dxa"/>
            <w:gridSpan w:val="2"/>
            <w:tcBorders>
              <w:top w:val="nil"/>
              <w:left w:val="nil"/>
              <w:bottom w:val="single" w:color="000000" w:sz="4" w:space="0"/>
              <w:right w:val="single" w:color="000000" w:sz="4" w:space="0"/>
              <w:tl2br w:val="nil"/>
              <w:tr2bl w:val="nil"/>
            </w:tcBorders>
            <w:vAlign w:val="center"/>
          </w:tcPr>
          <w:p>
            <w:pPr>
              <w:widowControl/>
              <w:wordWrap w:val="0"/>
              <w:jc w:val="right"/>
              <w:rPr>
                <w:rFonts w:ascii="宋体" w:hAnsi="宋体"/>
                <w:color w:val="000000"/>
                <w:kern w:val="0"/>
                <w:szCs w:val="21"/>
              </w:rPr>
            </w:pPr>
            <w:r>
              <w:rPr>
                <w:rFonts w:hint="eastAsia" w:ascii="宋体" w:hAnsi="宋体"/>
                <w:color w:val="000000"/>
                <w:kern w:val="0"/>
                <w:szCs w:val="21"/>
              </w:rPr>
              <w:t xml:space="preserve"> 0</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（一）房屋（平方米）</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1.办公用房</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2.业务用房</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3.其他（不含构筑物）</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（二）车辆（台、辆）</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1.轿车</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2.越野车</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3.小型载客汽车</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4.大中型载客汽车</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5.其他车型</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（三）单价在50万元以上的设备（台、套…）</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其中：单价50万元（含）以上的通用设备</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单价100万元（含）以上的专用设备</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561"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 xml:space="preserve">  （四）其他固定资产</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852" w:type="dxa"/>
            <w:tcBorders>
              <w:top w:val="nil"/>
              <w:left w:val="nil"/>
              <w:bottom w:val="single" w:color="000000" w:sz="4" w:space="0"/>
              <w:right w:val="single" w:color="000000" w:sz="4" w:space="0"/>
              <w:tl2br w:val="nil"/>
              <w:tr2bl w:val="nil"/>
            </w:tcBorders>
            <w:vAlign w:val="center"/>
          </w:tcPr>
          <w:p>
            <w:pPr>
              <w:widowControl/>
              <w:wordWrap w:val="0"/>
              <w:jc w:val="right"/>
              <w:rPr>
                <w:rFonts w:ascii="宋体" w:hAnsi="宋体"/>
                <w:color w:val="000000"/>
                <w:kern w:val="0"/>
                <w:szCs w:val="21"/>
              </w:rPr>
            </w:pPr>
            <w:r>
              <w:rPr>
                <w:rFonts w:hint="eastAsia" w:ascii="宋体" w:hAnsi="宋体"/>
                <w:color w:val="000000"/>
                <w:kern w:val="0"/>
                <w:szCs w:val="21"/>
              </w:rPr>
              <w:t xml:space="preserve"> 0</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0</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r>
        <w:tblPrEx>
          <w:tblCellMar>
            <w:top w:w="0" w:type="dxa"/>
            <w:left w:w="108" w:type="dxa"/>
            <w:bottom w:w="0" w:type="dxa"/>
            <w:right w:w="108" w:type="dxa"/>
          </w:tblCellMar>
        </w:tblPrEx>
        <w:trPr>
          <w:trHeight w:val="308" w:hRule="atLeast"/>
        </w:trPr>
        <w:tc>
          <w:tcPr>
            <w:tcW w:w="4117" w:type="dxa"/>
            <w:tcBorders>
              <w:top w:val="nil"/>
              <w:left w:val="single" w:color="000000" w:sz="8" w:space="0"/>
              <w:bottom w:val="single" w:color="000000" w:sz="4" w:space="0"/>
              <w:right w:val="single" w:color="000000" w:sz="4" w:space="0"/>
              <w:tl2br w:val="nil"/>
              <w:tr2bl w:val="nil"/>
            </w:tcBorders>
            <w:shd w:val="clear" w:color="FFFFFF" w:fill="C0C0C0"/>
            <w:vAlign w:val="center"/>
          </w:tcPr>
          <w:p>
            <w:pPr>
              <w:widowControl/>
              <w:jc w:val="left"/>
              <w:rPr>
                <w:rFonts w:ascii="宋体" w:hAnsi="宋体"/>
                <w:color w:val="000000"/>
                <w:kern w:val="0"/>
                <w:szCs w:val="21"/>
              </w:rPr>
            </w:pPr>
            <w:r>
              <w:rPr>
                <w:rFonts w:hint="eastAsia" w:ascii="宋体" w:hAnsi="宋体"/>
                <w:color w:val="000000"/>
                <w:kern w:val="0"/>
                <w:szCs w:val="21"/>
              </w:rPr>
              <w:t>减：累计折旧及减值准备</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561" w:type="dxa"/>
            <w:tcBorders>
              <w:top w:val="nil"/>
              <w:left w:val="nil"/>
              <w:bottom w:val="single" w:color="000000" w:sz="4" w:space="0"/>
              <w:right w:val="single" w:color="000000" w:sz="4" w:space="0"/>
              <w:tl2br w:val="nil"/>
              <w:tr2bl w:val="nil"/>
            </w:tcBorders>
            <w:vAlign w:val="center"/>
          </w:tcPr>
          <w:p>
            <w:pPr>
              <w:widowControl/>
              <w:jc w:val="center"/>
              <w:rPr>
                <w:rFonts w:ascii="宋体" w:hAnsi="宋体"/>
                <w:color w:val="000000"/>
                <w:kern w:val="0"/>
                <w:szCs w:val="21"/>
              </w:rPr>
            </w:pPr>
            <w:r>
              <w:rPr>
                <w:rFonts w:hint="eastAsia" w:ascii="宋体" w:hAnsi="宋体"/>
                <w:color w:val="000000"/>
                <w:kern w:val="0"/>
                <w:szCs w:val="21"/>
              </w:rPr>
              <w:t>—</w:t>
            </w:r>
          </w:p>
        </w:tc>
        <w:tc>
          <w:tcPr>
            <w:tcW w:w="852"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707" w:type="dxa"/>
            <w:gridSpan w:val="2"/>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r>
              <w:rPr>
                <w:rFonts w:hint="eastAsia" w:ascii="宋体" w:hAnsi="宋体"/>
                <w:color w:val="000000"/>
                <w:kern w:val="0"/>
                <w:szCs w:val="21"/>
              </w:rPr>
              <w:t>　</w:t>
            </w:r>
          </w:p>
        </w:tc>
        <w:tc>
          <w:tcPr>
            <w:tcW w:w="1053"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c>
          <w:tcPr>
            <w:tcW w:w="1369" w:type="dxa"/>
            <w:tcBorders>
              <w:top w:val="nil"/>
              <w:left w:val="nil"/>
              <w:bottom w:val="single" w:color="000000" w:sz="4" w:space="0"/>
              <w:right w:val="single" w:color="000000" w:sz="4" w:space="0"/>
              <w:tl2br w:val="nil"/>
              <w:tr2bl w:val="nil"/>
            </w:tcBorders>
            <w:vAlign w:val="center"/>
          </w:tcPr>
          <w:p>
            <w:pPr>
              <w:widowControl/>
              <w:jc w:val="right"/>
              <w:rPr>
                <w:rFonts w:ascii="宋体" w:hAnsi="宋体"/>
                <w:color w:val="000000"/>
                <w:kern w:val="0"/>
                <w:szCs w:val="21"/>
              </w:rPr>
            </w:pPr>
          </w:p>
        </w:tc>
      </w:tr>
    </w:tbl>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 xml:space="preserve">           </w:t>
      </w:r>
    </w:p>
    <w:p>
      <w:pPr>
        <w:rPr>
          <w:rFonts w:ascii="仿宋" w:hAnsi="仿宋" w:eastAsia="仿宋"/>
          <w:b/>
          <w:sz w:val="32"/>
          <w:szCs w:val="32"/>
        </w:rPr>
      </w:pPr>
      <w:r>
        <w:rPr>
          <w:rFonts w:hint="eastAsia" w:ascii="仿宋" w:hAnsi="仿宋" w:eastAsia="仿宋"/>
          <w:b/>
          <w:sz w:val="32"/>
          <w:szCs w:val="32"/>
        </w:rPr>
        <w:t xml:space="preserve">   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rPr>
        <w:t>7</w:t>
      </w:r>
      <w:r>
        <w:rPr>
          <w:rFonts w:hint="eastAsia" w:ascii="仿宋" w:hAnsi="仿宋" w:eastAsia="仿宋" w:cs="宋体"/>
          <w:kern w:val="0"/>
          <w:sz w:val="32"/>
          <w:szCs w:val="32"/>
          <w:lang w:val="zh-CN"/>
        </w:rPr>
        <w:t>年共安排预算收入</w:t>
      </w:r>
      <w:r>
        <w:rPr>
          <w:rFonts w:hint="eastAsia" w:ascii="仿宋" w:hAnsi="仿宋" w:eastAsia="仿宋" w:cs="宋体"/>
          <w:kern w:val="0"/>
          <w:sz w:val="32"/>
          <w:szCs w:val="32"/>
        </w:rPr>
        <w:t xml:space="preserve"> 73.27</w:t>
      </w:r>
      <w:r>
        <w:rPr>
          <w:rFonts w:hint="eastAsia" w:ascii="仿宋" w:hAnsi="仿宋" w:eastAsia="仿宋" w:cs="宋体"/>
          <w:kern w:val="0"/>
          <w:sz w:val="32"/>
          <w:szCs w:val="32"/>
          <w:lang w:val="zh-CN"/>
        </w:rPr>
        <w:t xml:space="preserve">万元，一般公共预算拨款 73.27万元。 </w:t>
      </w:r>
    </w:p>
    <w:p>
      <w:pPr>
        <w:autoSpaceDE w:val="0"/>
        <w:autoSpaceDN w:val="0"/>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rPr>
        <w:t>7</w:t>
      </w:r>
      <w:r>
        <w:rPr>
          <w:rFonts w:hint="eastAsia" w:ascii="仿宋" w:hAnsi="仿宋" w:eastAsia="仿宋" w:cs="宋体"/>
          <w:kern w:val="0"/>
          <w:sz w:val="32"/>
          <w:szCs w:val="32"/>
          <w:lang w:val="zh-CN"/>
        </w:rPr>
        <w:t>年共安排预算支出 73.27万元，其中工资福利支出</w:t>
      </w:r>
      <w:r>
        <w:rPr>
          <w:rFonts w:hint="eastAsia" w:ascii="仿宋" w:hAnsi="仿宋" w:eastAsia="仿宋" w:cs="宋体"/>
          <w:kern w:val="0"/>
          <w:sz w:val="32"/>
          <w:szCs w:val="32"/>
        </w:rPr>
        <w:t xml:space="preserve"> 61.4万元、</w:t>
      </w:r>
      <w:r>
        <w:rPr>
          <w:rFonts w:hint="eastAsia" w:ascii="仿宋" w:hAnsi="仿宋" w:eastAsia="仿宋" w:cs="宋体"/>
          <w:kern w:val="0"/>
          <w:sz w:val="32"/>
          <w:szCs w:val="32"/>
          <w:lang w:val="zh-CN"/>
        </w:rPr>
        <w:t>日常公用经费</w:t>
      </w:r>
      <w:r>
        <w:rPr>
          <w:rFonts w:hint="eastAsia" w:ascii="仿宋" w:hAnsi="仿宋" w:eastAsia="仿宋" w:cs="宋体"/>
          <w:kern w:val="0"/>
          <w:sz w:val="32"/>
          <w:szCs w:val="32"/>
        </w:rPr>
        <w:t xml:space="preserve"> 3.9万元、对个人和家庭的补助4.57万元、公用项目支出 3.4万元</w:t>
      </w:r>
      <w:r>
        <w:rPr>
          <w:rFonts w:hint="eastAsia" w:ascii="仿宋" w:hAnsi="仿宋" w:eastAsia="仿宋" w:cs="宋体"/>
          <w:kern w:val="0"/>
          <w:sz w:val="32"/>
          <w:szCs w:val="32"/>
          <w:lang w:val="zh-CN"/>
        </w:rPr>
        <w:t xml:space="preserve">。   </w:t>
      </w:r>
    </w:p>
    <w:p>
      <w:pPr>
        <w:autoSpaceDE w:val="0"/>
        <w:autoSpaceDN w:val="0"/>
        <w:ind w:firstLine="640" w:firstLineChars="200"/>
        <w:rPr>
          <w:rFonts w:ascii="仿宋_GB2312" w:hAnsi="仿宋_GB2312" w:eastAsia="仿宋_GB2312"/>
          <w:color w:val="000000"/>
          <w:sz w:val="32"/>
        </w:rPr>
      </w:pPr>
      <w:r>
        <w:rPr>
          <w:rFonts w:hint="eastAsia" w:ascii="仿宋" w:hAnsi="仿宋" w:eastAsia="仿宋" w:cs="宋体"/>
          <w:kern w:val="0"/>
          <w:sz w:val="32"/>
          <w:szCs w:val="32"/>
          <w:lang w:val="zh-CN"/>
        </w:rPr>
        <w:t>机关运行经费情况：</w:t>
      </w:r>
      <w:r>
        <w:rPr>
          <w:rFonts w:hint="eastAsia" w:ascii="仿宋_GB2312" w:hAnsi="仿宋_GB2312" w:eastAsia="仿宋_GB2312"/>
          <w:color w:val="000000"/>
          <w:sz w:val="32"/>
        </w:rPr>
        <w:t>机关运行经费共计安排3.9万元，主要用于办公费、印刷费、邮电费、公务交通补贴等日常运行支出。</w:t>
      </w:r>
    </w:p>
    <w:p>
      <w:pPr>
        <w:rPr>
          <w:rFonts w:ascii="仿宋" w:hAnsi="仿宋" w:eastAsia="仿宋"/>
          <w:b/>
          <w:color w:val="FF0000"/>
          <w:sz w:val="32"/>
          <w:szCs w:val="32"/>
        </w:rPr>
      </w:pPr>
      <w:r>
        <w:rPr>
          <w:rFonts w:hint="eastAsia" w:ascii="仿宋" w:hAnsi="仿宋" w:eastAsia="仿宋"/>
          <w:b/>
          <w:sz w:val="32"/>
          <w:szCs w:val="32"/>
        </w:rPr>
        <w:t xml:space="preserve">    七、“三公”经费增减变化情况</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20</w:t>
      </w:r>
      <w:r>
        <w:rPr>
          <w:rFonts w:ascii="仿宋" w:hAnsi="仿宋" w:eastAsia="仿宋" w:cs="宋体"/>
          <w:kern w:val="0"/>
          <w:sz w:val="32"/>
          <w:szCs w:val="32"/>
        </w:rPr>
        <w:t>1</w:t>
      </w:r>
      <w:r>
        <w:rPr>
          <w:rFonts w:hint="eastAsia" w:ascii="仿宋" w:hAnsi="仿宋" w:eastAsia="仿宋" w:cs="宋体"/>
          <w:kern w:val="0"/>
          <w:sz w:val="32"/>
          <w:szCs w:val="32"/>
        </w:rPr>
        <w:t>7</w:t>
      </w:r>
      <w:r>
        <w:rPr>
          <w:rFonts w:hint="eastAsia" w:ascii="仿宋" w:hAnsi="仿宋" w:eastAsia="仿宋" w:cs="宋体"/>
          <w:kern w:val="0"/>
          <w:sz w:val="32"/>
          <w:szCs w:val="32"/>
          <w:lang w:val="zh-CN"/>
        </w:rPr>
        <w:t>年本部门未安排“三公”经费，同上年持平。其中：</w:t>
      </w:r>
      <w:r>
        <w:rPr>
          <w:rFonts w:hint="eastAsia" w:ascii="仿宋" w:hAnsi="仿宋" w:eastAsia="仿宋" w:cs="宋体"/>
          <w:sz w:val="32"/>
          <w:szCs w:val="32"/>
          <w:lang w:val="zh-CN" w:bidi="ar"/>
        </w:rPr>
        <w:t>因公出国（境）费0万元</w:t>
      </w:r>
      <w:r>
        <w:rPr>
          <w:rFonts w:hint="eastAsia" w:ascii="仿宋" w:hAnsi="仿宋" w:eastAsia="仿宋" w:cs="宋体"/>
          <w:kern w:val="0"/>
          <w:sz w:val="32"/>
          <w:szCs w:val="32"/>
          <w:lang w:val="zh-CN"/>
        </w:rPr>
        <w:t>，同上年持平。公车运行0万元，同上年持平。公务接待0万元，同上年持平。本部门本年度“三公”经费与上年持平，无增减，主要原因是本部门严格落实中央八项规定和“六项禁令”要求。</w:t>
      </w:r>
    </w:p>
    <w:p>
      <w:pPr>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八、名词解释</w:t>
      </w:r>
    </w:p>
    <w:p>
      <w:pPr>
        <w:ind w:firstLine="720" w:firstLineChars="225"/>
        <w:rPr>
          <w:rFonts w:ascii="仿宋" w:hAnsi="仿宋" w:eastAsia="仿宋"/>
          <w:sz w:val="32"/>
        </w:rPr>
      </w:pPr>
      <w:r>
        <w:rPr>
          <w:rFonts w:hint="eastAsia" w:ascii="仿宋" w:hAnsi="仿宋" w:eastAsia="仿宋" w:cs="宋体"/>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九、其他需说明的事项</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我单位</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年度无政府性基金预算财政拨款，无国有资本经营预算财政拨款。</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7FBC"/>
    <w:rsid w:val="00075D43"/>
    <w:rsid w:val="000F0190"/>
    <w:rsid w:val="000F4EFF"/>
    <w:rsid w:val="000F57D5"/>
    <w:rsid w:val="00153B0E"/>
    <w:rsid w:val="00172A27"/>
    <w:rsid w:val="0017569F"/>
    <w:rsid w:val="001929A3"/>
    <w:rsid w:val="001A2DD3"/>
    <w:rsid w:val="002A53E0"/>
    <w:rsid w:val="002B615D"/>
    <w:rsid w:val="003039DD"/>
    <w:rsid w:val="00372496"/>
    <w:rsid w:val="003807E5"/>
    <w:rsid w:val="003E33BB"/>
    <w:rsid w:val="004141C0"/>
    <w:rsid w:val="00424177"/>
    <w:rsid w:val="00434716"/>
    <w:rsid w:val="00450DDC"/>
    <w:rsid w:val="004640C9"/>
    <w:rsid w:val="004977AC"/>
    <w:rsid w:val="005462C1"/>
    <w:rsid w:val="005B1811"/>
    <w:rsid w:val="005E087F"/>
    <w:rsid w:val="00620B6D"/>
    <w:rsid w:val="00697280"/>
    <w:rsid w:val="006B7066"/>
    <w:rsid w:val="006D0882"/>
    <w:rsid w:val="00724BEC"/>
    <w:rsid w:val="007411AC"/>
    <w:rsid w:val="00757AC1"/>
    <w:rsid w:val="007735AD"/>
    <w:rsid w:val="00780E07"/>
    <w:rsid w:val="007A26DA"/>
    <w:rsid w:val="008036D8"/>
    <w:rsid w:val="008D4F02"/>
    <w:rsid w:val="00927EFC"/>
    <w:rsid w:val="00932589"/>
    <w:rsid w:val="00934DD5"/>
    <w:rsid w:val="00965AEB"/>
    <w:rsid w:val="009A536A"/>
    <w:rsid w:val="009C71AE"/>
    <w:rsid w:val="009E65E8"/>
    <w:rsid w:val="00A0374A"/>
    <w:rsid w:val="00A207F6"/>
    <w:rsid w:val="00A45944"/>
    <w:rsid w:val="00A54F08"/>
    <w:rsid w:val="00A601CF"/>
    <w:rsid w:val="00A62EEB"/>
    <w:rsid w:val="00A672E4"/>
    <w:rsid w:val="00A92DA3"/>
    <w:rsid w:val="00AB2024"/>
    <w:rsid w:val="00AC0C4A"/>
    <w:rsid w:val="00AD2B02"/>
    <w:rsid w:val="00AE6F06"/>
    <w:rsid w:val="00AF2683"/>
    <w:rsid w:val="00B207D9"/>
    <w:rsid w:val="00B42A53"/>
    <w:rsid w:val="00B4761F"/>
    <w:rsid w:val="00BB3A2B"/>
    <w:rsid w:val="00BD7376"/>
    <w:rsid w:val="00BE6CC9"/>
    <w:rsid w:val="00C20F6D"/>
    <w:rsid w:val="00C64870"/>
    <w:rsid w:val="00C9061D"/>
    <w:rsid w:val="00C91331"/>
    <w:rsid w:val="00CD626A"/>
    <w:rsid w:val="00CE4DE0"/>
    <w:rsid w:val="00D17D11"/>
    <w:rsid w:val="00D21F48"/>
    <w:rsid w:val="00E046A8"/>
    <w:rsid w:val="00E31BBC"/>
    <w:rsid w:val="00E32B58"/>
    <w:rsid w:val="00E40538"/>
    <w:rsid w:val="00E4403C"/>
    <w:rsid w:val="00EA0F3A"/>
    <w:rsid w:val="00EB08F0"/>
    <w:rsid w:val="00ED7420"/>
    <w:rsid w:val="00F80169"/>
    <w:rsid w:val="00FA078E"/>
    <w:rsid w:val="01E93FF7"/>
    <w:rsid w:val="03DF2824"/>
    <w:rsid w:val="04AE0003"/>
    <w:rsid w:val="05E325FE"/>
    <w:rsid w:val="0AB07B94"/>
    <w:rsid w:val="14A0212D"/>
    <w:rsid w:val="1C010DF4"/>
    <w:rsid w:val="20964CCC"/>
    <w:rsid w:val="21685024"/>
    <w:rsid w:val="22EA4B76"/>
    <w:rsid w:val="28F770C2"/>
    <w:rsid w:val="2B2F1B63"/>
    <w:rsid w:val="2C447131"/>
    <w:rsid w:val="2D5B46C0"/>
    <w:rsid w:val="2DDE276D"/>
    <w:rsid w:val="42C506D2"/>
    <w:rsid w:val="45E90D00"/>
    <w:rsid w:val="47CD5550"/>
    <w:rsid w:val="4DAB7FC3"/>
    <w:rsid w:val="56910802"/>
    <w:rsid w:val="56FB7783"/>
    <w:rsid w:val="577D600A"/>
    <w:rsid w:val="592E08B9"/>
    <w:rsid w:val="5AD26757"/>
    <w:rsid w:val="5ED05CE2"/>
    <w:rsid w:val="604743FB"/>
    <w:rsid w:val="62C8768E"/>
    <w:rsid w:val="632E2D87"/>
    <w:rsid w:val="64FD6794"/>
    <w:rsid w:val="65FA2EE9"/>
    <w:rsid w:val="67907B0B"/>
    <w:rsid w:val="68651BDE"/>
    <w:rsid w:val="6C5C1C1C"/>
    <w:rsid w:val="75A67AE5"/>
    <w:rsid w:val="777B5CDE"/>
    <w:rsid w:val="7A4E0D7E"/>
    <w:rsid w:val="7CA6464F"/>
    <w:rsid w:val="7D235862"/>
    <w:rsid w:val="7EDD70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337</Words>
  <Characters>1925</Characters>
  <Lines>16</Lines>
  <Paragraphs>4</Paragraphs>
  <TotalTime>2</TotalTime>
  <ScaleCrop>false</ScaleCrop>
  <LinksUpToDate>false</LinksUpToDate>
  <CharactersWithSpaces>2258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DELL</cp:lastModifiedBy>
  <cp:lastPrinted>2016-09-09T06:06:00Z</cp:lastPrinted>
  <dcterms:modified xsi:type="dcterms:W3CDTF">2023-10-10T07:55:04Z</dcterms:modified>
  <cp:revision>29</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E4B6258BBBE8469DB6F789428F1B9AA3</vt:lpwstr>
  </property>
</Properties>
</file>