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cs="宋体"/>
          <w:b/>
          <w:bCs/>
          <w:kern w:val="0"/>
          <w:sz w:val="44"/>
          <w:szCs w:val="44"/>
          <w:lang w:val="zh-CN"/>
        </w:rPr>
      </w:pPr>
      <w:r>
        <w:rPr>
          <w:rFonts w:hint="eastAsia" w:ascii="宋体" w:cs="宋体"/>
          <w:b/>
          <w:bCs/>
          <w:kern w:val="0"/>
          <w:sz w:val="44"/>
          <w:szCs w:val="44"/>
          <w:lang w:val="zh-CN"/>
        </w:rPr>
        <w:t>平乡县文学艺术界联合会</w:t>
      </w:r>
    </w:p>
    <w:p>
      <w:pPr>
        <w:jc w:val="center"/>
      </w:pPr>
      <w:r>
        <w:rPr>
          <w:b/>
          <w:sz w:val="44"/>
          <w:szCs w:val="44"/>
        </w:rPr>
        <w:t>201</w:t>
      </w:r>
      <w:r>
        <w:rPr>
          <w:rFonts w:hint="eastAsia"/>
          <w:b/>
          <w:sz w:val="44"/>
          <w:szCs w:val="44"/>
        </w:rPr>
        <w:t>9年部门预算信息公开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按照《预算法》、《地方预决算公开操作规程》和《河北省省级预算公开办法》规定，现将平乡县文联2019年部门预算公开如下：</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一、部门职责及机构设置情况</w:t>
      </w:r>
    </w:p>
    <w:p>
      <w:pPr>
        <w:ind w:firstLine="640" w:firstLineChars="200"/>
        <w:rPr>
          <w:rFonts w:ascii="仿宋" w:hAnsi="仿宋" w:eastAsia="仿宋"/>
          <w:sz w:val="32"/>
          <w:szCs w:val="32"/>
        </w:rPr>
      </w:pPr>
      <w:r>
        <w:rPr>
          <w:rFonts w:hint="eastAsia" w:ascii="仿宋" w:hAnsi="仿宋" w:eastAsia="仿宋"/>
          <w:sz w:val="32"/>
          <w:szCs w:val="32"/>
        </w:rPr>
        <w:t>1、组织文艺工作者，深入生活、深入基层，开展采风创作文艺作品。</w:t>
      </w:r>
    </w:p>
    <w:p>
      <w:pPr>
        <w:ind w:firstLine="640" w:firstLineChars="200"/>
        <w:rPr>
          <w:rFonts w:ascii="仿宋" w:hAnsi="仿宋" w:eastAsia="仿宋"/>
          <w:sz w:val="32"/>
          <w:szCs w:val="32"/>
        </w:rPr>
      </w:pPr>
      <w:r>
        <w:rPr>
          <w:rFonts w:hint="eastAsia" w:ascii="仿宋" w:hAnsi="仿宋" w:eastAsia="仿宋"/>
          <w:sz w:val="32"/>
          <w:szCs w:val="32"/>
        </w:rPr>
        <w:t>2、表彰文艺工作者和开展文艺奖评活动。</w:t>
      </w:r>
    </w:p>
    <w:p>
      <w:pPr>
        <w:ind w:firstLine="640" w:firstLineChars="200"/>
        <w:rPr>
          <w:rFonts w:ascii="仿宋" w:hAnsi="仿宋" w:eastAsia="仿宋"/>
          <w:sz w:val="32"/>
          <w:szCs w:val="32"/>
        </w:rPr>
      </w:pPr>
      <w:r>
        <w:rPr>
          <w:rFonts w:hint="eastAsia" w:ascii="仿宋" w:hAnsi="仿宋" w:eastAsia="仿宋"/>
          <w:sz w:val="32"/>
          <w:szCs w:val="32"/>
        </w:rPr>
        <w:t>3、开展对艺术人才的教育培训，提高创作水平。</w:t>
      </w:r>
    </w:p>
    <w:p>
      <w:pPr>
        <w:ind w:firstLine="640" w:firstLineChars="200"/>
        <w:rPr>
          <w:rFonts w:ascii="仿宋" w:hAnsi="仿宋" w:eastAsia="仿宋"/>
          <w:sz w:val="32"/>
          <w:szCs w:val="32"/>
        </w:rPr>
      </w:pPr>
      <w:r>
        <w:rPr>
          <w:rFonts w:hint="eastAsia" w:ascii="仿宋" w:hAnsi="仿宋" w:eastAsia="仿宋"/>
          <w:sz w:val="32"/>
          <w:szCs w:val="32"/>
        </w:rPr>
        <w:t>4、扩展民间文化艺术交流活动，请进来、走出去，吸取有益经验，为艺术工作者对外文化交流做好服务工作。</w:t>
      </w:r>
    </w:p>
    <w:p>
      <w:pPr>
        <w:ind w:firstLine="640" w:firstLineChars="200"/>
        <w:rPr>
          <w:rFonts w:ascii="仿宋" w:hAnsi="仿宋" w:eastAsia="仿宋"/>
          <w:sz w:val="32"/>
          <w:szCs w:val="32"/>
        </w:rPr>
      </w:pPr>
      <w:r>
        <w:rPr>
          <w:rFonts w:hint="eastAsia" w:ascii="仿宋" w:hAnsi="仿宋" w:eastAsia="仿宋"/>
          <w:sz w:val="32"/>
          <w:szCs w:val="32"/>
        </w:rPr>
        <w:t>5、围绕党中央和各级党委中心工作，通过展览以及文艺演出、出版等形式，组织文艺精品创作，繁荣平乡文艺发展。</w:t>
      </w:r>
    </w:p>
    <w:p>
      <w:pPr>
        <w:ind w:firstLine="720" w:firstLineChars="224"/>
        <w:rPr>
          <w:rFonts w:ascii="仿宋_GB2312" w:hAnsi="仿宋_GB2312" w:eastAsia="仿宋_GB2312" w:cs="仿宋_GB2312"/>
          <w:b/>
          <w:color w:val="000000" w:themeColor="text1"/>
          <w:sz w:val="32"/>
          <w:szCs w:val="32"/>
          <w14:textFill>
            <w14:solidFill>
              <w14:schemeClr w14:val="tx1"/>
            </w14:solidFill>
          </w14:textFill>
        </w:rPr>
      </w:pPr>
    </w:p>
    <w:p>
      <w:pPr>
        <w:ind w:firstLine="720" w:firstLineChars="224"/>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机构设置：</w:t>
      </w:r>
    </w:p>
    <w:p>
      <w:pPr>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部门机构设置情况</w:t>
      </w:r>
    </w:p>
    <w:tbl>
      <w:tblPr>
        <w:tblStyle w:val="5"/>
        <w:tblW w:w="100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20"/>
        <w:gridCol w:w="1478"/>
        <w:gridCol w:w="1487"/>
        <w:gridCol w:w="2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20" w:type="dxa"/>
            <w:vMerge w:val="restart"/>
            <w:vAlign w:val="center"/>
          </w:tcPr>
          <w:p>
            <w:pPr>
              <w:spacing w:line="3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单位名称</w:t>
            </w:r>
          </w:p>
        </w:tc>
        <w:tc>
          <w:tcPr>
            <w:tcW w:w="1478" w:type="dxa"/>
            <w:vMerge w:val="restart"/>
            <w:vAlign w:val="center"/>
          </w:tcPr>
          <w:p>
            <w:pPr>
              <w:spacing w:line="3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单位性质</w:t>
            </w:r>
          </w:p>
        </w:tc>
        <w:tc>
          <w:tcPr>
            <w:tcW w:w="1487" w:type="dxa"/>
            <w:vMerge w:val="restart"/>
            <w:vAlign w:val="center"/>
          </w:tcPr>
          <w:p>
            <w:pPr>
              <w:spacing w:line="3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单位规格</w:t>
            </w:r>
          </w:p>
        </w:tc>
        <w:tc>
          <w:tcPr>
            <w:tcW w:w="2995" w:type="dxa"/>
            <w:vMerge w:val="restart"/>
            <w:vAlign w:val="center"/>
          </w:tcPr>
          <w:p>
            <w:pPr>
              <w:spacing w:line="3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20" w:type="dxa"/>
            <w:vMerge w:val="continue"/>
            <w:vAlign w:val="center"/>
          </w:tcPr>
          <w:p>
            <w:pPr>
              <w:spacing w:line="300" w:lineRule="exact"/>
              <w:jc w:val="left"/>
              <w:outlineLvl w:val="0"/>
              <w:rPr>
                <w:rFonts w:ascii="仿宋_GB2312" w:hAnsi="仿宋_GB2312" w:eastAsia="仿宋_GB2312" w:cs="仿宋_GB2312"/>
                <w:sz w:val="32"/>
                <w:szCs w:val="32"/>
              </w:rPr>
            </w:pPr>
          </w:p>
        </w:tc>
        <w:tc>
          <w:tcPr>
            <w:tcW w:w="1478" w:type="dxa"/>
            <w:vMerge w:val="continue"/>
            <w:vAlign w:val="center"/>
          </w:tcPr>
          <w:p>
            <w:pPr>
              <w:spacing w:line="300" w:lineRule="exact"/>
              <w:jc w:val="left"/>
              <w:outlineLvl w:val="0"/>
              <w:rPr>
                <w:rFonts w:ascii="仿宋_GB2312" w:hAnsi="仿宋_GB2312" w:eastAsia="仿宋_GB2312" w:cs="仿宋_GB2312"/>
                <w:sz w:val="32"/>
                <w:szCs w:val="32"/>
              </w:rPr>
            </w:pPr>
          </w:p>
        </w:tc>
        <w:tc>
          <w:tcPr>
            <w:tcW w:w="1487" w:type="dxa"/>
            <w:vMerge w:val="continue"/>
            <w:vAlign w:val="center"/>
          </w:tcPr>
          <w:p>
            <w:pPr>
              <w:spacing w:line="300" w:lineRule="exact"/>
              <w:jc w:val="left"/>
              <w:outlineLvl w:val="0"/>
              <w:rPr>
                <w:rFonts w:ascii="仿宋_GB2312" w:hAnsi="仿宋_GB2312" w:eastAsia="仿宋_GB2312" w:cs="仿宋_GB2312"/>
                <w:sz w:val="32"/>
                <w:szCs w:val="32"/>
              </w:rPr>
            </w:pPr>
          </w:p>
        </w:tc>
        <w:tc>
          <w:tcPr>
            <w:tcW w:w="2995" w:type="dxa"/>
            <w:vMerge w:val="continue"/>
            <w:vAlign w:val="center"/>
          </w:tcPr>
          <w:p>
            <w:pPr>
              <w:spacing w:line="300" w:lineRule="exact"/>
              <w:jc w:val="left"/>
              <w:outlineLvl w:val="0"/>
              <w:rPr>
                <w:rFonts w:ascii="仿宋_GB2312" w:hAnsi="仿宋_GB2312" w:eastAsia="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4120" w:type="dxa"/>
            <w:vAlign w:val="center"/>
          </w:tcPr>
          <w:p>
            <w:pPr>
              <w:spacing w:line="3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平乡县文学艺术界联合会</w:t>
            </w:r>
          </w:p>
        </w:tc>
        <w:tc>
          <w:tcPr>
            <w:tcW w:w="1478"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1487"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正科级</w:t>
            </w:r>
          </w:p>
        </w:tc>
        <w:tc>
          <w:tcPr>
            <w:tcW w:w="2995"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非限额补助</w:t>
            </w:r>
          </w:p>
        </w:tc>
      </w:tr>
    </w:tbl>
    <w:p>
      <w:pPr>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二、部门预算安排的总体情况</w:t>
      </w:r>
    </w:p>
    <w:p>
      <w:pPr>
        <w:ind w:firstLine="640"/>
        <w:rPr>
          <w:rFonts w:ascii="仿宋" w:hAnsi="仿宋" w:eastAsia="仿宋" w:cs="仿宋_GB2312"/>
          <w:sz w:val="32"/>
          <w:szCs w:val="32"/>
        </w:rPr>
      </w:pPr>
      <w:r>
        <w:rPr>
          <w:rFonts w:hint="eastAsia" w:ascii="仿宋" w:hAnsi="仿宋" w:eastAsia="仿宋" w:cs="仿宋_GB2312"/>
          <w:sz w:val="32"/>
          <w:szCs w:val="32"/>
        </w:rPr>
        <w:t>按照预算管理有关规定，目前我县部门预算的编制实行综合预算制度，即全部收入和支出都反映的预算中。平乡县文联的收支包含在部门预算中。</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1、收入说明</w:t>
      </w:r>
    </w:p>
    <w:p>
      <w:pPr>
        <w:ind w:firstLine="640"/>
        <w:rPr>
          <w:rFonts w:ascii="仿宋" w:hAnsi="仿宋" w:eastAsia="仿宋" w:cs="仿宋_GB2312"/>
          <w:sz w:val="32"/>
          <w:szCs w:val="32"/>
        </w:rPr>
      </w:pPr>
      <w:r>
        <w:rPr>
          <w:rFonts w:hint="eastAsia" w:ascii="仿宋" w:hAnsi="仿宋" w:eastAsia="仿宋" w:cs="仿宋_GB2312"/>
          <w:sz w:val="32"/>
          <w:szCs w:val="32"/>
        </w:rPr>
        <w:t>反应本部门当年全部收入。2019年预算收入</w:t>
      </w:r>
      <w:r>
        <w:rPr>
          <w:rFonts w:hint="eastAsia" w:ascii="仿宋" w:hAnsi="仿宋" w:eastAsia="仿宋" w:cs="仿宋_GB2312"/>
          <w:kern w:val="0"/>
          <w:sz w:val="32"/>
          <w:szCs w:val="32"/>
        </w:rPr>
        <w:t>55.44</w:t>
      </w:r>
      <w:r>
        <w:rPr>
          <w:rFonts w:hint="eastAsia" w:ascii="仿宋" w:hAnsi="仿宋" w:eastAsia="仿宋" w:cs="仿宋_GB2312"/>
          <w:sz w:val="32"/>
          <w:szCs w:val="32"/>
        </w:rPr>
        <w:t>万元，其中：一般公共预算收入</w:t>
      </w:r>
      <w:r>
        <w:rPr>
          <w:rFonts w:hint="eastAsia" w:ascii="仿宋" w:hAnsi="仿宋" w:eastAsia="仿宋" w:cs="仿宋_GB2312"/>
          <w:kern w:val="0"/>
          <w:sz w:val="32"/>
          <w:szCs w:val="32"/>
        </w:rPr>
        <w:t>55.44</w:t>
      </w:r>
      <w:r>
        <w:rPr>
          <w:rFonts w:hint="eastAsia" w:ascii="仿宋" w:hAnsi="仿宋" w:eastAsia="仿宋" w:cs="仿宋_GB2312"/>
          <w:sz w:val="32"/>
          <w:szCs w:val="32"/>
        </w:rPr>
        <w:t>万元，基金预算收入0万元，财政专户核拨收入0万元，其他来源收入0万元。</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2、支出说明</w:t>
      </w:r>
    </w:p>
    <w:p>
      <w:pPr>
        <w:ind w:firstLine="640"/>
        <w:rPr>
          <w:rFonts w:ascii="仿宋" w:hAnsi="仿宋" w:eastAsia="仿宋" w:cs="仿宋_GB2312"/>
          <w:kern w:val="0"/>
          <w:sz w:val="32"/>
          <w:szCs w:val="32"/>
        </w:rPr>
      </w:pPr>
      <w:r>
        <w:rPr>
          <w:rFonts w:hint="eastAsia" w:ascii="仿宋" w:hAnsi="仿宋" w:eastAsia="仿宋" w:cs="仿宋_GB2312"/>
          <w:sz w:val="32"/>
          <w:szCs w:val="32"/>
        </w:rPr>
        <w:t>收支预算总表支出栏、基本支出表、项目支出表按经济分类和支出功能分类科目编制，反映平乡县文联年度部门预算中支出预算的总体情况。2019年部门支出预算为</w:t>
      </w:r>
      <w:r>
        <w:rPr>
          <w:rFonts w:hint="eastAsia" w:ascii="仿宋" w:hAnsi="仿宋" w:eastAsia="仿宋" w:cs="仿宋_GB2312"/>
          <w:kern w:val="0"/>
          <w:sz w:val="32"/>
          <w:szCs w:val="32"/>
        </w:rPr>
        <w:t>55.44</w:t>
      </w:r>
      <w:r>
        <w:rPr>
          <w:rFonts w:hint="eastAsia" w:ascii="仿宋" w:hAnsi="仿宋" w:eastAsia="仿宋" w:cs="仿宋_GB2312"/>
          <w:sz w:val="32"/>
          <w:szCs w:val="32"/>
        </w:rPr>
        <w:t>万元，其中基本支出48.14万元，包括人员经费</w:t>
      </w:r>
      <w:r>
        <w:rPr>
          <w:rFonts w:hint="eastAsia" w:ascii="仿宋" w:hAnsi="仿宋" w:eastAsia="仿宋" w:cs="仿宋_GB2312"/>
          <w:kern w:val="0"/>
          <w:sz w:val="32"/>
          <w:szCs w:val="32"/>
        </w:rPr>
        <w:t>44.32</w:t>
      </w:r>
      <w:r>
        <w:rPr>
          <w:rFonts w:hint="eastAsia" w:ascii="仿宋" w:hAnsi="仿宋" w:eastAsia="仿宋" w:cs="仿宋_GB2312"/>
          <w:sz w:val="32"/>
          <w:szCs w:val="32"/>
        </w:rPr>
        <w:t>万元和日常公用经费3.82万元；项目支出</w:t>
      </w:r>
      <w:r>
        <w:rPr>
          <w:rFonts w:hint="eastAsia" w:ascii="仿宋" w:hAnsi="仿宋" w:eastAsia="仿宋" w:cs="仿宋_GB2312"/>
          <w:kern w:val="0"/>
          <w:sz w:val="32"/>
          <w:szCs w:val="32"/>
        </w:rPr>
        <w:t>7.3</w:t>
      </w:r>
      <w:r>
        <w:rPr>
          <w:rFonts w:hint="eastAsia" w:ascii="仿宋" w:hAnsi="仿宋" w:eastAsia="仿宋" w:cs="仿宋_GB2312"/>
          <w:sz w:val="32"/>
          <w:szCs w:val="32"/>
        </w:rPr>
        <w:t>万元。</w:t>
      </w:r>
    </w:p>
    <w:p>
      <w:pPr>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三、机关运行经费安排情况</w:t>
      </w:r>
    </w:p>
    <w:p>
      <w:pPr>
        <w:autoSpaceDE w:val="0"/>
        <w:autoSpaceDN w:val="0"/>
        <w:adjustRightInd w:val="0"/>
        <w:ind w:firstLine="835" w:firstLineChars="261"/>
        <w:jc w:val="left"/>
        <w:rPr>
          <w:rFonts w:ascii="仿宋" w:hAnsi="仿宋" w:eastAsia="仿宋" w:cs="仿宋_GB2312"/>
          <w:sz w:val="32"/>
          <w:szCs w:val="32"/>
        </w:rPr>
      </w:pPr>
      <w:r>
        <w:rPr>
          <w:rFonts w:hint="eastAsia" w:ascii="仿宋" w:hAnsi="仿宋" w:eastAsia="仿宋" w:cs="仿宋_GB2312"/>
          <w:sz w:val="32"/>
          <w:szCs w:val="32"/>
        </w:rPr>
        <w:t>2019年，我部门机关运行经费共计安排3.82万元，主要用于保证机关正常运转的办公费、邮电费、水电费、差旅费、印刷费、维修维护费、公务车运行维护费等日常支出。</w:t>
      </w:r>
    </w:p>
    <w:p>
      <w:pPr>
        <w:ind w:firstLine="640"/>
        <w:rPr>
          <w:rFonts w:ascii="黑体" w:hAnsi="黑体" w:eastAsia="黑体"/>
          <w:sz w:val="32"/>
          <w:szCs w:val="32"/>
        </w:rPr>
      </w:pPr>
      <w:r>
        <w:rPr>
          <w:rFonts w:hint="eastAsia" w:ascii="黑体" w:hAnsi="黑体" w:eastAsia="黑体"/>
          <w:sz w:val="32"/>
          <w:szCs w:val="32"/>
        </w:rPr>
        <w:t>四、财政拨款“三公”经费预算情况及增减变化原因</w:t>
      </w:r>
    </w:p>
    <w:p>
      <w:pPr>
        <w:ind w:firstLine="720" w:firstLineChars="225"/>
        <w:rPr>
          <w:rFonts w:ascii="仿宋" w:hAnsi="仿宋" w:eastAsia="仿宋" w:cs="仿宋_GB2312"/>
          <w:sz w:val="32"/>
          <w:szCs w:val="32"/>
        </w:rPr>
      </w:pPr>
      <w:r>
        <w:rPr>
          <w:rFonts w:hint="eastAsia" w:ascii="仿宋" w:hAnsi="仿宋" w:eastAsia="仿宋"/>
          <w:sz w:val="32"/>
          <w:szCs w:val="32"/>
        </w:rPr>
        <w:t>2019年，我部门财政拨款“三公”经费预算安排0万元，其中：因公出国（境）费0万元；公务用车购置及运维费0万元（其中：公务用车运行维护费0万元，公务用车购置费0万元)；公务接待费0万元。“三公”经费与上年持平，无增减变化。</w:t>
      </w:r>
    </w:p>
    <w:p>
      <w:pPr>
        <w:numPr>
          <w:ilvl w:val="0"/>
          <w:numId w:val="1"/>
        </w:numPr>
        <w:ind w:firstLine="640" w:firstLineChars="200"/>
        <w:jc w:val="left"/>
        <w:rPr>
          <w:rFonts w:ascii="黑体" w:hAnsi="黑体" w:eastAsia="黑体" w:cs="仿宋_GB2312"/>
          <w:sz w:val="32"/>
          <w:szCs w:val="32"/>
        </w:rPr>
      </w:pPr>
      <w:r>
        <w:rPr>
          <w:rFonts w:hint="eastAsia" w:ascii="黑体" w:hAnsi="黑体" w:eastAsia="黑体" w:cs="仿宋_GB2312"/>
          <w:sz w:val="32"/>
          <w:szCs w:val="32"/>
        </w:rPr>
        <w:t>绩效预算信息</w:t>
      </w:r>
    </w:p>
    <w:p>
      <w:pPr>
        <w:ind w:firstLine="562" w:firstLineChars="200"/>
        <w:jc w:val="left"/>
        <w:rPr>
          <w:rFonts w:ascii="方正楷体_GBK" w:eastAsia="方正楷体_GBK"/>
          <w:b/>
          <w:sz w:val="28"/>
        </w:rPr>
      </w:pPr>
      <w:r>
        <w:rPr>
          <w:rFonts w:hint="eastAsia" w:ascii="方正楷体_GBK" w:eastAsia="方正楷体_GBK"/>
          <w:b/>
          <w:sz w:val="28"/>
        </w:rPr>
        <w:t>总体绩效目标：</w:t>
      </w:r>
    </w:p>
    <w:p>
      <w:pPr>
        <w:ind w:firstLine="560" w:firstLineChars="200"/>
        <w:jc w:val="left"/>
        <w:rPr>
          <w:rFonts w:ascii="方正黑体_GBK" w:eastAsia="方正黑体_GBK"/>
          <w:sz w:val="28"/>
        </w:rPr>
      </w:pPr>
      <w:r>
        <w:rPr>
          <w:rFonts w:hint="eastAsia" w:ascii="方正黑体_GBK" w:eastAsia="方正黑体_GBK"/>
          <w:sz w:val="28"/>
        </w:rPr>
        <w:t>年度发展规划目标</w:t>
      </w:r>
    </w:p>
    <w:p>
      <w:pPr>
        <w:jc w:val="left"/>
        <w:rPr>
          <w:rFonts w:ascii="方正楷体_GBK" w:eastAsia="方正楷体_GBK"/>
          <w:b/>
          <w:sz w:val="28"/>
        </w:rPr>
      </w:pPr>
      <w:r>
        <w:rPr>
          <w:rFonts w:hint="eastAsia" w:ascii="方正楷体_GBK" w:eastAsia="方正楷体_GBK"/>
          <w:b/>
          <w:sz w:val="28"/>
        </w:rPr>
        <w:t xml:space="preserve">    总体目标：</w:t>
      </w:r>
    </w:p>
    <w:p>
      <w:pPr>
        <w:spacing w:line="500" w:lineRule="exact"/>
        <w:ind w:firstLine="560"/>
        <w:rPr>
          <w:rFonts w:ascii="方正仿宋_GBK" w:eastAsia="方正仿宋_GBK"/>
          <w:sz w:val="28"/>
        </w:rPr>
      </w:pPr>
      <w:r>
        <w:rPr>
          <w:rFonts w:ascii="方正仿宋_GBK" w:eastAsia="方正仿宋_GBK"/>
          <w:sz w:val="28"/>
        </w:rPr>
        <w:t>2019年,县文联将全面贯彻落实党的十九大精神,深入学习贯彻</w:t>
      </w:r>
      <w:bookmarkStart w:id="2" w:name="_GoBack"/>
      <w:bookmarkEnd w:id="2"/>
      <w:r>
        <w:rPr>
          <w:rFonts w:ascii="方正仿宋_GBK" w:eastAsia="方正仿宋_GBK"/>
          <w:sz w:val="28"/>
        </w:rPr>
        <w:t>习近平总书记文艺工作座谈会和系列重要讲话精神,紧紧围绕“四个全面”战略布局,全面贯彻“二为”方向和“双百”方针,坚持以人民为中心,以社会主义核心价值观为引领,发挥文联团结引导、联络协调、服务管理、自律维权的职能,扎实开展“美丽平乡”主题实践活动,努力推出更多无愧于民族、无愧于时代的文艺精品,开展丰富多彩的文化交流活动,不断满足人民群众精神文化需求,为实现伟大的中国梦、富强平乡美丽平乡建设提供强大的价值引导力、文化凝聚力、精神推动力。</w:t>
      </w:r>
    </w:p>
    <w:p>
      <w:pPr>
        <w:spacing w:line="500" w:lineRule="exact"/>
        <w:ind w:firstLine="560"/>
        <w:rPr>
          <w:rFonts w:ascii="方正仿宋_GBK" w:eastAsia="方正仿宋_GBK"/>
          <w:sz w:val="28"/>
        </w:rPr>
      </w:pPr>
    </w:p>
    <w:p>
      <w:pPr>
        <w:jc w:val="left"/>
        <w:rPr>
          <w:rFonts w:hint="eastAsia" w:ascii="方正楷体_GBK" w:eastAsia="方正楷体_GBK"/>
          <w:b/>
          <w:sz w:val="28"/>
          <w:lang w:eastAsia="zh-CN"/>
        </w:rPr>
      </w:pPr>
      <w:r>
        <w:rPr>
          <w:rFonts w:hint="eastAsia" w:ascii="方正楷体_GBK" w:eastAsia="方正楷体_GBK"/>
          <w:b/>
          <w:sz w:val="28"/>
        </w:rPr>
        <w:t xml:space="preserve">    职责分类绩效目标：</w:t>
      </w:r>
    </w:p>
    <w:p>
      <w:pPr>
        <w:jc w:val="left"/>
        <w:rPr>
          <w:rFonts w:ascii="方正楷体_GBK" w:eastAsia="方正楷体_GBK"/>
          <w:b/>
          <w:sz w:val="28"/>
        </w:rPr>
      </w:pPr>
      <w:r>
        <w:rPr>
          <w:rFonts w:ascii="方正仿宋_GBK" w:eastAsia="方正仿宋_GBK"/>
          <w:sz w:val="28"/>
        </w:rPr>
        <w:t xml:space="preserve">   1、文艺联络:组织召开文联及所属各协会工作会议。负责和开展各文学艺术家协会、管理、联络、协调、服务和指导工作,听取和反映文艺界的情况和意见。</w:t>
      </w:r>
    </w:p>
    <w:p>
      <w:pPr>
        <w:spacing w:line="500" w:lineRule="exact"/>
        <w:ind w:firstLine="560"/>
        <w:rPr>
          <w:rFonts w:hint="eastAsia" w:ascii="方正仿宋_GBK" w:eastAsia="方正仿宋_GBK"/>
          <w:sz w:val="28"/>
          <w:lang w:eastAsia="zh-CN"/>
        </w:rPr>
      </w:pPr>
      <w:r>
        <w:rPr>
          <w:rFonts w:ascii="方正仿宋_GBK" w:eastAsia="方正仿宋_GBK"/>
          <w:sz w:val="28"/>
        </w:rPr>
        <w:t>推进协会管理科学规范、保障文联正常有序运行,召开联络会议,组织会员活动,加大培训力度,为平乡文艺事业健康快速发展提供组织保障。</w:t>
      </w:r>
    </w:p>
    <w:p>
      <w:pPr>
        <w:spacing w:line="500" w:lineRule="exact"/>
        <w:ind w:firstLine="560"/>
        <w:rPr>
          <w:rFonts w:hint="eastAsia" w:ascii="方正仿宋_GBK" w:eastAsia="方正仿宋_GBK"/>
          <w:sz w:val="28"/>
          <w:lang w:eastAsia="zh-CN"/>
        </w:rPr>
      </w:pPr>
      <w:r>
        <w:rPr>
          <w:rFonts w:ascii="方正仿宋_GBK" w:eastAsia="方正仿宋_GBK"/>
          <w:sz w:val="28"/>
        </w:rPr>
        <w:t xml:space="preserve">   2、研讨推介:宣传、动员、组织广大文艺工作者致力于繁荣发展我县的文学艺术事业,组织作家、艺术家深入生活,进行创作,打造出一批体现时代精神,具有本地特色的艺术精品。举办论坛、研讨、展示、展演、评奖活动,积极申报全国性、全省性文艺奖项,弘扬优秀传统文化,推动文化强市建设。</w:t>
      </w:r>
    </w:p>
    <w:p>
      <w:pPr>
        <w:spacing w:line="500" w:lineRule="exact"/>
        <w:ind w:firstLine="560"/>
        <w:rPr>
          <w:rFonts w:hint="eastAsia" w:ascii="方正仿宋_GBK" w:eastAsia="方正仿宋_GBK"/>
          <w:sz w:val="28"/>
          <w:lang w:eastAsia="zh-CN"/>
        </w:rPr>
      </w:pPr>
      <w:r>
        <w:rPr>
          <w:rFonts w:ascii="方正仿宋_GBK" w:eastAsia="方正仿宋_GBK"/>
          <w:sz w:val="28"/>
        </w:rPr>
        <w:t xml:space="preserve">   完善文艺精品扶持和奖励机制,落实责任制,论证确定一批既具有地域特色,又具备创作空间和社会影响力的题材,力推精品生产和文艺名家。</w:t>
      </w:r>
    </w:p>
    <w:p>
      <w:pPr>
        <w:spacing w:line="500" w:lineRule="exact"/>
        <w:ind w:firstLine="560"/>
        <w:rPr>
          <w:rFonts w:hint="eastAsia" w:ascii="方正仿宋_GBK" w:eastAsia="方正仿宋_GBK"/>
          <w:sz w:val="28"/>
          <w:lang w:eastAsia="zh-CN"/>
        </w:rPr>
      </w:pPr>
      <w:r>
        <w:rPr>
          <w:rFonts w:ascii="方正仿宋_GBK" w:eastAsia="方正仿宋_GBK"/>
          <w:sz w:val="28"/>
        </w:rPr>
        <w:t xml:space="preserve">   3、文艺宣传:广泛利用媒体多种形式推介优秀作品和人才。建好本地文艺网站和各艺术门类内刊,营造积极向上的文化氛围,编辑出版多种文艺画册。</w:t>
      </w:r>
    </w:p>
    <w:p>
      <w:pPr>
        <w:spacing w:line="500" w:lineRule="exact"/>
        <w:ind w:firstLine="560"/>
        <w:rPr>
          <w:rFonts w:hint="eastAsia" w:ascii="方正仿宋_GBK" w:eastAsia="方正仿宋_GBK"/>
          <w:sz w:val="28"/>
          <w:lang w:eastAsia="zh-CN"/>
        </w:rPr>
      </w:pPr>
      <w:r>
        <w:rPr>
          <w:rFonts w:ascii="方正仿宋_GBK" w:eastAsia="方正仿宋_GBK"/>
          <w:sz w:val="28"/>
        </w:rPr>
        <w:t xml:space="preserve"> 维护文联网络建设、切实扩大文艺工作的覆盖面和社会影响力。</w:t>
      </w:r>
    </w:p>
    <w:p>
      <w:pPr>
        <w:spacing w:line="500" w:lineRule="exact"/>
        <w:ind w:firstLine="560"/>
        <w:rPr>
          <w:rFonts w:hint="eastAsia" w:ascii="方正仿宋_GBK" w:eastAsia="方正仿宋_GBK"/>
          <w:sz w:val="28"/>
          <w:lang w:eastAsia="zh-CN"/>
        </w:rPr>
      </w:pPr>
      <w:r>
        <w:rPr>
          <w:rFonts w:ascii="方正仿宋_GBK" w:eastAsia="方正仿宋_GBK"/>
          <w:sz w:val="28"/>
        </w:rPr>
        <w:t xml:space="preserve">   4、艺术交流:坚持正确导向,发扬文艺民主,组织文学艺术研讨和学术交流工作。发挥独特优势,整合资源,积极参加文化交流活动,广泛开展对外、对内和民间文艺交流及文艺志愿服务活动,提升提高文化的凝聚力和影响力。维护团体会员、作家、艺术家的知识产权等合法权益。</w:t>
      </w:r>
    </w:p>
    <w:p>
      <w:pPr>
        <w:spacing w:line="500" w:lineRule="exact"/>
        <w:ind w:firstLine="560"/>
        <w:rPr>
          <w:rFonts w:hint="eastAsia" w:ascii="方正仿宋_GBK" w:eastAsia="方正仿宋_GBK"/>
          <w:sz w:val="28"/>
          <w:lang w:eastAsia="zh-CN"/>
        </w:rPr>
      </w:pPr>
      <w:r>
        <w:rPr>
          <w:rFonts w:ascii="方正仿宋_GBK" w:eastAsia="方正仿宋_GBK"/>
          <w:sz w:val="28"/>
        </w:rPr>
        <w:t xml:space="preserve">  完成县内外文化交流计划,促进本地文化艺术的影响力和美誉度进一步提高。</w:t>
      </w:r>
    </w:p>
    <w:p>
      <w:pPr>
        <w:spacing w:line="500" w:lineRule="exact"/>
        <w:ind w:firstLine="560"/>
        <w:rPr>
          <w:rFonts w:hint="eastAsia" w:ascii="方正仿宋_GBK" w:eastAsia="方正仿宋_GBK"/>
          <w:sz w:val="28"/>
          <w:lang w:eastAsia="zh-CN"/>
        </w:rPr>
      </w:pPr>
    </w:p>
    <w:p>
      <w:pPr>
        <w:spacing w:line="500" w:lineRule="exact"/>
        <w:ind w:firstLine="560"/>
        <w:rPr>
          <w:rFonts w:ascii="方正仿宋_GBK" w:eastAsia="方正仿宋_GBK"/>
          <w:sz w:val="28"/>
        </w:rPr>
      </w:pPr>
    </w:p>
    <w:p>
      <w:pPr>
        <w:jc w:val="left"/>
        <w:rPr>
          <w:rFonts w:ascii="方正黑体_GBK" w:eastAsia="方正黑体_GBK"/>
          <w:sz w:val="28"/>
        </w:rPr>
      </w:pPr>
      <w:r>
        <w:rPr>
          <w:rFonts w:hint="eastAsia" w:ascii="方正黑体_GBK" w:eastAsia="方正黑体_GBK"/>
          <w:sz w:val="28"/>
        </w:rPr>
        <w:t xml:space="preserve">    二、实现年度发展规划目标的保障措施</w:t>
      </w:r>
    </w:p>
    <w:p>
      <w:pPr>
        <w:spacing w:line="500" w:lineRule="exact"/>
        <w:ind w:firstLine="560"/>
        <w:rPr>
          <w:rFonts w:ascii="方正仿宋_GBK" w:eastAsia="方正仿宋_GBK"/>
          <w:sz w:val="28"/>
        </w:rPr>
      </w:pPr>
      <w:r>
        <w:rPr>
          <w:rFonts w:ascii="方正仿宋_GBK" w:eastAsia="方正仿宋_GBK"/>
          <w:sz w:val="28"/>
        </w:rPr>
        <w:t>1、突出思想引领,深入学习宣传党的十九大精神把学习贯彻宣传党的十九大精神作为首要政治任务,精心组织召开文艺家学习座谈会、文艺骨干和文联干部学习培训班等多种学习活动,引导全县文艺工作者深刻领会十九大的重大意义、精神内涵,在思想上</w:t>
      </w:r>
      <w:r>
        <w:rPr>
          <w:rFonts w:hint="eastAsia" w:ascii="方正仿宋_GBK" w:eastAsia="方正仿宋_GBK"/>
          <w:sz w:val="28"/>
          <w:lang w:eastAsia="zh-CN"/>
        </w:rPr>
        <w:t>、</w:t>
      </w:r>
      <w:r>
        <w:rPr>
          <w:rFonts w:ascii="方正仿宋_GBK" w:eastAsia="方正仿宋_GBK"/>
          <w:sz w:val="28"/>
        </w:rPr>
        <w:t>政治上</w:t>
      </w:r>
      <w:r>
        <w:rPr>
          <w:rFonts w:hint="eastAsia" w:ascii="方正仿宋_GBK" w:eastAsia="方正仿宋_GBK"/>
          <w:sz w:val="28"/>
          <w:lang w:eastAsia="zh-CN"/>
        </w:rPr>
        <w:t>、</w:t>
      </w:r>
      <w:r>
        <w:rPr>
          <w:rFonts w:ascii="方正仿宋_GBK" w:eastAsia="方正仿宋_GBK"/>
          <w:sz w:val="28"/>
        </w:rPr>
        <w:t>行动上与以习近平</w:t>
      </w:r>
      <w:r>
        <w:rPr>
          <w:rFonts w:hint="eastAsia" w:ascii="方正仿宋_GBK" w:eastAsia="方正仿宋_GBK"/>
          <w:sz w:val="28"/>
          <w:lang w:val="en-US" w:eastAsia="zh-CN"/>
        </w:rPr>
        <w:t>同志</w:t>
      </w:r>
      <w:r>
        <w:rPr>
          <w:rFonts w:ascii="方正仿宋_GBK" w:eastAsia="方正仿宋_GBK"/>
          <w:sz w:val="28"/>
        </w:rPr>
        <w:t>为核心的党中央保持高度一致。组织全县文艺骨干集中创作一批宣传十九大精神的诗歌、曲艺、歌曲、书法等文艺作品,组织文艺宣传小分队深入机关、企业、学校、社区、部队、农村开展十九大精神宣传。</w:t>
      </w:r>
    </w:p>
    <w:p>
      <w:pPr>
        <w:spacing w:line="500" w:lineRule="exact"/>
        <w:ind w:firstLine="560"/>
        <w:rPr>
          <w:rFonts w:ascii="方正仿宋_GBK" w:eastAsia="方正仿宋_GBK"/>
          <w:sz w:val="28"/>
        </w:rPr>
      </w:pPr>
      <w:r>
        <w:rPr>
          <w:rFonts w:ascii="方正仿宋_GBK" w:eastAsia="方正仿宋_GBK"/>
          <w:sz w:val="28"/>
        </w:rPr>
        <w:t xml:space="preserve">   突出中心工作，深入开展“美丽平乡”主题实践活动继续开展“美丽平乡”主题实践活动，紧紧围绕县委、县政府中心工作，组织作家、书画家、摄影家等文艺工作者深入到我县重点建设工程、开发区、美丽乡村建设示范村等生产生活一线，开展创作采风、展览展示、文艺演出等活动，以各种艺术形式全面宣传和展示平乡的发展前景和建设成就。</w:t>
      </w:r>
    </w:p>
    <w:p>
      <w:pPr>
        <w:spacing w:line="500" w:lineRule="exact"/>
        <w:ind w:firstLine="560"/>
        <w:rPr>
          <w:rFonts w:ascii="方正仿宋_GBK" w:eastAsia="方正仿宋_GBK"/>
          <w:sz w:val="28"/>
        </w:rPr>
      </w:pPr>
      <w:r>
        <w:rPr>
          <w:rFonts w:ascii="方正仿宋_GBK" w:eastAsia="方正仿宋_GBK"/>
          <w:sz w:val="28"/>
        </w:rPr>
        <w:t xml:space="preserve">   2、突出精品标准，深入开展精品创作。</w:t>
      </w:r>
    </w:p>
    <w:p>
      <w:pPr>
        <w:spacing w:line="500" w:lineRule="exact"/>
        <w:ind w:firstLine="560"/>
        <w:rPr>
          <w:rFonts w:ascii="方正仿宋_GBK" w:eastAsia="方正仿宋_GBK"/>
          <w:sz w:val="28"/>
        </w:rPr>
      </w:pPr>
      <w:r>
        <w:rPr>
          <w:rFonts w:ascii="方正仿宋_GBK" w:eastAsia="方正仿宋_GBK"/>
          <w:sz w:val="28"/>
        </w:rPr>
        <w:t xml:space="preserve">   紧紧扭住精品力作这个中心任务，明确思想精深、艺术精湛、制作精良的标准，要求每个文艺家协会至少完成一件文艺精品创作任务，动员各协会围绕2019年宣传重点工作，童车、自行车、梅花拳等创作源泉，努力创作一批文学艺术精品。组织举办各类艺术专业培训邀请名家授课提高文艺工作者业务水平。召开研讨会、座谈会组织展演、展播等方式，充分利用新闻媒体“滏漳河畔”报、文联工作群尽可能广泛的向社会展示和推荐，提高作品的影响力。</w:t>
      </w:r>
    </w:p>
    <w:p>
      <w:pPr>
        <w:spacing w:line="500" w:lineRule="exact"/>
        <w:ind w:firstLine="560"/>
        <w:rPr>
          <w:rFonts w:ascii="方正仿宋_GBK" w:eastAsia="方正仿宋_GBK"/>
          <w:sz w:val="28"/>
        </w:rPr>
      </w:pPr>
      <w:r>
        <w:rPr>
          <w:rFonts w:ascii="方正仿宋_GBK" w:eastAsia="方正仿宋_GBK"/>
          <w:sz w:val="28"/>
        </w:rPr>
        <w:t xml:space="preserve">   3、突出协同发展，深入开展文艺交流活动。</w:t>
      </w:r>
    </w:p>
    <w:p>
      <w:pPr>
        <w:spacing w:line="500" w:lineRule="exact"/>
        <w:ind w:firstLine="560"/>
        <w:rPr>
          <w:rFonts w:hint="eastAsia" w:ascii="方正仿宋_GBK" w:eastAsia="方正仿宋_GBK"/>
          <w:sz w:val="28"/>
          <w:lang w:eastAsia="zh-CN"/>
        </w:rPr>
      </w:pPr>
      <w:r>
        <w:rPr>
          <w:rFonts w:ascii="方正仿宋_GBK" w:eastAsia="方正仿宋_GBK"/>
          <w:sz w:val="28"/>
        </w:rPr>
        <w:t xml:space="preserve">   坚持“请进来”于“走出去”相结合，不断开拓文艺交流新领域，发挥文联的系统优势，搭建文艺交流平台，管好发挥好书协、美协、作协、摄协、音协、戏协、舞协作用和童车文化节、梅花拳文化节、好人文化节等大型传播平台。多渠道、多形式推介我县文艺精品，积极创造条件，鼓励我县艺术家到外地学习、办展览扩大我县对外影响，提升平乡知名度。</w:t>
      </w:r>
    </w:p>
    <w:p>
      <w:pPr>
        <w:spacing w:line="500" w:lineRule="exact"/>
        <w:ind w:firstLine="560"/>
        <w:rPr>
          <w:rFonts w:hint="eastAsia" w:ascii="方正仿宋_GBK" w:eastAsia="方正仿宋_GBK"/>
          <w:sz w:val="28"/>
          <w:lang w:eastAsia="zh-CN"/>
        </w:rPr>
      </w:pPr>
    </w:p>
    <w:p>
      <w:pPr>
        <w:spacing w:line="500" w:lineRule="exact"/>
        <w:ind w:firstLine="560"/>
        <w:rPr>
          <w:rFonts w:ascii="方正仿宋_GBK" w:eastAsia="方正仿宋_GBK"/>
          <w:sz w:val="28"/>
        </w:rPr>
      </w:pPr>
    </w:p>
    <w:p>
      <w:pPr>
        <w:jc w:val="left"/>
        <w:sectPr>
          <w:headerReference r:id="rId6" w:type="first"/>
          <w:footerReference r:id="rId9" w:type="first"/>
          <w:headerReference r:id="rId4" w:type="default"/>
          <w:footerReference r:id="rId7" w:type="default"/>
          <w:headerReference r:id="rId5" w:type="even"/>
          <w:footerReference r:id="rId8" w:type="even"/>
          <w:pgSz w:w="11907" w:h="16839"/>
          <w:pgMar w:top="1531" w:right="1134" w:bottom="1474" w:left="1134" w:header="851" w:footer="992" w:gutter="0"/>
          <w:pgNumType w:start="1"/>
          <w:cols w:space="720" w:num="1"/>
          <w:docGrid w:type="lines" w:linePitch="312" w:charSpace="0"/>
        </w:sectPr>
      </w:pPr>
    </w:p>
    <w:p>
      <w:pPr>
        <w:jc w:val="center"/>
        <w:outlineLvl w:val="0"/>
        <w:rPr>
          <w:rFonts w:ascii="方正小标宋_GBK" w:eastAsia="方正小标宋_GBK"/>
          <w:sz w:val="32"/>
        </w:rPr>
      </w:pPr>
    </w:p>
    <w:p>
      <w:pPr>
        <w:spacing w:line="300" w:lineRule="exact"/>
        <w:jc w:val="left"/>
        <w:outlineLvl w:val="0"/>
      </w:pPr>
      <w:bookmarkStart w:id="0" w:name="_Toc857806"/>
      <w:r>
        <w:rPr>
          <w:rFonts w:hint="eastAsia" w:ascii="方正小标宋_GBK" w:eastAsia="方正小标宋_GBK"/>
          <w:sz w:val="32"/>
        </w:rPr>
        <w:t>部门职责-工作活动绩效目标</w:t>
      </w:r>
      <w:r>
        <w:rPr>
          <w:rStyle w:val="8"/>
          <w:rFonts w:ascii="方正小标宋_GBK" w:eastAsia="方正小标宋_GBK"/>
          <w:color w:val="FFFFFF"/>
          <w:sz w:val="32"/>
        </w:rPr>
        <w:footnoteReference w:id="0" w:customMarkFollows="1"/>
        <w:sym w:font="Symbol" w:char="F020"/>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721</w:t>
            </w:r>
            <w:r>
              <w:rPr>
                <w:rFonts w:hint="eastAsia" w:ascii="方正小标宋_GBK" w:eastAsia="方正小标宋_GBK"/>
                <w:sz w:val="24"/>
              </w:rPr>
              <w:t>平乡县文学艺术界联合会</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一、文艺联络</w:t>
            </w:r>
          </w:p>
        </w:tc>
        <w:tc>
          <w:tcPr>
            <w:tcW w:w="1276" w:type="dxa"/>
            <w:vAlign w:val="center"/>
          </w:tcPr>
          <w:p>
            <w:pPr>
              <w:spacing w:line="300" w:lineRule="exact"/>
              <w:jc w:val="left"/>
              <w:rPr>
                <w:rFonts w:ascii="方正书宋_GBK" w:eastAsia="方正书宋_GBK"/>
              </w:rPr>
            </w:pPr>
            <w:r>
              <w:rPr>
                <w:rFonts w:ascii="方正书宋_GBK" w:eastAsia="方正书宋_GBK"/>
              </w:rPr>
              <w:t>2.80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组织召开县文联和全县文艺家协会代表大会、文联委员会和主席会议，组织召开全县文联系统的工作会议</w:t>
            </w:r>
            <w:r>
              <w:rPr>
                <w:rFonts w:ascii="方正书宋_GBK" w:eastAsia="方正书宋_GBK"/>
              </w:rPr>
              <w:t>,</w:t>
            </w:r>
            <w:r>
              <w:rPr>
                <w:rFonts w:hint="eastAsia" w:ascii="方正书宋_GBK" w:eastAsia="方正书宋_GBK"/>
              </w:rPr>
              <w:t>开展会员间的联络、协调和服务工作，听取和反映文艺界的情况和意见。</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推进协会管理科学规范，召开联络会议，组织会员活动，加大培训力度，为县域文艺事业健康快速发展提供组织保障。</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、文艺联络</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2.80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召开协会会议，加强会员管理，举办会员活动，维护活动场所，建设文艺人才资源库，组织文艺研修，提高广大文艺工作者的政治、业务素质。保障机关正常运行。</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推进协会管理科学规范、保障文联正常有序运行，召开联络会议，组织会员活动，加大培训力度，为文艺事业健康快速发展提供组织保障。</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文艺研修教育人数（人次）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pPr>
              <w:spacing w:line="300" w:lineRule="exac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文艺人才资源库人数</w:t>
            </w:r>
            <w:r>
              <w:rPr>
                <w:rFonts w:ascii="方正书宋_GBK" w:eastAsia="方正书宋_GBK"/>
              </w:rPr>
              <w:t>(</w:t>
            </w:r>
            <w:r>
              <w:rPr>
                <w:rFonts w:hint="eastAsia" w:ascii="方正书宋_GBK" w:eastAsia="方正书宋_GBK"/>
              </w:rPr>
              <w:t>人次）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组织活动的场次（场次）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12</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vAlign w:val="center"/>
          </w:tcPr>
          <w:p>
            <w:pPr>
              <w:spacing w:line="300" w:lineRule="exact"/>
              <w:jc w:val="center"/>
              <w:rPr>
                <w:rFonts w:ascii="方正书宋_GBK" w:eastAsia="方正书宋_GBK"/>
              </w:rPr>
            </w:pPr>
            <w:r>
              <w:rPr>
                <w:rFonts w:ascii="方正书宋_GBK" w:eastAsia="方正书宋_GBK"/>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综合事务完成率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二、文艺创作与推介</w:t>
            </w:r>
          </w:p>
        </w:tc>
        <w:tc>
          <w:tcPr>
            <w:tcW w:w="1276" w:type="dxa"/>
            <w:vAlign w:val="center"/>
          </w:tcPr>
          <w:p>
            <w:pPr>
              <w:spacing w:line="300" w:lineRule="exact"/>
              <w:jc w:val="left"/>
              <w:rPr>
                <w:rFonts w:ascii="方正书宋_GBK" w:eastAsia="方正书宋_GBK"/>
              </w:rPr>
            </w:pPr>
            <w:r>
              <w:rPr>
                <w:rFonts w:ascii="方正书宋_GBK" w:eastAsia="方正书宋_GBK"/>
              </w:rPr>
              <w:t>4.50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宣传、动员、组织广大文艺工作者致力于繁荣发展艺术事业，组织艺术家深入生活，创作优秀作品。组织文艺理论研讨和学术交流工作。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组织县内文艺工作者创作文艺精品，繁荣文化事业，促进本县文化艺术的影响力和美誉度进一步提高。</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、研讨推介</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组织艺术家深入生活，打造艺术精品。举办文艺活动，积极申报文艺奖项、组织好县内评奖，弘扬优秀传统文化，推动文化强县建设。</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完善文艺精品扶持和奖励机制，论证确定一批既有本地地域特色，又具备创作空间和社会影响力的题材</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组织艺术家创作次数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pPr>
              <w:spacing w:line="300" w:lineRule="exact"/>
              <w:jc w:val="center"/>
              <w:rPr>
                <w:rFonts w:ascii="方正书宋_GBK" w:eastAsia="方正书宋_GBK"/>
              </w:rPr>
            </w:pPr>
            <w:r>
              <w:rPr>
                <w:rFonts w:ascii="方正书宋_GBK" w:eastAsia="方正书宋_GBK"/>
              </w:rPr>
              <w:t>4</w:t>
            </w:r>
          </w:p>
        </w:tc>
        <w:tc>
          <w:tcPr>
            <w:tcW w:w="737" w:type="dxa"/>
            <w:vAlign w:val="center"/>
          </w:tcPr>
          <w:p>
            <w:pPr>
              <w:spacing w:line="300" w:lineRule="exact"/>
              <w:jc w:val="center"/>
              <w:rPr>
                <w:rFonts w:ascii="方正书宋_GBK" w:eastAsia="方正书宋_GBK"/>
              </w:rPr>
            </w:pP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组织研讨推介活动次数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vAlign w:val="center"/>
          </w:tcPr>
          <w:p>
            <w:pPr>
              <w:spacing w:line="300" w:lineRule="exact"/>
              <w:jc w:val="center"/>
              <w:rPr>
                <w:rFonts w:ascii="方正书宋_GBK" w:eastAsia="方正书宋_GBK"/>
              </w:rPr>
            </w:pPr>
            <w:r>
              <w:rPr>
                <w:rFonts w:ascii="方正书宋_GBK" w:eastAsia="方正书宋_GBK"/>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文艺精品生产数量</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vAlign w:val="center"/>
          </w:tcPr>
          <w:p>
            <w:pPr>
              <w:spacing w:line="300" w:lineRule="exact"/>
              <w:jc w:val="center"/>
              <w:rPr>
                <w:rFonts w:ascii="方正书宋_GBK" w:eastAsia="方正书宋_GBK"/>
              </w:rPr>
            </w:pP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、文艺宣传</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2.50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广泛利用媒体多种形式推介优秀作品。营造积极向上的文化氛围</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完成期刊创作，扩大文艺工作的覆盖面和社会影响力。</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媒体宣传、信息数量（篇）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pPr>
              <w:spacing w:line="300" w:lineRule="exact"/>
              <w:jc w:val="center"/>
              <w:rPr>
                <w:rFonts w:ascii="方正书宋_GBK" w:eastAsia="方正书宋_GBK"/>
              </w:rPr>
            </w:pPr>
            <w:r>
              <w:rPr>
                <w:rFonts w:ascii="方正书宋_GBK" w:eastAsia="方正书宋_GBK"/>
              </w:rPr>
              <w:t>4</w:t>
            </w:r>
          </w:p>
        </w:tc>
        <w:tc>
          <w:tcPr>
            <w:tcW w:w="737" w:type="dxa"/>
            <w:vAlign w:val="center"/>
          </w:tcPr>
          <w:p>
            <w:pPr>
              <w:spacing w:line="300" w:lineRule="exact"/>
              <w:jc w:val="center"/>
              <w:rPr>
                <w:rFonts w:ascii="方正书宋_GBK" w:eastAsia="方正书宋_GBK"/>
              </w:rPr>
            </w:pP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文艺期刊编办次数（期）</w:t>
            </w:r>
          </w:p>
        </w:tc>
        <w:tc>
          <w:tcPr>
            <w:tcW w:w="737" w:type="dxa"/>
            <w:vAlign w:val="center"/>
          </w:tcPr>
          <w:p>
            <w:pPr>
              <w:spacing w:line="300" w:lineRule="exact"/>
              <w:jc w:val="center"/>
              <w:rPr>
                <w:rFonts w:ascii="方正书宋_GBK" w:eastAsia="方正书宋_GBK"/>
              </w:rPr>
            </w:pPr>
            <w:r>
              <w:rPr>
                <w:rFonts w:ascii="方正书宋_GBK" w:eastAsia="方正书宋_GBK"/>
              </w:rPr>
              <w:t>12</w:t>
            </w:r>
          </w:p>
        </w:tc>
        <w:tc>
          <w:tcPr>
            <w:tcW w:w="737" w:type="dxa"/>
            <w:vAlign w:val="center"/>
          </w:tcPr>
          <w:p>
            <w:pPr>
              <w:spacing w:line="300" w:lineRule="exact"/>
              <w:jc w:val="center"/>
              <w:rPr>
                <w:rFonts w:ascii="方正书宋_GBK" w:eastAsia="方正书宋_GBK"/>
              </w:rPr>
            </w:pPr>
            <w:r>
              <w:rPr>
                <w:rFonts w:ascii="方正书宋_GBK" w:eastAsia="方正书宋_GBK"/>
              </w:rPr>
              <w:t>6</w:t>
            </w:r>
          </w:p>
        </w:tc>
        <w:tc>
          <w:tcPr>
            <w:tcW w:w="737" w:type="dxa"/>
            <w:vAlign w:val="center"/>
          </w:tcPr>
          <w:p>
            <w:pPr>
              <w:spacing w:line="300" w:lineRule="exact"/>
              <w:jc w:val="center"/>
              <w:rPr>
                <w:rFonts w:ascii="方正书宋_GBK" w:eastAsia="方正书宋_GBK"/>
              </w:rPr>
            </w:pPr>
            <w:r>
              <w:rPr>
                <w:rFonts w:ascii="方正书宋_GBK" w:eastAsia="方正书宋_GBK"/>
              </w:rPr>
              <w:t>4</w:t>
            </w:r>
          </w:p>
        </w:tc>
        <w:tc>
          <w:tcPr>
            <w:tcW w:w="737" w:type="dxa"/>
            <w:vAlign w:val="center"/>
          </w:tcPr>
          <w:p>
            <w:pPr>
              <w:spacing w:line="300" w:lineRule="exact"/>
              <w:jc w:val="center"/>
              <w:rPr>
                <w:rFonts w:ascii="方正书宋_GBK" w:eastAsia="方正书宋_GBK"/>
              </w:rPr>
            </w:pPr>
            <w:r>
              <w:rPr>
                <w:rFonts w:ascii="方正书宋_GBK" w:eastAsia="方正书宋_GBK"/>
              </w:rPr>
              <w:t>&lt;4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、艺术交流</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积极参加文化交流活动，提高县域文化凝聚力和影响力</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完成文化交流计划，促进县域文化艺术的影响力和美誉度进一步提高</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组织对外交流次数（次）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vAlign w:val="center"/>
          </w:tcPr>
          <w:p>
            <w:pPr>
              <w:spacing w:line="300" w:lineRule="exact"/>
              <w:jc w:val="center"/>
              <w:rPr>
                <w:rFonts w:ascii="方正书宋_GBK" w:eastAsia="方正书宋_GBK"/>
              </w:rPr>
            </w:pP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组织民间文化交流次数（次）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vAlign w:val="center"/>
          </w:tcPr>
          <w:p>
            <w:pPr>
              <w:spacing w:line="300" w:lineRule="exact"/>
              <w:jc w:val="center"/>
              <w:rPr>
                <w:rFonts w:ascii="方正书宋_GBK" w:eastAsia="方正书宋_GBK"/>
              </w:rPr>
            </w:pP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&lt;2</w:t>
            </w:r>
          </w:p>
        </w:tc>
      </w:tr>
    </w:tbl>
    <w:p>
      <w:pPr>
        <w:spacing w:line="300" w:lineRule="exact"/>
        <w:jc w:val="left"/>
        <w:outlineLvl w:val="0"/>
        <w:sectPr>
          <w:pgSz w:w="16839" w:h="11907" w:orient="landscape"/>
          <w:pgMar w:top="1020" w:right="1361" w:bottom="1020" w:left="1361" w:header="851" w:footer="992" w:gutter="0"/>
          <w:cols w:space="720" w:num="1"/>
          <w:docGrid w:type="lines" w:linePitch="312" w:charSpace="0"/>
        </w:sectPr>
      </w:pPr>
    </w:p>
    <w:p>
      <w:pPr>
        <w:jc w:val="left"/>
        <w:rPr>
          <w:rFonts w:ascii="黑体" w:hAnsi="黑体" w:eastAsia="黑体"/>
          <w:sz w:val="32"/>
          <w:szCs w:val="32"/>
        </w:rPr>
      </w:pPr>
      <w:r>
        <w:rPr>
          <w:rFonts w:hint="eastAsia" w:ascii="黑体" w:hAnsi="黑体" w:eastAsia="黑体"/>
          <w:sz w:val="32"/>
          <w:szCs w:val="32"/>
        </w:rPr>
        <w:t xml:space="preserve">    六、政府采购预算情况</w:t>
      </w:r>
    </w:p>
    <w:p>
      <w:pPr>
        <w:ind w:firstLine="640" w:firstLineChars="200"/>
        <w:jc w:val="left"/>
        <w:outlineLvl w:val="0"/>
        <w:rPr>
          <w:rFonts w:ascii="仿宋" w:hAnsi="仿宋" w:eastAsia="仿宋"/>
          <w:sz w:val="32"/>
        </w:rPr>
      </w:pPr>
      <w:bookmarkStart w:id="1" w:name="_Toc471398468"/>
      <w:r>
        <w:rPr>
          <w:rFonts w:hint="eastAsia" w:ascii="仿宋" w:hAnsi="仿宋" w:eastAsia="仿宋"/>
          <w:sz w:val="32"/>
        </w:rPr>
        <w:t>2019年，我部门无政府采购预算。</w:t>
      </w:r>
      <w:bookmarkEnd w:id="1"/>
    </w:p>
    <w:p>
      <w:pPr>
        <w:ind w:firstLine="640" w:firstLineChars="200"/>
        <w:jc w:val="left"/>
        <w:outlineLvl w:val="0"/>
        <w:rPr>
          <w:rFonts w:hint="eastAsia" w:ascii="黑体" w:hAnsi="黑体" w:eastAsia="黑体"/>
          <w:sz w:val="32"/>
          <w:szCs w:val="32"/>
        </w:rPr>
      </w:pPr>
      <w:r>
        <w:rPr>
          <w:rFonts w:hint="eastAsia" w:ascii="黑体" w:hAnsi="黑体" w:eastAsia="黑体"/>
          <w:sz w:val="32"/>
          <w:szCs w:val="32"/>
        </w:rPr>
        <w:t>七、国有资产信息</w:t>
      </w:r>
    </w:p>
    <w:p>
      <w:pPr>
        <w:ind w:firstLine="640"/>
        <w:rPr>
          <w:rFonts w:eastAsia="方正仿宋_GBK"/>
          <w:color w:val="000000"/>
          <w:sz w:val="32"/>
          <w:szCs w:val="32"/>
        </w:rPr>
      </w:pPr>
      <w:r>
        <w:rPr>
          <w:rFonts w:hint="eastAsia" w:ascii="方正书宋_GBK" w:eastAsia="方正书宋_GBK"/>
          <w:sz w:val="32"/>
          <w:szCs w:val="32"/>
        </w:rPr>
        <w:t>平乡县文联</w:t>
      </w:r>
      <w:r>
        <w:rPr>
          <w:rFonts w:hint="eastAsia" w:eastAsia="方正仿宋_GBK"/>
          <w:color w:val="000000"/>
          <w:sz w:val="32"/>
          <w:szCs w:val="32"/>
        </w:rPr>
        <w:t>2018</w:t>
      </w:r>
      <w:r>
        <w:rPr>
          <w:rFonts w:hint="eastAsia" w:eastAsia="方正仿宋_GBK" w:cs="方正仿宋_GBK"/>
          <w:color w:val="000000"/>
          <w:sz w:val="32"/>
          <w:szCs w:val="32"/>
        </w:rPr>
        <w:t>年末固定资产金额为</w:t>
      </w:r>
      <w:r>
        <w:rPr>
          <w:rFonts w:hint="eastAsia" w:eastAsia="方正仿宋_GBK"/>
          <w:color w:val="000000"/>
          <w:sz w:val="32"/>
          <w:szCs w:val="32"/>
        </w:rPr>
        <w:t>0</w:t>
      </w:r>
      <w:r>
        <w:rPr>
          <w:rFonts w:hint="eastAsia" w:eastAsia="方正仿宋_GBK" w:cs="方正仿宋_GBK"/>
          <w:color w:val="000000"/>
          <w:sz w:val="32"/>
          <w:szCs w:val="32"/>
        </w:rPr>
        <w:t>万元（详见下表）。</w:t>
      </w:r>
    </w:p>
    <w:tbl>
      <w:tblPr>
        <w:tblStyle w:val="5"/>
        <w:tblW w:w="9240" w:type="dxa"/>
        <w:tblInd w:w="2672" w:type="dxa"/>
        <w:tblLayout w:type="fixed"/>
        <w:tblCellMar>
          <w:top w:w="0" w:type="dxa"/>
          <w:left w:w="108" w:type="dxa"/>
          <w:bottom w:w="0" w:type="dxa"/>
          <w:right w:w="108" w:type="dxa"/>
        </w:tblCellMar>
      </w:tblPr>
      <w:tblGrid>
        <w:gridCol w:w="2842"/>
        <w:gridCol w:w="3155"/>
        <w:gridCol w:w="3243"/>
      </w:tblGrid>
      <w:tr>
        <w:tblPrEx>
          <w:tblCellMar>
            <w:top w:w="0" w:type="dxa"/>
            <w:left w:w="108" w:type="dxa"/>
            <w:bottom w:w="0" w:type="dxa"/>
            <w:right w:w="108" w:type="dxa"/>
          </w:tblCellMar>
        </w:tblPrEx>
        <w:trPr>
          <w:trHeight w:val="705" w:hRule="atLeast"/>
        </w:trPr>
        <w:tc>
          <w:tcPr>
            <w:tcW w:w="9240"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5997" w:type="dxa"/>
            <w:gridSpan w:val="2"/>
            <w:tcBorders>
              <w:top w:val="nil"/>
              <w:left w:val="nil"/>
              <w:bottom w:val="nil"/>
              <w:right w:val="nil"/>
            </w:tcBorders>
            <w:vAlign w:val="center"/>
          </w:tcPr>
          <w:p>
            <w:pPr>
              <w:widowControl/>
              <w:jc w:val="left"/>
              <w:rPr>
                <w:rFonts w:eastAsia="方正仿宋_GBK"/>
                <w:kern w:val="0"/>
                <w:sz w:val="22"/>
              </w:rPr>
            </w:pPr>
            <w:r>
              <w:rPr>
                <w:rFonts w:hint="eastAsia" w:eastAsia="方正仿宋_GBK" w:cs="方正仿宋_GBK"/>
                <w:kern w:val="0"/>
                <w:sz w:val="22"/>
              </w:rPr>
              <w:t>编制部门：平乡县文联</w:t>
            </w:r>
          </w:p>
        </w:tc>
        <w:tc>
          <w:tcPr>
            <w:tcW w:w="3243" w:type="dxa"/>
            <w:tcBorders>
              <w:top w:val="nil"/>
              <w:left w:val="nil"/>
              <w:bottom w:val="nil"/>
              <w:right w:val="nil"/>
            </w:tcBorders>
            <w:vAlign w:val="center"/>
          </w:tcPr>
          <w:p>
            <w:pPr>
              <w:widowControl/>
              <w:jc w:val="left"/>
              <w:rPr>
                <w:rFonts w:eastAsia="方正仿宋_GBK"/>
                <w:kern w:val="0"/>
                <w:sz w:val="22"/>
              </w:rPr>
            </w:pPr>
            <w:r>
              <w:rPr>
                <w:rFonts w:hint="eastAsia" w:eastAsia="方正仿宋_GBK" w:cs="方正仿宋_GBK"/>
                <w:kern w:val="0"/>
                <w:sz w:val="22"/>
              </w:rPr>
              <w:t>截止时间：</w:t>
            </w:r>
            <w:r>
              <w:rPr>
                <w:rFonts w:eastAsia="方正仿宋_GBK"/>
                <w:kern w:val="0"/>
                <w:sz w:val="22"/>
              </w:rPr>
              <w:t>20</w:t>
            </w:r>
            <w:r>
              <w:rPr>
                <w:rFonts w:hint="eastAsia" w:eastAsia="方正仿宋_GBK"/>
                <w:kern w:val="0"/>
                <w:sz w:val="22"/>
              </w:rPr>
              <w:t>18</w:t>
            </w:r>
            <w:r>
              <w:rPr>
                <w:rFonts w:hint="eastAsia" w:eastAsia="方正仿宋_GBK" w:cs="方正仿宋_GBK"/>
                <w:kern w:val="0"/>
                <w:sz w:val="22"/>
              </w:rPr>
              <w:t>年</w:t>
            </w:r>
            <w:r>
              <w:rPr>
                <w:rFonts w:eastAsia="方正仿宋_GBK"/>
                <w:kern w:val="0"/>
                <w:sz w:val="22"/>
              </w:rPr>
              <w:t>12</w:t>
            </w:r>
            <w:r>
              <w:rPr>
                <w:rFonts w:hint="eastAsia" w:eastAsia="方正仿宋_GBK" w:cs="方正仿宋_GBK"/>
                <w:kern w:val="0"/>
                <w:sz w:val="22"/>
              </w:rPr>
              <w:t>月</w:t>
            </w:r>
            <w:r>
              <w:rPr>
                <w:rFonts w:eastAsia="方正仿宋_GBK"/>
                <w:kern w:val="0"/>
                <w:sz w:val="22"/>
              </w:rPr>
              <w:t>31</w:t>
            </w:r>
            <w:r>
              <w:rPr>
                <w:rFonts w:hint="eastAsia" w:eastAsia="方正仿宋_GBK" w:cs="方正仿宋_GBK"/>
                <w:kern w:val="0"/>
                <w:sz w:val="22"/>
              </w:rPr>
              <w:t>日</w:t>
            </w:r>
          </w:p>
        </w:tc>
      </w:tr>
      <w:tr>
        <w:tblPrEx>
          <w:tblCellMar>
            <w:top w:w="0" w:type="dxa"/>
            <w:left w:w="108" w:type="dxa"/>
            <w:bottom w:w="0" w:type="dxa"/>
            <w:right w:w="108" w:type="dxa"/>
          </w:tblCellMar>
        </w:tblPrEx>
        <w:trPr>
          <w:trHeight w:val="416" w:hRule="atLeast"/>
        </w:trPr>
        <w:tc>
          <w:tcPr>
            <w:tcW w:w="2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rPr>
              <w:t>数量</w:t>
            </w:r>
          </w:p>
        </w:tc>
        <w:tc>
          <w:tcPr>
            <w:tcW w:w="3243"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422" w:hRule="atLeast"/>
        </w:trPr>
        <w:tc>
          <w:tcPr>
            <w:tcW w:w="2842" w:type="dxa"/>
            <w:tcBorders>
              <w:top w:val="nil"/>
              <w:left w:val="single" w:color="auto" w:sz="4" w:space="0"/>
              <w:bottom w:val="single" w:color="auto" w:sz="4" w:space="0"/>
              <w:right w:val="single" w:color="auto" w:sz="4" w:space="0"/>
            </w:tcBorders>
            <w:vAlign w:val="center"/>
          </w:tcPr>
          <w:p>
            <w:pPr>
              <w:widowControl/>
              <w:jc w:val="center"/>
              <w:rPr>
                <w:rFonts w:eastAsia="仿宋"/>
                <w:kern w:val="0"/>
                <w:sz w:val="22"/>
              </w:rPr>
            </w:pPr>
            <w:r>
              <w:rPr>
                <w:rFonts w:hint="eastAsia" w:eastAsia="方正仿宋_GBK" w:cs="方正仿宋_GBK"/>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方正仿宋_GBK"/>
                <w:kern w:val="0"/>
                <w:sz w:val="22"/>
              </w:rPr>
              <w:t>——</w:t>
            </w:r>
          </w:p>
        </w:tc>
        <w:tc>
          <w:tcPr>
            <w:tcW w:w="3243" w:type="dxa"/>
            <w:tcBorders>
              <w:top w:val="nil"/>
              <w:left w:val="nil"/>
              <w:bottom w:val="single" w:color="auto" w:sz="4" w:space="0"/>
              <w:right w:val="single" w:color="auto" w:sz="4" w:space="0"/>
            </w:tcBorders>
            <w:vAlign w:val="center"/>
          </w:tcPr>
          <w:p>
            <w:pPr>
              <w:widowControl/>
              <w:jc w:val="center"/>
              <w:rPr>
                <w:rFonts w:eastAsia="方正仿宋_GBK"/>
                <w:color w:val="FF0000"/>
                <w:kern w:val="0"/>
                <w:sz w:val="22"/>
              </w:rPr>
            </w:pPr>
            <w:r>
              <w:rPr>
                <w:rFonts w:hint="eastAsia" w:eastAsia="方正仿宋_GBK"/>
                <w:color w:val="000000"/>
                <w:kern w:val="0"/>
                <w:sz w:val="22"/>
              </w:rPr>
              <w:t>0</w:t>
            </w:r>
          </w:p>
        </w:tc>
      </w:tr>
      <w:tr>
        <w:tblPrEx>
          <w:tblCellMar>
            <w:top w:w="0" w:type="dxa"/>
            <w:left w:w="108" w:type="dxa"/>
            <w:bottom w:w="0" w:type="dxa"/>
            <w:right w:w="108" w:type="dxa"/>
          </w:tblCellMar>
        </w:tblPrEx>
        <w:trPr>
          <w:trHeight w:val="346" w:hRule="atLeast"/>
        </w:trPr>
        <w:tc>
          <w:tcPr>
            <w:tcW w:w="2842"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方正仿宋_GBK"/>
                <w:kern w:val="0"/>
                <w:sz w:val="22"/>
              </w:rPr>
              <w:t>1</w:t>
            </w:r>
            <w:r>
              <w:rPr>
                <w:rFonts w:hint="eastAsia" w:eastAsia="方正仿宋_GBK" w:cs="方正仿宋_GBK"/>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hint="eastAsia" w:eastAsia="方正仿宋_GBK"/>
                <w:kern w:val="0"/>
                <w:sz w:val="22"/>
              </w:rPr>
              <w:t>0</w:t>
            </w:r>
          </w:p>
        </w:tc>
        <w:tc>
          <w:tcPr>
            <w:tcW w:w="3243" w:type="dxa"/>
            <w:tcBorders>
              <w:top w:val="nil"/>
              <w:left w:val="nil"/>
              <w:bottom w:val="single" w:color="auto" w:sz="4" w:space="0"/>
              <w:right w:val="single" w:color="auto" w:sz="4" w:space="0"/>
            </w:tcBorders>
            <w:vAlign w:val="center"/>
          </w:tcPr>
          <w:p>
            <w:pPr>
              <w:widowControl/>
              <w:jc w:val="center"/>
              <w:rPr>
                <w:rFonts w:eastAsia="方正仿宋_GBK"/>
                <w:kern w:val="0"/>
                <w:sz w:val="22"/>
              </w:rPr>
            </w:pPr>
            <w:r>
              <w:rPr>
                <w:rFonts w:hint="eastAsia" w:eastAsia="方正仿宋_GBK"/>
                <w:kern w:val="0"/>
                <w:sz w:val="22"/>
              </w:rPr>
              <w:t>0</w:t>
            </w:r>
          </w:p>
        </w:tc>
      </w:tr>
      <w:tr>
        <w:tblPrEx>
          <w:tblCellMar>
            <w:top w:w="0" w:type="dxa"/>
            <w:left w:w="108" w:type="dxa"/>
            <w:bottom w:w="0" w:type="dxa"/>
            <w:right w:w="108" w:type="dxa"/>
          </w:tblCellMar>
        </w:tblPrEx>
        <w:trPr>
          <w:trHeight w:val="426" w:hRule="atLeast"/>
        </w:trPr>
        <w:tc>
          <w:tcPr>
            <w:tcW w:w="2842"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hint="eastAsia" w:eastAsia="方正仿宋_GBK" w:cs="方正仿宋_GBK"/>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hint="eastAsia" w:eastAsia="方正仿宋_GBK"/>
                <w:kern w:val="0"/>
                <w:sz w:val="22"/>
              </w:rPr>
              <w:t>0</w:t>
            </w:r>
          </w:p>
        </w:tc>
        <w:tc>
          <w:tcPr>
            <w:tcW w:w="3243" w:type="dxa"/>
            <w:tcBorders>
              <w:top w:val="nil"/>
              <w:left w:val="nil"/>
              <w:bottom w:val="single" w:color="auto" w:sz="4" w:space="0"/>
              <w:right w:val="single" w:color="auto" w:sz="4" w:space="0"/>
            </w:tcBorders>
            <w:vAlign w:val="center"/>
          </w:tcPr>
          <w:p>
            <w:pPr>
              <w:widowControl/>
              <w:jc w:val="center"/>
              <w:rPr>
                <w:rFonts w:eastAsia="方正仿宋_GBK"/>
                <w:kern w:val="0"/>
                <w:sz w:val="22"/>
              </w:rPr>
            </w:pPr>
            <w:r>
              <w:rPr>
                <w:rFonts w:hint="eastAsia" w:eastAsia="方正仿宋_GBK"/>
                <w:kern w:val="0"/>
                <w:sz w:val="22"/>
              </w:rPr>
              <w:t>0</w:t>
            </w:r>
          </w:p>
        </w:tc>
      </w:tr>
      <w:tr>
        <w:tblPrEx>
          <w:tblCellMar>
            <w:top w:w="0" w:type="dxa"/>
            <w:left w:w="108" w:type="dxa"/>
            <w:bottom w:w="0" w:type="dxa"/>
            <w:right w:w="108" w:type="dxa"/>
          </w:tblCellMar>
        </w:tblPrEx>
        <w:trPr>
          <w:trHeight w:val="222" w:hRule="atLeast"/>
        </w:trPr>
        <w:tc>
          <w:tcPr>
            <w:tcW w:w="2842"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方正仿宋_GBK"/>
                <w:kern w:val="0"/>
                <w:sz w:val="22"/>
              </w:rPr>
              <w:t>2</w:t>
            </w:r>
            <w:r>
              <w:rPr>
                <w:rFonts w:hint="eastAsia" w:eastAsia="方正仿宋_GBK" w:cs="方正仿宋_GBK"/>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hint="eastAsia" w:eastAsia="方正仿宋_GBK"/>
                <w:kern w:val="0"/>
                <w:sz w:val="22"/>
              </w:rPr>
              <w:t>0</w:t>
            </w:r>
          </w:p>
        </w:tc>
        <w:tc>
          <w:tcPr>
            <w:tcW w:w="3243" w:type="dxa"/>
            <w:tcBorders>
              <w:top w:val="nil"/>
              <w:left w:val="nil"/>
              <w:bottom w:val="single" w:color="auto" w:sz="4" w:space="0"/>
              <w:right w:val="single" w:color="auto" w:sz="4" w:space="0"/>
            </w:tcBorders>
            <w:vAlign w:val="center"/>
          </w:tcPr>
          <w:p>
            <w:pPr>
              <w:widowControl/>
              <w:jc w:val="center"/>
              <w:rPr>
                <w:rFonts w:eastAsia="方正仿宋_GBK"/>
                <w:kern w:val="0"/>
                <w:sz w:val="22"/>
              </w:rPr>
            </w:pPr>
            <w:r>
              <w:rPr>
                <w:rFonts w:hint="eastAsia" w:eastAsia="方正仿宋_GBK"/>
                <w:kern w:val="0"/>
                <w:sz w:val="22"/>
              </w:rPr>
              <w:t>0</w:t>
            </w:r>
          </w:p>
        </w:tc>
      </w:tr>
      <w:tr>
        <w:tblPrEx>
          <w:tblCellMar>
            <w:top w:w="0" w:type="dxa"/>
            <w:left w:w="108" w:type="dxa"/>
            <w:bottom w:w="0" w:type="dxa"/>
            <w:right w:w="108" w:type="dxa"/>
          </w:tblCellMar>
        </w:tblPrEx>
        <w:trPr>
          <w:trHeight w:val="645" w:hRule="atLeast"/>
        </w:trPr>
        <w:tc>
          <w:tcPr>
            <w:tcW w:w="2842"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方正仿宋_GBK"/>
                <w:kern w:val="0"/>
                <w:sz w:val="22"/>
              </w:rPr>
              <w:t>3</w:t>
            </w:r>
            <w:r>
              <w:rPr>
                <w:rFonts w:hint="eastAsia" w:eastAsia="方正仿宋_GBK" w:cs="方正仿宋_GBK"/>
                <w:kern w:val="0"/>
                <w:sz w:val="22"/>
              </w:rPr>
              <w:t>、单价在</w:t>
            </w:r>
            <w:r>
              <w:rPr>
                <w:rFonts w:eastAsia="方正仿宋_GBK"/>
                <w:kern w:val="0"/>
                <w:sz w:val="22"/>
              </w:rPr>
              <w:t>20</w:t>
            </w:r>
            <w:r>
              <w:rPr>
                <w:rFonts w:hint="eastAsia" w:eastAsia="方正仿宋_GBK" w:cs="方正仿宋_GBK"/>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方正仿宋_GBK"/>
                <w:kern w:val="0"/>
                <w:sz w:val="22"/>
              </w:rPr>
              <w:t>——</w:t>
            </w:r>
          </w:p>
        </w:tc>
        <w:tc>
          <w:tcPr>
            <w:tcW w:w="3243" w:type="dxa"/>
            <w:tcBorders>
              <w:top w:val="nil"/>
              <w:left w:val="nil"/>
              <w:bottom w:val="single" w:color="auto" w:sz="4" w:space="0"/>
              <w:right w:val="single" w:color="auto" w:sz="4" w:space="0"/>
            </w:tcBorders>
            <w:vAlign w:val="center"/>
          </w:tcPr>
          <w:p>
            <w:pPr>
              <w:widowControl/>
              <w:jc w:val="center"/>
              <w:rPr>
                <w:rFonts w:eastAsia="方正仿宋_GBK"/>
                <w:kern w:val="0"/>
                <w:sz w:val="22"/>
              </w:rPr>
            </w:pPr>
            <w:r>
              <w:rPr>
                <w:rFonts w:hint="eastAsia" w:eastAsia="方正仿宋_GBK"/>
                <w:kern w:val="0"/>
                <w:sz w:val="22"/>
              </w:rPr>
              <w:t>0</w:t>
            </w:r>
          </w:p>
        </w:tc>
      </w:tr>
      <w:tr>
        <w:tblPrEx>
          <w:tblCellMar>
            <w:top w:w="0" w:type="dxa"/>
            <w:left w:w="108" w:type="dxa"/>
            <w:bottom w:w="0" w:type="dxa"/>
            <w:right w:w="108" w:type="dxa"/>
          </w:tblCellMar>
        </w:tblPrEx>
        <w:trPr>
          <w:trHeight w:val="645" w:hRule="atLeast"/>
        </w:trPr>
        <w:tc>
          <w:tcPr>
            <w:tcW w:w="2842"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方正仿宋_GBK"/>
                <w:kern w:val="0"/>
                <w:sz w:val="22"/>
              </w:rPr>
              <w:t>4</w:t>
            </w:r>
            <w:r>
              <w:rPr>
                <w:rFonts w:hint="eastAsia" w:eastAsia="方正仿宋_GBK" w:cs="方正仿宋_GBK"/>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方正仿宋_GBK"/>
                <w:kern w:val="0"/>
                <w:sz w:val="22"/>
              </w:rPr>
              <w:t>——</w:t>
            </w:r>
          </w:p>
        </w:tc>
        <w:tc>
          <w:tcPr>
            <w:tcW w:w="3243" w:type="dxa"/>
            <w:tcBorders>
              <w:top w:val="nil"/>
              <w:left w:val="nil"/>
              <w:bottom w:val="single" w:color="auto" w:sz="4" w:space="0"/>
              <w:right w:val="single" w:color="auto" w:sz="4" w:space="0"/>
            </w:tcBorders>
            <w:vAlign w:val="center"/>
          </w:tcPr>
          <w:p>
            <w:pPr>
              <w:widowControl/>
              <w:jc w:val="center"/>
              <w:rPr>
                <w:rFonts w:eastAsia="方正仿宋_GBK"/>
                <w:kern w:val="0"/>
                <w:sz w:val="22"/>
              </w:rPr>
            </w:pPr>
            <w:r>
              <w:rPr>
                <w:rFonts w:hint="eastAsia" w:eastAsia="方正仿宋_GBK"/>
                <w:kern w:val="0"/>
                <w:sz w:val="22"/>
              </w:rPr>
              <w:t>0</w:t>
            </w:r>
          </w:p>
        </w:tc>
      </w:tr>
    </w:tbl>
    <w:p>
      <w:pPr>
        <w:tabs>
          <w:tab w:val="left" w:pos="242"/>
        </w:tabs>
        <w:jc w:val="left"/>
      </w:pPr>
    </w:p>
    <w:p>
      <w:pPr>
        <w:ind w:firstLine="640" w:firstLineChars="200"/>
        <w:jc w:val="left"/>
        <w:outlineLvl w:val="0"/>
        <w:rPr>
          <w:rFonts w:ascii="黑体" w:hAnsi="黑体" w:eastAsia="黑体"/>
          <w:sz w:val="32"/>
          <w:szCs w:val="32"/>
        </w:rPr>
      </w:pPr>
    </w:p>
    <w:p>
      <w:pPr>
        <w:spacing w:line="300" w:lineRule="auto"/>
        <w:ind w:firstLine="640" w:firstLineChars="200"/>
        <w:rPr>
          <w:rFonts w:ascii="黑体" w:eastAsia="黑体"/>
          <w:sz w:val="32"/>
          <w:szCs w:val="32"/>
        </w:rPr>
      </w:pPr>
      <w:r>
        <w:rPr>
          <w:rFonts w:hint="eastAsia" w:ascii="黑体" w:eastAsia="黑体"/>
          <w:sz w:val="32"/>
          <w:szCs w:val="32"/>
        </w:rPr>
        <w:t>八、名词解释</w:t>
      </w:r>
    </w:p>
    <w:p>
      <w:pPr>
        <w:spacing w:line="300" w:lineRule="auto"/>
        <w:ind w:firstLine="640" w:firstLineChars="200"/>
        <w:rPr>
          <w:rFonts w:ascii="仿宋" w:hAnsi="仿宋" w:eastAsia="仿宋"/>
          <w:sz w:val="32"/>
          <w:szCs w:val="32"/>
        </w:rPr>
      </w:pPr>
      <w:r>
        <w:rPr>
          <w:rFonts w:hint="eastAsia" w:ascii="仿宋" w:hAnsi="仿宋" w:eastAsia="仿宋"/>
          <w:sz w:val="32"/>
          <w:szCs w:val="32"/>
        </w:rPr>
        <w:t>1、一般预算收入：县级财政当年拨付的资金。</w:t>
      </w:r>
    </w:p>
    <w:p>
      <w:pPr>
        <w:spacing w:line="300" w:lineRule="auto"/>
        <w:ind w:firstLine="640" w:firstLineChars="200"/>
        <w:rPr>
          <w:rFonts w:ascii="仿宋" w:hAnsi="仿宋" w:eastAsia="仿宋"/>
          <w:sz w:val="32"/>
          <w:szCs w:val="32"/>
        </w:rPr>
      </w:pPr>
      <w:r>
        <w:rPr>
          <w:rFonts w:hint="eastAsia" w:ascii="仿宋" w:hAnsi="仿宋" w:eastAsia="仿宋"/>
          <w:sz w:val="32"/>
          <w:szCs w:val="32"/>
        </w:rPr>
        <w:t>2、基本支出：为保障机构正常运转，完成日常工作任务，而发生的人员支出和公用支出。</w:t>
      </w:r>
    </w:p>
    <w:p>
      <w:pPr>
        <w:spacing w:line="300" w:lineRule="auto"/>
        <w:ind w:firstLine="640" w:firstLineChars="200"/>
        <w:rPr>
          <w:rFonts w:ascii="仿宋" w:hAnsi="仿宋" w:eastAsia="仿宋"/>
          <w:sz w:val="32"/>
          <w:szCs w:val="32"/>
        </w:rPr>
      </w:pPr>
      <w:r>
        <w:rPr>
          <w:rFonts w:hint="eastAsia" w:ascii="仿宋" w:hAnsi="仿宋" w:eastAsia="仿宋"/>
          <w:sz w:val="32"/>
          <w:szCs w:val="32"/>
        </w:rPr>
        <w:t>3、项目支出：是指在基本支出之外，为完成特定行政任务和事业发展目标，而发生的支出。</w:t>
      </w:r>
    </w:p>
    <w:p>
      <w:pPr>
        <w:spacing w:line="300" w:lineRule="auto"/>
        <w:ind w:firstLine="640" w:firstLineChars="200"/>
        <w:rPr>
          <w:rFonts w:ascii="仿宋" w:hAnsi="仿宋" w:eastAsia="仿宋"/>
          <w:sz w:val="32"/>
          <w:szCs w:val="32"/>
        </w:rPr>
      </w:pPr>
      <w:r>
        <w:rPr>
          <w:rFonts w:hint="eastAsia" w:ascii="仿宋" w:hAnsi="仿宋" w:eastAsia="仿宋"/>
          <w:sz w:val="32"/>
          <w:szCs w:val="32"/>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300" w:lineRule="auto"/>
        <w:ind w:firstLine="640" w:firstLineChars="200"/>
        <w:rPr>
          <w:rFonts w:ascii="黑体" w:eastAsia="黑体"/>
          <w:sz w:val="32"/>
          <w:szCs w:val="32"/>
        </w:rPr>
      </w:pPr>
      <w:r>
        <w:rPr>
          <w:rFonts w:hint="eastAsia" w:ascii="黑体" w:eastAsia="黑体"/>
          <w:sz w:val="32"/>
          <w:szCs w:val="32"/>
        </w:rPr>
        <w:t>九、其他需要说明的事项</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我部门无其他需要说明事项。</w:t>
      </w:r>
    </w:p>
    <w:sectPr>
      <w:headerReference r:id="rId10"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8</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pPr>
      <w:r>
        <w:rPr>
          <w:rStyle w:val="8"/>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DA55B"/>
    <w:multiLevelType w:val="singleLevel"/>
    <w:tmpl w:val="52EDA55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YmUzZTRkMDUyYTJlNTdiZmMzYzZjMGY3MTA1Y2IifQ=="/>
  </w:docVars>
  <w:rsids>
    <w:rsidRoot w:val="00FF1162"/>
    <w:rsid w:val="00001124"/>
    <w:rsid w:val="00001238"/>
    <w:rsid w:val="000014CE"/>
    <w:rsid w:val="00001F59"/>
    <w:rsid w:val="00003930"/>
    <w:rsid w:val="000052AD"/>
    <w:rsid w:val="0000596E"/>
    <w:rsid w:val="00006368"/>
    <w:rsid w:val="00006C59"/>
    <w:rsid w:val="00006CA2"/>
    <w:rsid w:val="00006E5C"/>
    <w:rsid w:val="0000740A"/>
    <w:rsid w:val="00011ADB"/>
    <w:rsid w:val="00011E8B"/>
    <w:rsid w:val="00012762"/>
    <w:rsid w:val="000132C0"/>
    <w:rsid w:val="00013448"/>
    <w:rsid w:val="000141CF"/>
    <w:rsid w:val="00014BDD"/>
    <w:rsid w:val="00017482"/>
    <w:rsid w:val="000202F3"/>
    <w:rsid w:val="0002054D"/>
    <w:rsid w:val="00020DB5"/>
    <w:rsid w:val="000225CD"/>
    <w:rsid w:val="00022986"/>
    <w:rsid w:val="00023289"/>
    <w:rsid w:val="000243B7"/>
    <w:rsid w:val="00024927"/>
    <w:rsid w:val="00024B51"/>
    <w:rsid w:val="000262B5"/>
    <w:rsid w:val="000303EE"/>
    <w:rsid w:val="00031BF7"/>
    <w:rsid w:val="000326A3"/>
    <w:rsid w:val="00034CCC"/>
    <w:rsid w:val="000353E1"/>
    <w:rsid w:val="00035B0D"/>
    <w:rsid w:val="000362FC"/>
    <w:rsid w:val="00036366"/>
    <w:rsid w:val="00036FEE"/>
    <w:rsid w:val="0004378E"/>
    <w:rsid w:val="00045B0A"/>
    <w:rsid w:val="00046D55"/>
    <w:rsid w:val="00046E44"/>
    <w:rsid w:val="00046E65"/>
    <w:rsid w:val="00046EE5"/>
    <w:rsid w:val="00050815"/>
    <w:rsid w:val="00053323"/>
    <w:rsid w:val="00053DCF"/>
    <w:rsid w:val="00056AF8"/>
    <w:rsid w:val="00056B41"/>
    <w:rsid w:val="0006018C"/>
    <w:rsid w:val="000606CA"/>
    <w:rsid w:val="0006136A"/>
    <w:rsid w:val="00061ABE"/>
    <w:rsid w:val="00062449"/>
    <w:rsid w:val="000656BF"/>
    <w:rsid w:val="00065F63"/>
    <w:rsid w:val="000663F7"/>
    <w:rsid w:val="00066470"/>
    <w:rsid w:val="0006768A"/>
    <w:rsid w:val="000731A5"/>
    <w:rsid w:val="00075371"/>
    <w:rsid w:val="00075993"/>
    <w:rsid w:val="0007694A"/>
    <w:rsid w:val="00077E8F"/>
    <w:rsid w:val="00082F9A"/>
    <w:rsid w:val="00083646"/>
    <w:rsid w:val="00084C4E"/>
    <w:rsid w:val="00087D06"/>
    <w:rsid w:val="00090986"/>
    <w:rsid w:val="00090E28"/>
    <w:rsid w:val="0009103C"/>
    <w:rsid w:val="00091C08"/>
    <w:rsid w:val="00092DAA"/>
    <w:rsid w:val="00092E54"/>
    <w:rsid w:val="000A1171"/>
    <w:rsid w:val="000A4304"/>
    <w:rsid w:val="000A46FB"/>
    <w:rsid w:val="000A7AC4"/>
    <w:rsid w:val="000B07ED"/>
    <w:rsid w:val="000B09EE"/>
    <w:rsid w:val="000B14C6"/>
    <w:rsid w:val="000B1DF3"/>
    <w:rsid w:val="000B27CB"/>
    <w:rsid w:val="000B2CAE"/>
    <w:rsid w:val="000B3D9D"/>
    <w:rsid w:val="000B3EED"/>
    <w:rsid w:val="000B41A9"/>
    <w:rsid w:val="000C0C7E"/>
    <w:rsid w:val="000C1DD1"/>
    <w:rsid w:val="000C4081"/>
    <w:rsid w:val="000C5181"/>
    <w:rsid w:val="000C5F80"/>
    <w:rsid w:val="000C67EF"/>
    <w:rsid w:val="000C7C6A"/>
    <w:rsid w:val="000C7C9B"/>
    <w:rsid w:val="000D0433"/>
    <w:rsid w:val="000D0F69"/>
    <w:rsid w:val="000D1978"/>
    <w:rsid w:val="000D222E"/>
    <w:rsid w:val="000D2AB2"/>
    <w:rsid w:val="000D379C"/>
    <w:rsid w:val="000D5878"/>
    <w:rsid w:val="000D5DC6"/>
    <w:rsid w:val="000D7A20"/>
    <w:rsid w:val="000D7BCE"/>
    <w:rsid w:val="000E348C"/>
    <w:rsid w:val="000E4C8A"/>
    <w:rsid w:val="000E682B"/>
    <w:rsid w:val="000E6B6E"/>
    <w:rsid w:val="000F025B"/>
    <w:rsid w:val="000F5EB6"/>
    <w:rsid w:val="000F6C6B"/>
    <w:rsid w:val="000F7304"/>
    <w:rsid w:val="00100088"/>
    <w:rsid w:val="00100D4F"/>
    <w:rsid w:val="00103388"/>
    <w:rsid w:val="00103C1D"/>
    <w:rsid w:val="00103F83"/>
    <w:rsid w:val="00107B04"/>
    <w:rsid w:val="001103CF"/>
    <w:rsid w:val="001115B0"/>
    <w:rsid w:val="00113509"/>
    <w:rsid w:val="001150DB"/>
    <w:rsid w:val="00115873"/>
    <w:rsid w:val="001179ED"/>
    <w:rsid w:val="00120DAD"/>
    <w:rsid w:val="00121D25"/>
    <w:rsid w:val="001244EB"/>
    <w:rsid w:val="00124C2E"/>
    <w:rsid w:val="001251F2"/>
    <w:rsid w:val="001256B4"/>
    <w:rsid w:val="0012678D"/>
    <w:rsid w:val="001267C0"/>
    <w:rsid w:val="00131C5F"/>
    <w:rsid w:val="00132303"/>
    <w:rsid w:val="001324C9"/>
    <w:rsid w:val="00133DEB"/>
    <w:rsid w:val="001343C5"/>
    <w:rsid w:val="001352D0"/>
    <w:rsid w:val="001355ED"/>
    <w:rsid w:val="00135A71"/>
    <w:rsid w:val="00135BBA"/>
    <w:rsid w:val="001373B1"/>
    <w:rsid w:val="00137C6D"/>
    <w:rsid w:val="00141FDA"/>
    <w:rsid w:val="00142328"/>
    <w:rsid w:val="001444FB"/>
    <w:rsid w:val="001451C1"/>
    <w:rsid w:val="00145558"/>
    <w:rsid w:val="00146535"/>
    <w:rsid w:val="00150E5A"/>
    <w:rsid w:val="00151065"/>
    <w:rsid w:val="00151B20"/>
    <w:rsid w:val="00155C39"/>
    <w:rsid w:val="0015666A"/>
    <w:rsid w:val="0016014D"/>
    <w:rsid w:val="00160778"/>
    <w:rsid w:val="001616B2"/>
    <w:rsid w:val="0016625E"/>
    <w:rsid w:val="00167C93"/>
    <w:rsid w:val="00171902"/>
    <w:rsid w:val="00171F01"/>
    <w:rsid w:val="00172194"/>
    <w:rsid w:val="0017261A"/>
    <w:rsid w:val="001733E1"/>
    <w:rsid w:val="00173EC4"/>
    <w:rsid w:val="00177868"/>
    <w:rsid w:val="00177B7E"/>
    <w:rsid w:val="00180786"/>
    <w:rsid w:val="00182148"/>
    <w:rsid w:val="001832B7"/>
    <w:rsid w:val="00184819"/>
    <w:rsid w:val="0018502E"/>
    <w:rsid w:val="00185A92"/>
    <w:rsid w:val="0018640D"/>
    <w:rsid w:val="0019145D"/>
    <w:rsid w:val="00194019"/>
    <w:rsid w:val="0019446C"/>
    <w:rsid w:val="001945D7"/>
    <w:rsid w:val="00194CA4"/>
    <w:rsid w:val="001952EB"/>
    <w:rsid w:val="00196F10"/>
    <w:rsid w:val="00196F4D"/>
    <w:rsid w:val="001A164E"/>
    <w:rsid w:val="001A23EC"/>
    <w:rsid w:val="001A583B"/>
    <w:rsid w:val="001A5937"/>
    <w:rsid w:val="001B0F38"/>
    <w:rsid w:val="001B25F6"/>
    <w:rsid w:val="001B36E2"/>
    <w:rsid w:val="001B787A"/>
    <w:rsid w:val="001C0E60"/>
    <w:rsid w:val="001C422D"/>
    <w:rsid w:val="001C4306"/>
    <w:rsid w:val="001C4629"/>
    <w:rsid w:val="001C4A2C"/>
    <w:rsid w:val="001C4EB4"/>
    <w:rsid w:val="001C5CA1"/>
    <w:rsid w:val="001C6847"/>
    <w:rsid w:val="001D1AFD"/>
    <w:rsid w:val="001D23E5"/>
    <w:rsid w:val="001D5D7B"/>
    <w:rsid w:val="001D6CB0"/>
    <w:rsid w:val="001D70A4"/>
    <w:rsid w:val="001E0534"/>
    <w:rsid w:val="001E1A6B"/>
    <w:rsid w:val="001E29A4"/>
    <w:rsid w:val="001E308C"/>
    <w:rsid w:val="001E500D"/>
    <w:rsid w:val="001E51E9"/>
    <w:rsid w:val="001E5998"/>
    <w:rsid w:val="001E5B22"/>
    <w:rsid w:val="001E68FA"/>
    <w:rsid w:val="001E7280"/>
    <w:rsid w:val="001E7996"/>
    <w:rsid w:val="001E79BB"/>
    <w:rsid w:val="001E7A8C"/>
    <w:rsid w:val="001F0105"/>
    <w:rsid w:val="001F0ADC"/>
    <w:rsid w:val="001F1EF8"/>
    <w:rsid w:val="001F4074"/>
    <w:rsid w:val="001F6FD7"/>
    <w:rsid w:val="00203C22"/>
    <w:rsid w:val="0020576C"/>
    <w:rsid w:val="00210E75"/>
    <w:rsid w:val="0021310F"/>
    <w:rsid w:val="00214C96"/>
    <w:rsid w:val="00215041"/>
    <w:rsid w:val="00215095"/>
    <w:rsid w:val="002174FF"/>
    <w:rsid w:val="00217F53"/>
    <w:rsid w:val="002207A8"/>
    <w:rsid w:val="00220AA4"/>
    <w:rsid w:val="0022194C"/>
    <w:rsid w:val="00222384"/>
    <w:rsid w:val="00222B23"/>
    <w:rsid w:val="002252A5"/>
    <w:rsid w:val="00227567"/>
    <w:rsid w:val="002330CF"/>
    <w:rsid w:val="002342DE"/>
    <w:rsid w:val="002363DD"/>
    <w:rsid w:val="00236878"/>
    <w:rsid w:val="00236C04"/>
    <w:rsid w:val="00237AAC"/>
    <w:rsid w:val="002402C0"/>
    <w:rsid w:val="00241175"/>
    <w:rsid w:val="00241A1D"/>
    <w:rsid w:val="00241B45"/>
    <w:rsid w:val="00241EF6"/>
    <w:rsid w:val="00243A25"/>
    <w:rsid w:val="00243CE5"/>
    <w:rsid w:val="002443D4"/>
    <w:rsid w:val="0024725A"/>
    <w:rsid w:val="002474EE"/>
    <w:rsid w:val="00250F9A"/>
    <w:rsid w:val="002529CD"/>
    <w:rsid w:val="0025407A"/>
    <w:rsid w:val="0025632D"/>
    <w:rsid w:val="00257790"/>
    <w:rsid w:val="002614F8"/>
    <w:rsid w:val="002621BB"/>
    <w:rsid w:val="00262CEE"/>
    <w:rsid w:val="002640A2"/>
    <w:rsid w:val="002651C3"/>
    <w:rsid w:val="00267713"/>
    <w:rsid w:val="00271144"/>
    <w:rsid w:val="002735E3"/>
    <w:rsid w:val="00273D45"/>
    <w:rsid w:val="00274152"/>
    <w:rsid w:val="00274762"/>
    <w:rsid w:val="00276D3E"/>
    <w:rsid w:val="00277C54"/>
    <w:rsid w:val="00277F55"/>
    <w:rsid w:val="002811B1"/>
    <w:rsid w:val="00284DCA"/>
    <w:rsid w:val="00286AF7"/>
    <w:rsid w:val="00287049"/>
    <w:rsid w:val="00290AAB"/>
    <w:rsid w:val="00291E40"/>
    <w:rsid w:val="00292819"/>
    <w:rsid w:val="00293115"/>
    <w:rsid w:val="0029312B"/>
    <w:rsid w:val="00293A91"/>
    <w:rsid w:val="00294F89"/>
    <w:rsid w:val="00295195"/>
    <w:rsid w:val="0029611D"/>
    <w:rsid w:val="0029731E"/>
    <w:rsid w:val="00297DBE"/>
    <w:rsid w:val="002A24AE"/>
    <w:rsid w:val="002A295C"/>
    <w:rsid w:val="002A2B59"/>
    <w:rsid w:val="002A47D9"/>
    <w:rsid w:val="002A4F20"/>
    <w:rsid w:val="002A5EC1"/>
    <w:rsid w:val="002A7E72"/>
    <w:rsid w:val="002A7EBE"/>
    <w:rsid w:val="002B0988"/>
    <w:rsid w:val="002B2D09"/>
    <w:rsid w:val="002B3181"/>
    <w:rsid w:val="002B3CDC"/>
    <w:rsid w:val="002B6044"/>
    <w:rsid w:val="002C1503"/>
    <w:rsid w:val="002C29EE"/>
    <w:rsid w:val="002C4E9A"/>
    <w:rsid w:val="002C7E1A"/>
    <w:rsid w:val="002D048C"/>
    <w:rsid w:val="002D172C"/>
    <w:rsid w:val="002D22C3"/>
    <w:rsid w:val="002D31F3"/>
    <w:rsid w:val="002D6255"/>
    <w:rsid w:val="002D6788"/>
    <w:rsid w:val="002E036D"/>
    <w:rsid w:val="002E0602"/>
    <w:rsid w:val="002E102E"/>
    <w:rsid w:val="002E4186"/>
    <w:rsid w:val="002E4B10"/>
    <w:rsid w:val="002E4CA2"/>
    <w:rsid w:val="002E5F6D"/>
    <w:rsid w:val="002E642F"/>
    <w:rsid w:val="002E6706"/>
    <w:rsid w:val="002E6AB2"/>
    <w:rsid w:val="002E77D2"/>
    <w:rsid w:val="002F2C2E"/>
    <w:rsid w:val="002F4221"/>
    <w:rsid w:val="002F4AA4"/>
    <w:rsid w:val="002F5D5A"/>
    <w:rsid w:val="00302609"/>
    <w:rsid w:val="00302E7F"/>
    <w:rsid w:val="003034FC"/>
    <w:rsid w:val="00303FEA"/>
    <w:rsid w:val="003040C7"/>
    <w:rsid w:val="0030459A"/>
    <w:rsid w:val="0030503B"/>
    <w:rsid w:val="0030592F"/>
    <w:rsid w:val="00306041"/>
    <w:rsid w:val="00306A5A"/>
    <w:rsid w:val="003144B9"/>
    <w:rsid w:val="003149EC"/>
    <w:rsid w:val="0031696A"/>
    <w:rsid w:val="00317D90"/>
    <w:rsid w:val="00320AB8"/>
    <w:rsid w:val="00322834"/>
    <w:rsid w:val="00322926"/>
    <w:rsid w:val="0032567F"/>
    <w:rsid w:val="00326AF5"/>
    <w:rsid w:val="00327AD0"/>
    <w:rsid w:val="00332B63"/>
    <w:rsid w:val="00333AC8"/>
    <w:rsid w:val="00334DFB"/>
    <w:rsid w:val="003364A9"/>
    <w:rsid w:val="00336B21"/>
    <w:rsid w:val="00340FFF"/>
    <w:rsid w:val="00343C8D"/>
    <w:rsid w:val="00343F97"/>
    <w:rsid w:val="00344304"/>
    <w:rsid w:val="003449DC"/>
    <w:rsid w:val="003468B6"/>
    <w:rsid w:val="00346AB7"/>
    <w:rsid w:val="00347CC6"/>
    <w:rsid w:val="003500A5"/>
    <w:rsid w:val="003506A5"/>
    <w:rsid w:val="003530A1"/>
    <w:rsid w:val="003577F4"/>
    <w:rsid w:val="00360C97"/>
    <w:rsid w:val="003667E7"/>
    <w:rsid w:val="00366CD4"/>
    <w:rsid w:val="00367D98"/>
    <w:rsid w:val="003708E9"/>
    <w:rsid w:val="003717A1"/>
    <w:rsid w:val="00374C01"/>
    <w:rsid w:val="003767A5"/>
    <w:rsid w:val="00376AD3"/>
    <w:rsid w:val="003778D6"/>
    <w:rsid w:val="00377E4F"/>
    <w:rsid w:val="0038153C"/>
    <w:rsid w:val="00382CC7"/>
    <w:rsid w:val="00384BAA"/>
    <w:rsid w:val="003870F3"/>
    <w:rsid w:val="00390382"/>
    <w:rsid w:val="00391406"/>
    <w:rsid w:val="00393E27"/>
    <w:rsid w:val="003946C2"/>
    <w:rsid w:val="003947BA"/>
    <w:rsid w:val="00395030"/>
    <w:rsid w:val="00395B51"/>
    <w:rsid w:val="00397B85"/>
    <w:rsid w:val="003A1A26"/>
    <w:rsid w:val="003A22E9"/>
    <w:rsid w:val="003A2421"/>
    <w:rsid w:val="003A38AC"/>
    <w:rsid w:val="003A38CD"/>
    <w:rsid w:val="003A43CA"/>
    <w:rsid w:val="003A47A6"/>
    <w:rsid w:val="003A61F7"/>
    <w:rsid w:val="003A693C"/>
    <w:rsid w:val="003A7184"/>
    <w:rsid w:val="003A7C24"/>
    <w:rsid w:val="003B1C17"/>
    <w:rsid w:val="003B30CF"/>
    <w:rsid w:val="003B3AE2"/>
    <w:rsid w:val="003B3F08"/>
    <w:rsid w:val="003B7BB5"/>
    <w:rsid w:val="003C0C16"/>
    <w:rsid w:val="003C2DEC"/>
    <w:rsid w:val="003C385E"/>
    <w:rsid w:val="003C663B"/>
    <w:rsid w:val="003C711C"/>
    <w:rsid w:val="003C71C1"/>
    <w:rsid w:val="003D017A"/>
    <w:rsid w:val="003D089F"/>
    <w:rsid w:val="003D17B3"/>
    <w:rsid w:val="003D18E9"/>
    <w:rsid w:val="003D2EFC"/>
    <w:rsid w:val="003D3DDF"/>
    <w:rsid w:val="003D6E3E"/>
    <w:rsid w:val="003E0861"/>
    <w:rsid w:val="003E0B61"/>
    <w:rsid w:val="003E0F0A"/>
    <w:rsid w:val="003E14C5"/>
    <w:rsid w:val="003E1B07"/>
    <w:rsid w:val="003E3FA6"/>
    <w:rsid w:val="003E636A"/>
    <w:rsid w:val="003E7098"/>
    <w:rsid w:val="003E7571"/>
    <w:rsid w:val="003F1D12"/>
    <w:rsid w:val="003F4E54"/>
    <w:rsid w:val="003F539B"/>
    <w:rsid w:val="003F6D7E"/>
    <w:rsid w:val="0040227A"/>
    <w:rsid w:val="00402361"/>
    <w:rsid w:val="004023AF"/>
    <w:rsid w:val="00407BDF"/>
    <w:rsid w:val="00411D81"/>
    <w:rsid w:val="004139A1"/>
    <w:rsid w:val="00415C08"/>
    <w:rsid w:val="004162C3"/>
    <w:rsid w:val="0042162E"/>
    <w:rsid w:val="00423C25"/>
    <w:rsid w:val="00424FC0"/>
    <w:rsid w:val="0042586D"/>
    <w:rsid w:val="00425B04"/>
    <w:rsid w:val="00432037"/>
    <w:rsid w:val="004332A0"/>
    <w:rsid w:val="004336AD"/>
    <w:rsid w:val="00434D2F"/>
    <w:rsid w:val="00434D78"/>
    <w:rsid w:val="004369A3"/>
    <w:rsid w:val="00436C25"/>
    <w:rsid w:val="00436CD7"/>
    <w:rsid w:val="004412F5"/>
    <w:rsid w:val="00442AB9"/>
    <w:rsid w:val="00443C61"/>
    <w:rsid w:val="00444414"/>
    <w:rsid w:val="00445030"/>
    <w:rsid w:val="0044592C"/>
    <w:rsid w:val="0045096A"/>
    <w:rsid w:val="00450C47"/>
    <w:rsid w:val="00451EDD"/>
    <w:rsid w:val="00454691"/>
    <w:rsid w:val="004551C2"/>
    <w:rsid w:val="004553DB"/>
    <w:rsid w:val="004560CA"/>
    <w:rsid w:val="00460E35"/>
    <w:rsid w:val="00460E5A"/>
    <w:rsid w:val="004615B2"/>
    <w:rsid w:val="0046312C"/>
    <w:rsid w:val="004673AD"/>
    <w:rsid w:val="004718F0"/>
    <w:rsid w:val="004736B5"/>
    <w:rsid w:val="004755A6"/>
    <w:rsid w:val="00477C02"/>
    <w:rsid w:val="0048101E"/>
    <w:rsid w:val="00481569"/>
    <w:rsid w:val="00481856"/>
    <w:rsid w:val="00484037"/>
    <w:rsid w:val="00484169"/>
    <w:rsid w:val="00484C8D"/>
    <w:rsid w:val="0048546C"/>
    <w:rsid w:val="0048595F"/>
    <w:rsid w:val="00490122"/>
    <w:rsid w:val="004918ED"/>
    <w:rsid w:val="00491C23"/>
    <w:rsid w:val="00492691"/>
    <w:rsid w:val="00493F85"/>
    <w:rsid w:val="00494C38"/>
    <w:rsid w:val="0049599B"/>
    <w:rsid w:val="0049665E"/>
    <w:rsid w:val="004A0387"/>
    <w:rsid w:val="004A140D"/>
    <w:rsid w:val="004A1890"/>
    <w:rsid w:val="004A2500"/>
    <w:rsid w:val="004A33CA"/>
    <w:rsid w:val="004B109B"/>
    <w:rsid w:val="004B245C"/>
    <w:rsid w:val="004B3054"/>
    <w:rsid w:val="004B43DF"/>
    <w:rsid w:val="004B4498"/>
    <w:rsid w:val="004C19F2"/>
    <w:rsid w:val="004C1A0A"/>
    <w:rsid w:val="004C34AA"/>
    <w:rsid w:val="004C452B"/>
    <w:rsid w:val="004C5556"/>
    <w:rsid w:val="004C573F"/>
    <w:rsid w:val="004C583E"/>
    <w:rsid w:val="004C5D19"/>
    <w:rsid w:val="004C6167"/>
    <w:rsid w:val="004C7693"/>
    <w:rsid w:val="004C7B50"/>
    <w:rsid w:val="004D14D5"/>
    <w:rsid w:val="004D2DEC"/>
    <w:rsid w:val="004D3ADD"/>
    <w:rsid w:val="004D456E"/>
    <w:rsid w:val="004D560B"/>
    <w:rsid w:val="004D5B91"/>
    <w:rsid w:val="004E1CEF"/>
    <w:rsid w:val="004E3193"/>
    <w:rsid w:val="004E7980"/>
    <w:rsid w:val="004F0235"/>
    <w:rsid w:val="004F138F"/>
    <w:rsid w:val="004F3543"/>
    <w:rsid w:val="004F42CC"/>
    <w:rsid w:val="004F4C70"/>
    <w:rsid w:val="004F66AE"/>
    <w:rsid w:val="004F7A71"/>
    <w:rsid w:val="004F7FD2"/>
    <w:rsid w:val="00502D8C"/>
    <w:rsid w:val="00506D37"/>
    <w:rsid w:val="00507872"/>
    <w:rsid w:val="005107F3"/>
    <w:rsid w:val="0051310E"/>
    <w:rsid w:val="00513355"/>
    <w:rsid w:val="0051447B"/>
    <w:rsid w:val="005151F0"/>
    <w:rsid w:val="00515385"/>
    <w:rsid w:val="00515AA5"/>
    <w:rsid w:val="005165CC"/>
    <w:rsid w:val="005168C4"/>
    <w:rsid w:val="00522CC3"/>
    <w:rsid w:val="00523BBD"/>
    <w:rsid w:val="00525139"/>
    <w:rsid w:val="0052569B"/>
    <w:rsid w:val="0052654F"/>
    <w:rsid w:val="00531132"/>
    <w:rsid w:val="00531C04"/>
    <w:rsid w:val="005326DD"/>
    <w:rsid w:val="00532842"/>
    <w:rsid w:val="00534D2D"/>
    <w:rsid w:val="00535B1C"/>
    <w:rsid w:val="0053664F"/>
    <w:rsid w:val="005371C4"/>
    <w:rsid w:val="005373CC"/>
    <w:rsid w:val="0054216F"/>
    <w:rsid w:val="005425E1"/>
    <w:rsid w:val="00542FC4"/>
    <w:rsid w:val="0054311F"/>
    <w:rsid w:val="00544888"/>
    <w:rsid w:val="005460B7"/>
    <w:rsid w:val="00546767"/>
    <w:rsid w:val="00546C03"/>
    <w:rsid w:val="00546FF0"/>
    <w:rsid w:val="00547C51"/>
    <w:rsid w:val="00550B90"/>
    <w:rsid w:val="005522E5"/>
    <w:rsid w:val="00552CD3"/>
    <w:rsid w:val="00553F16"/>
    <w:rsid w:val="005552E7"/>
    <w:rsid w:val="00556FC0"/>
    <w:rsid w:val="00557A95"/>
    <w:rsid w:val="005606BA"/>
    <w:rsid w:val="005606DC"/>
    <w:rsid w:val="0056185C"/>
    <w:rsid w:val="00561E35"/>
    <w:rsid w:val="005644A9"/>
    <w:rsid w:val="005658DB"/>
    <w:rsid w:val="0056645E"/>
    <w:rsid w:val="00567127"/>
    <w:rsid w:val="00570078"/>
    <w:rsid w:val="00570252"/>
    <w:rsid w:val="00571A07"/>
    <w:rsid w:val="00572FED"/>
    <w:rsid w:val="00573991"/>
    <w:rsid w:val="00573D7C"/>
    <w:rsid w:val="0058046E"/>
    <w:rsid w:val="00580ABA"/>
    <w:rsid w:val="00581170"/>
    <w:rsid w:val="005840A1"/>
    <w:rsid w:val="00584ED4"/>
    <w:rsid w:val="00585CA4"/>
    <w:rsid w:val="0058631C"/>
    <w:rsid w:val="00586A9A"/>
    <w:rsid w:val="005870F1"/>
    <w:rsid w:val="00593158"/>
    <w:rsid w:val="00593355"/>
    <w:rsid w:val="005935D3"/>
    <w:rsid w:val="0059382C"/>
    <w:rsid w:val="005942A0"/>
    <w:rsid w:val="0059540F"/>
    <w:rsid w:val="00597BB7"/>
    <w:rsid w:val="005A0A93"/>
    <w:rsid w:val="005A0D63"/>
    <w:rsid w:val="005A4FC2"/>
    <w:rsid w:val="005B17DD"/>
    <w:rsid w:val="005B1FF2"/>
    <w:rsid w:val="005B277D"/>
    <w:rsid w:val="005B3FC0"/>
    <w:rsid w:val="005B4402"/>
    <w:rsid w:val="005B5C81"/>
    <w:rsid w:val="005B7C12"/>
    <w:rsid w:val="005C3621"/>
    <w:rsid w:val="005C546E"/>
    <w:rsid w:val="005C5A18"/>
    <w:rsid w:val="005C5FBD"/>
    <w:rsid w:val="005C64C4"/>
    <w:rsid w:val="005C7593"/>
    <w:rsid w:val="005D09CB"/>
    <w:rsid w:val="005D0A20"/>
    <w:rsid w:val="005D1E31"/>
    <w:rsid w:val="005D2333"/>
    <w:rsid w:val="005D5B4C"/>
    <w:rsid w:val="005D6964"/>
    <w:rsid w:val="005D75AD"/>
    <w:rsid w:val="005D7A49"/>
    <w:rsid w:val="005D7CE2"/>
    <w:rsid w:val="005E06BC"/>
    <w:rsid w:val="005E1AF7"/>
    <w:rsid w:val="005E2BD9"/>
    <w:rsid w:val="005E3671"/>
    <w:rsid w:val="005E509A"/>
    <w:rsid w:val="005E5F8C"/>
    <w:rsid w:val="005E6A7F"/>
    <w:rsid w:val="005E6D69"/>
    <w:rsid w:val="005E7A8D"/>
    <w:rsid w:val="005E7B67"/>
    <w:rsid w:val="005F0D2B"/>
    <w:rsid w:val="005F21BD"/>
    <w:rsid w:val="005F33BF"/>
    <w:rsid w:val="005F4350"/>
    <w:rsid w:val="005F591E"/>
    <w:rsid w:val="005F6262"/>
    <w:rsid w:val="005F62CB"/>
    <w:rsid w:val="005F7182"/>
    <w:rsid w:val="005F7E34"/>
    <w:rsid w:val="0060029B"/>
    <w:rsid w:val="006005B8"/>
    <w:rsid w:val="006008ED"/>
    <w:rsid w:val="00601CB4"/>
    <w:rsid w:val="006042AE"/>
    <w:rsid w:val="00611ADD"/>
    <w:rsid w:val="00611D94"/>
    <w:rsid w:val="00613CE2"/>
    <w:rsid w:val="00621562"/>
    <w:rsid w:val="006235A7"/>
    <w:rsid w:val="00624BF2"/>
    <w:rsid w:val="00625A92"/>
    <w:rsid w:val="00627018"/>
    <w:rsid w:val="0063196C"/>
    <w:rsid w:val="00633402"/>
    <w:rsid w:val="00636E77"/>
    <w:rsid w:val="006400C7"/>
    <w:rsid w:val="00640ABB"/>
    <w:rsid w:val="00640FE5"/>
    <w:rsid w:val="0064102B"/>
    <w:rsid w:val="006415F0"/>
    <w:rsid w:val="006429D0"/>
    <w:rsid w:val="00642DEE"/>
    <w:rsid w:val="006433E5"/>
    <w:rsid w:val="00646CA3"/>
    <w:rsid w:val="006543EC"/>
    <w:rsid w:val="00655575"/>
    <w:rsid w:val="006556D1"/>
    <w:rsid w:val="00655C13"/>
    <w:rsid w:val="00656988"/>
    <w:rsid w:val="00657254"/>
    <w:rsid w:val="0065733A"/>
    <w:rsid w:val="006574B7"/>
    <w:rsid w:val="00657F37"/>
    <w:rsid w:val="00660367"/>
    <w:rsid w:val="00660B11"/>
    <w:rsid w:val="006611E6"/>
    <w:rsid w:val="00664A84"/>
    <w:rsid w:val="00667B86"/>
    <w:rsid w:val="00667BFF"/>
    <w:rsid w:val="00670001"/>
    <w:rsid w:val="006703B3"/>
    <w:rsid w:val="00671766"/>
    <w:rsid w:val="00671F57"/>
    <w:rsid w:val="00673575"/>
    <w:rsid w:val="006735CA"/>
    <w:rsid w:val="00677998"/>
    <w:rsid w:val="006802E0"/>
    <w:rsid w:val="00680AB5"/>
    <w:rsid w:val="006840AF"/>
    <w:rsid w:val="0068497D"/>
    <w:rsid w:val="00685FD1"/>
    <w:rsid w:val="00686E73"/>
    <w:rsid w:val="00687DE7"/>
    <w:rsid w:val="006908B9"/>
    <w:rsid w:val="00691C70"/>
    <w:rsid w:val="00693671"/>
    <w:rsid w:val="00694B09"/>
    <w:rsid w:val="006960E0"/>
    <w:rsid w:val="006A126A"/>
    <w:rsid w:val="006A12DC"/>
    <w:rsid w:val="006A3692"/>
    <w:rsid w:val="006A399F"/>
    <w:rsid w:val="006A52A4"/>
    <w:rsid w:val="006A58FB"/>
    <w:rsid w:val="006A699C"/>
    <w:rsid w:val="006A768A"/>
    <w:rsid w:val="006B06D3"/>
    <w:rsid w:val="006B4338"/>
    <w:rsid w:val="006B4A88"/>
    <w:rsid w:val="006B721E"/>
    <w:rsid w:val="006C0879"/>
    <w:rsid w:val="006C21DC"/>
    <w:rsid w:val="006C35D7"/>
    <w:rsid w:val="006C3C01"/>
    <w:rsid w:val="006C430C"/>
    <w:rsid w:val="006D03B1"/>
    <w:rsid w:val="006D0546"/>
    <w:rsid w:val="006D3E1E"/>
    <w:rsid w:val="006D4512"/>
    <w:rsid w:val="006D45BC"/>
    <w:rsid w:val="006D6108"/>
    <w:rsid w:val="006D6BCA"/>
    <w:rsid w:val="006E1C0C"/>
    <w:rsid w:val="006E253F"/>
    <w:rsid w:val="006E7244"/>
    <w:rsid w:val="006E74F8"/>
    <w:rsid w:val="006F5903"/>
    <w:rsid w:val="006F6954"/>
    <w:rsid w:val="00701A2A"/>
    <w:rsid w:val="00701B46"/>
    <w:rsid w:val="00701D26"/>
    <w:rsid w:val="0070270F"/>
    <w:rsid w:val="0070561E"/>
    <w:rsid w:val="00706148"/>
    <w:rsid w:val="00710902"/>
    <w:rsid w:val="00710B06"/>
    <w:rsid w:val="00712D49"/>
    <w:rsid w:val="00713419"/>
    <w:rsid w:val="00716106"/>
    <w:rsid w:val="007171AC"/>
    <w:rsid w:val="0072197C"/>
    <w:rsid w:val="007223FE"/>
    <w:rsid w:val="007226B5"/>
    <w:rsid w:val="0073212C"/>
    <w:rsid w:val="007333D7"/>
    <w:rsid w:val="00734325"/>
    <w:rsid w:val="00736912"/>
    <w:rsid w:val="00736980"/>
    <w:rsid w:val="00740081"/>
    <w:rsid w:val="007407C7"/>
    <w:rsid w:val="00742C27"/>
    <w:rsid w:val="00743707"/>
    <w:rsid w:val="007443A3"/>
    <w:rsid w:val="00750FF6"/>
    <w:rsid w:val="007528D9"/>
    <w:rsid w:val="00755EBD"/>
    <w:rsid w:val="007573B4"/>
    <w:rsid w:val="007577EB"/>
    <w:rsid w:val="00757B6A"/>
    <w:rsid w:val="007616BB"/>
    <w:rsid w:val="00762CF6"/>
    <w:rsid w:val="00764B62"/>
    <w:rsid w:val="00764B75"/>
    <w:rsid w:val="00765BD4"/>
    <w:rsid w:val="00765EE4"/>
    <w:rsid w:val="00766AA6"/>
    <w:rsid w:val="00767703"/>
    <w:rsid w:val="00771254"/>
    <w:rsid w:val="00772226"/>
    <w:rsid w:val="007757B7"/>
    <w:rsid w:val="00775B3C"/>
    <w:rsid w:val="00780DCD"/>
    <w:rsid w:val="00780F51"/>
    <w:rsid w:val="00781A93"/>
    <w:rsid w:val="00782E34"/>
    <w:rsid w:val="007830BB"/>
    <w:rsid w:val="00786E62"/>
    <w:rsid w:val="00787975"/>
    <w:rsid w:val="00790519"/>
    <w:rsid w:val="00792134"/>
    <w:rsid w:val="00792354"/>
    <w:rsid w:val="007939D8"/>
    <w:rsid w:val="00793C0E"/>
    <w:rsid w:val="00793DD4"/>
    <w:rsid w:val="00794453"/>
    <w:rsid w:val="00794582"/>
    <w:rsid w:val="007A2055"/>
    <w:rsid w:val="007A3887"/>
    <w:rsid w:val="007A5CC4"/>
    <w:rsid w:val="007B325D"/>
    <w:rsid w:val="007B5704"/>
    <w:rsid w:val="007B5EBB"/>
    <w:rsid w:val="007C05E2"/>
    <w:rsid w:val="007C1A1F"/>
    <w:rsid w:val="007C22A4"/>
    <w:rsid w:val="007C32D6"/>
    <w:rsid w:val="007C59EE"/>
    <w:rsid w:val="007C61BF"/>
    <w:rsid w:val="007D04BE"/>
    <w:rsid w:val="007D0C00"/>
    <w:rsid w:val="007D6E87"/>
    <w:rsid w:val="007D79F6"/>
    <w:rsid w:val="007D7DAF"/>
    <w:rsid w:val="007E416A"/>
    <w:rsid w:val="007E52CB"/>
    <w:rsid w:val="007E608C"/>
    <w:rsid w:val="007E72F7"/>
    <w:rsid w:val="007F1FBE"/>
    <w:rsid w:val="007F2B6D"/>
    <w:rsid w:val="007F36D6"/>
    <w:rsid w:val="007F4867"/>
    <w:rsid w:val="007F499D"/>
    <w:rsid w:val="007F572F"/>
    <w:rsid w:val="007F63CD"/>
    <w:rsid w:val="0080179B"/>
    <w:rsid w:val="00801ABF"/>
    <w:rsid w:val="0080304B"/>
    <w:rsid w:val="008062BC"/>
    <w:rsid w:val="008126AD"/>
    <w:rsid w:val="00812802"/>
    <w:rsid w:val="0081386D"/>
    <w:rsid w:val="0081402A"/>
    <w:rsid w:val="00814690"/>
    <w:rsid w:val="0081728A"/>
    <w:rsid w:val="0082027A"/>
    <w:rsid w:val="008226F2"/>
    <w:rsid w:val="00823CA1"/>
    <w:rsid w:val="00825370"/>
    <w:rsid w:val="00825C60"/>
    <w:rsid w:val="0082763C"/>
    <w:rsid w:val="0082776D"/>
    <w:rsid w:val="00830578"/>
    <w:rsid w:val="0083209F"/>
    <w:rsid w:val="00832C5A"/>
    <w:rsid w:val="00832FCB"/>
    <w:rsid w:val="008330B9"/>
    <w:rsid w:val="008333B2"/>
    <w:rsid w:val="008361D2"/>
    <w:rsid w:val="008365DC"/>
    <w:rsid w:val="00836836"/>
    <w:rsid w:val="008373F7"/>
    <w:rsid w:val="00837E8F"/>
    <w:rsid w:val="00837FF2"/>
    <w:rsid w:val="0084181E"/>
    <w:rsid w:val="00841B80"/>
    <w:rsid w:val="00843E81"/>
    <w:rsid w:val="00844DDF"/>
    <w:rsid w:val="00844ED2"/>
    <w:rsid w:val="00847025"/>
    <w:rsid w:val="00851D92"/>
    <w:rsid w:val="00854ABD"/>
    <w:rsid w:val="00854E48"/>
    <w:rsid w:val="0085503B"/>
    <w:rsid w:val="00855F29"/>
    <w:rsid w:val="0085799E"/>
    <w:rsid w:val="008607E3"/>
    <w:rsid w:val="00860954"/>
    <w:rsid w:val="00860DEE"/>
    <w:rsid w:val="0086131C"/>
    <w:rsid w:val="00862FB0"/>
    <w:rsid w:val="008642AA"/>
    <w:rsid w:val="00864F20"/>
    <w:rsid w:val="008663EC"/>
    <w:rsid w:val="00866AC4"/>
    <w:rsid w:val="0086767F"/>
    <w:rsid w:val="00867F15"/>
    <w:rsid w:val="008719C4"/>
    <w:rsid w:val="00871D45"/>
    <w:rsid w:val="00873080"/>
    <w:rsid w:val="0087366E"/>
    <w:rsid w:val="008736DF"/>
    <w:rsid w:val="00873CAE"/>
    <w:rsid w:val="00873D92"/>
    <w:rsid w:val="00875BED"/>
    <w:rsid w:val="008766AC"/>
    <w:rsid w:val="008802E1"/>
    <w:rsid w:val="00881381"/>
    <w:rsid w:val="00882F18"/>
    <w:rsid w:val="00883691"/>
    <w:rsid w:val="0088400A"/>
    <w:rsid w:val="00884119"/>
    <w:rsid w:val="00884A30"/>
    <w:rsid w:val="00885D29"/>
    <w:rsid w:val="008874B5"/>
    <w:rsid w:val="00890D9B"/>
    <w:rsid w:val="00893AE6"/>
    <w:rsid w:val="00894FF5"/>
    <w:rsid w:val="00895A1A"/>
    <w:rsid w:val="00895DF8"/>
    <w:rsid w:val="00896DFD"/>
    <w:rsid w:val="00896EAB"/>
    <w:rsid w:val="008A10FF"/>
    <w:rsid w:val="008A11A4"/>
    <w:rsid w:val="008A2629"/>
    <w:rsid w:val="008A2A15"/>
    <w:rsid w:val="008A368B"/>
    <w:rsid w:val="008A39DA"/>
    <w:rsid w:val="008A3A9B"/>
    <w:rsid w:val="008A3AF6"/>
    <w:rsid w:val="008A47A9"/>
    <w:rsid w:val="008B20DD"/>
    <w:rsid w:val="008B6357"/>
    <w:rsid w:val="008B6ED9"/>
    <w:rsid w:val="008B72E4"/>
    <w:rsid w:val="008B76C6"/>
    <w:rsid w:val="008C2CC4"/>
    <w:rsid w:val="008C34BD"/>
    <w:rsid w:val="008C54D1"/>
    <w:rsid w:val="008C6A09"/>
    <w:rsid w:val="008C6C35"/>
    <w:rsid w:val="008D1D33"/>
    <w:rsid w:val="008D23E6"/>
    <w:rsid w:val="008D2634"/>
    <w:rsid w:val="008D36FF"/>
    <w:rsid w:val="008D405B"/>
    <w:rsid w:val="008D4141"/>
    <w:rsid w:val="008D4897"/>
    <w:rsid w:val="008D52A2"/>
    <w:rsid w:val="008D5B38"/>
    <w:rsid w:val="008D624C"/>
    <w:rsid w:val="008D67B7"/>
    <w:rsid w:val="008D6EC9"/>
    <w:rsid w:val="008E08C2"/>
    <w:rsid w:val="008E1D3F"/>
    <w:rsid w:val="008E3E65"/>
    <w:rsid w:val="008E6E99"/>
    <w:rsid w:val="008E785F"/>
    <w:rsid w:val="008F1E60"/>
    <w:rsid w:val="008F1EFE"/>
    <w:rsid w:val="008F4299"/>
    <w:rsid w:val="008F542C"/>
    <w:rsid w:val="008F7294"/>
    <w:rsid w:val="008F7607"/>
    <w:rsid w:val="0090140F"/>
    <w:rsid w:val="00901784"/>
    <w:rsid w:val="00902735"/>
    <w:rsid w:val="00903BA1"/>
    <w:rsid w:val="0090402B"/>
    <w:rsid w:val="009052AC"/>
    <w:rsid w:val="009102C2"/>
    <w:rsid w:val="0091237B"/>
    <w:rsid w:val="00913F36"/>
    <w:rsid w:val="00914D45"/>
    <w:rsid w:val="0091561E"/>
    <w:rsid w:val="0091578B"/>
    <w:rsid w:val="00915D28"/>
    <w:rsid w:val="00923201"/>
    <w:rsid w:val="00923E40"/>
    <w:rsid w:val="009242B9"/>
    <w:rsid w:val="009258A1"/>
    <w:rsid w:val="00930EA4"/>
    <w:rsid w:val="00931D24"/>
    <w:rsid w:val="009345C0"/>
    <w:rsid w:val="009356CF"/>
    <w:rsid w:val="00935C42"/>
    <w:rsid w:val="009365CA"/>
    <w:rsid w:val="00940221"/>
    <w:rsid w:val="00940A45"/>
    <w:rsid w:val="00942608"/>
    <w:rsid w:val="00946799"/>
    <w:rsid w:val="00946EB8"/>
    <w:rsid w:val="009504DD"/>
    <w:rsid w:val="00951456"/>
    <w:rsid w:val="00952A3F"/>
    <w:rsid w:val="009536B7"/>
    <w:rsid w:val="0095463F"/>
    <w:rsid w:val="009558F7"/>
    <w:rsid w:val="00960148"/>
    <w:rsid w:val="00960185"/>
    <w:rsid w:val="00961F47"/>
    <w:rsid w:val="00963D77"/>
    <w:rsid w:val="00970F85"/>
    <w:rsid w:val="00971530"/>
    <w:rsid w:val="00971803"/>
    <w:rsid w:val="009719A4"/>
    <w:rsid w:val="00972486"/>
    <w:rsid w:val="00972D73"/>
    <w:rsid w:val="00972F03"/>
    <w:rsid w:val="0097397A"/>
    <w:rsid w:val="00976BAE"/>
    <w:rsid w:val="00982CAA"/>
    <w:rsid w:val="00984A98"/>
    <w:rsid w:val="00986D40"/>
    <w:rsid w:val="00987258"/>
    <w:rsid w:val="0099209C"/>
    <w:rsid w:val="009968A8"/>
    <w:rsid w:val="009972DF"/>
    <w:rsid w:val="00997EBC"/>
    <w:rsid w:val="009A278F"/>
    <w:rsid w:val="009A2A6C"/>
    <w:rsid w:val="009A2B64"/>
    <w:rsid w:val="009A320D"/>
    <w:rsid w:val="009A4416"/>
    <w:rsid w:val="009A44F1"/>
    <w:rsid w:val="009A4CBB"/>
    <w:rsid w:val="009A735B"/>
    <w:rsid w:val="009B0C05"/>
    <w:rsid w:val="009B0F58"/>
    <w:rsid w:val="009B1C20"/>
    <w:rsid w:val="009B1C8F"/>
    <w:rsid w:val="009B3121"/>
    <w:rsid w:val="009B4D93"/>
    <w:rsid w:val="009B69ED"/>
    <w:rsid w:val="009B6DDF"/>
    <w:rsid w:val="009B6F08"/>
    <w:rsid w:val="009C6F67"/>
    <w:rsid w:val="009C7318"/>
    <w:rsid w:val="009C7C20"/>
    <w:rsid w:val="009D01DD"/>
    <w:rsid w:val="009D3387"/>
    <w:rsid w:val="009D41CF"/>
    <w:rsid w:val="009D5177"/>
    <w:rsid w:val="009D6905"/>
    <w:rsid w:val="009E102F"/>
    <w:rsid w:val="009E12B0"/>
    <w:rsid w:val="009E1479"/>
    <w:rsid w:val="009E2127"/>
    <w:rsid w:val="009E2FDE"/>
    <w:rsid w:val="009E303A"/>
    <w:rsid w:val="009E3D8A"/>
    <w:rsid w:val="009E509D"/>
    <w:rsid w:val="009E7A9F"/>
    <w:rsid w:val="009F4044"/>
    <w:rsid w:val="009F48E8"/>
    <w:rsid w:val="009F54A2"/>
    <w:rsid w:val="009F655E"/>
    <w:rsid w:val="009F6776"/>
    <w:rsid w:val="009F7182"/>
    <w:rsid w:val="009F72A3"/>
    <w:rsid w:val="00A0016C"/>
    <w:rsid w:val="00A00EAC"/>
    <w:rsid w:val="00A01332"/>
    <w:rsid w:val="00A01FEE"/>
    <w:rsid w:val="00A02A9C"/>
    <w:rsid w:val="00A03F5A"/>
    <w:rsid w:val="00A04846"/>
    <w:rsid w:val="00A11825"/>
    <w:rsid w:val="00A11C70"/>
    <w:rsid w:val="00A14004"/>
    <w:rsid w:val="00A147E0"/>
    <w:rsid w:val="00A14B56"/>
    <w:rsid w:val="00A15814"/>
    <w:rsid w:val="00A17B27"/>
    <w:rsid w:val="00A2173F"/>
    <w:rsid w:val="00A21AF9"/>
    <w:rsid w:val="00A21F2A"/>
    <w:rsid w:val="00A235AE"/>
    <w:rsid w:val="00A259B0"/>
    <w:rsid w:val="00A305D3"/>
    <w:rsid w:val="00A30CD3"/>
    <w:rsid w:val="00A31572"/>
    <w:rsid w:val="00A32C47"/>
    <w:rsid w:val="00A34893"/>
    <w:rsid w:val="00A358A9"/>
    <w:rsid w:val="00A35D77"/>
    <w:rsid w:val="00A368B8"/>
    <w:rsid w:val="00A36EFB"/>
    <w:rsid w:val="00A36F08"/>
    <w:rsid w:val="00A4000E"/>
    <w:rsid w:val="00A41FB9"/>
    <w:rsid w:val="00A4262C"/>
    <w:rsid w:val="00A42E11"/>
    <w:rsid w:val="00A42F82"/>
    <w:rsid w:val="00A43676"/>
    <w:rsid w:val="00A460CB"/>
    <w:rsid w:val="00A4689B"/>
    <w:rsid w:val="00A529B8"/>
    <w:rsid w:val="00A52ED6"/>
    <w:rsid w:val="00A52FE6"/>
    <w:rsid w:val="00A56376"/>
    <w:rsid w:val="00A571AC"/>
    <w:rsid w:val="00A5759D"/>
    <w:rsid w:val="00A603E1"/>
    <w:rsid w:val="00A621C0"/>
    <w:rsid w:val="00A63E15"/>
    <w:rsid w:val="00A6751E"/>
    <w:rsid w:val="00A719DF"/>
    <w:rsid w:val="00A72665"/>
    <w:rsid w:val="00A7510C"/>
    <w:rsid w:val="00A76664"/>
    <w:rsid w:val="00A76ED2"/>
    <w:rsid w:val="00A77359"/>
    <w:rsid w:val="00A777AC"/>
    <w:rsid w:val="00A819D6"/>
    <w:rsid w:val="00A8291D"/>
    <w:rsid w:val="00A84088"/>
    <w:rsid w:val="00A85704"/>
    <w:rsid w:val="00A862D6"/>
    <w:rsid w:val="00A86DA9"/>
    <w:rsid w:val="00A87516"/>
    <w:rsid w:val="00A92CBC"/>
    <w:rsid w:val="00A92D07"/>
    <w:rsid w:val="00A93555"/>
    <w:rsid w:val="00A94038"/>
    <w:rsid w:val="00A961DD"/>
    <w:rsid w:val="00A966E2"/>
    <w:rsid w:val="00AA5915"/>
    <w:rsid w:val="00AB0520"/>
    <w:rsid w:val="00AB131C"/>
    <w:rsid w:val="00AB1E48"/>
    <w:rsid w:val="00AB26E3"/>
    <w:rsid w:val="00AB4CD8"/>
    <w:rsid w:val="00AB4E46"/>
    <w:rsid w:val="00AB706A"/>
    <w:rsid w:val="00AB70A1"/>
    <w:rsid w:val="00AB7EE3"/>
    <w:rsid w:val="00AC2AF4"/>
    <w:rsid w:val="00AC31DB"/>
    <w:rsid w:val="00AC31EE"/>
    <w:rsid w:val="00AC3B2F"/>
    <w:rsid w:val="00AC51E6"/>
    <w:rsid w:val="00AC67E1"/>
    <w:rsid w:val="00AC6B7D"/>
    <w:rsid w:val="00AC72C5"/>
    <w:rsid w:val="00AD15EE"/>
    <w:rsid w:val="00AD1F4C"/>
    <w:rsid w:val="00AD2197"/>
    <w:rsid w:val="00AD5A54"/>
    <w:rsid w:val="00AD5A5A"/>
    <w:rsid w:val="00AD6DAB"/>
    <w:rsid w:val="00AD7400"/>
    <w:rsid w:val="00AD76E4"/>
    <w:rsid w:val="00AD7DB7"/>
    <w:rsid w:val="00AD7F08"/>
    <w:rsid w:val="00AE1243"/>
    <w:rsid w:val="00AE21C9"/>
    <w:rsid w:val="00AE2F87"/>
    <w:rsid w:val="00AE3883"/>
    <w:rsid w:val="00AE4658"/>
    <w:rsid w:val="00AE6A1E"/>
    <w:rsid w:val="00AE78A1"/>
    <w:rsid w:val="00AE7E6E"/>
    <w:rsid w:val="00AF2022"/>
    <w:rsid w:val="00AF2A61"/>
    <w:rsid w:val="00AF31FD"/>
    <w:rsid w:val="00AF44A5"/>
    <w:rsid w:val="00AF4E09"/>
    <w:rsid w:val="00AF50BC"/>
    <w:rsid w:val="00AF5476"/>
    <w:rsid w:val="00AF63D1"/>
    <w:rsid w:val="00AF68B4"/>
    <w:rsid w:val="00AF69AF"/>
    <w:rsid w:val="00B0141D"/>
    <w:rsid w:val="00B01E91"/>
    <w:rsid w:val="00B02FD7"/>
    <w:rsid w:val="00B0345C"/>
    <w:rsid w:val="00B04A22"/>
    <w:rsid w:val="00B07CAE"/>
    <w:rsid w:val="00B12569"/>
    <w:rsid w:val="00B126E3"/>
    <w:rsid w:val="00B12780"/>
    <w:rsid w:val="00B145AF"/>
    <w:rsid w:val="00B155D2"/>
    <w:rsid w:val="00B17E80"/>
    <w:rsid w:val="00B21689"/>
    <w:rsid w:val="00B22EB3"/>
    <w:rsid w:val="00B2306E"/>
    <w:rsid w:val="00B23FAE"/>
    <w:rsid w:val="00B25CEF"/>
    <w:rsid w:val="00B26CD2"/>
    <w:rsid w:val="00B26DE4"/>
    <w:rsid w:val="00B30FE2"/>
    <w:rsid w:val="00B31E7F"/>
    <w:rsid w:val="00B32D5B"/>
    <w:rsid w:val="00B33725"/>
    <w:rsid w:val="00B34A43"/>
    <w:rsid w:val="00B3565D"/>
    <w:rsid w:val="00B35B2C"/>
    <w:rsid w:val="00B360AE"/>
    <w:rsid w:val="00B37199"/>
    <w:rsid w:val="00B402D0"/>
    <w:rsid w:val="00B422F2"/>
    <w:rsid w:val="00B427F3"/>
    <w:rsid w:val="00B4516B"/>
    <w:rsid w:val="00B464A0"/>
    <w:rsid w:val="00B5091D"/>
    <w:rsid w:val="00B51346"/>
    <w:rsid w:val="00B52021"/>
    <w:rsid w:val="00B5521B"/>
    <w:rsid w:val="00B56570"/>
    <w:rsid w:val="00B5711A"/>
    <w:rsid w:val="00B579E2"/>
    <w:rsid w:val="00B603F0"/>
    <w:rsid w:val="00B61D29"/>
    <w:rsid w:val="00B64D9F"/>
    <w:rsid w:val="00B6512A"/>
    <w:rsid w:val="00B652BC"/>
    <w:rsid w:val="00B667CD"/>
    <w:rsid w:val="00B7021B"/>
    <w:rsid w:val="00B70AB3"/>
    <w:rsid w:val="00B73DE7"/>
    <w:rsid w:val="00B76F1D"/>
    <w:rsid w:val="00B80234"/>
    <w:rsid w:val="00B80CB1"/>
    <w:rsid w:val="00B80E5B"/>
    <w:rsid w:val="00B83CBC"/>
    <w:rsid w:val="00B84136"/>
    <w:rsid w:val="00B84193"/>
    <w:rsid w:val="00B87462"/>
    <w:rsid w:val="00B90555"/>
    <w:rsid w:val="00B91211"/>
    <w:rsid w:val="00B92E51"/>
    <w:rsid w:val="00B930E1"/>
    <w:rsid w:val="00B94A13"/>
    <w:rsid w:val="00BA20A8"/>
    <w:rsid w:val="00BA34B8"/>
    <w:rsid w:val="00BA4FF6"/>
    <w:rsid w:val="00BB2139"/>
    <w:rsid w:val="00BB43AB"/>
    <w:rsid w:val="00BB63A1"/>
    <w:rsid w:val="00BC0C13"/>
    <w:rsid w:val="00BC1678"/>
    <w:rsid w:val="00BC267E"/>
    <w:rsid w:val="00BC5A8F"/>
    <w:rsid w:val="00BC7224"/>
    <w:rsid w:val="00BC72AD"/>
    <w:rsid w:val="00BC77DB"/>
    <w:rsid w:val="00BD0E27"/>
    <w:rsid w:val="00BD1D84"/>
    <w:rsid w:val="00BD1E23"/>
    <w:rsid w:val="00BD213A"/>
    <w:rsid w:val="00BD2E53"/>
    <w:rsid w:val="00BD306E"/>
    <w:rsid w:val="00BD5D24"/>
    <w:rsid w:val="00BD6E32"/>
    <w:rsid w:val="00BD7B66"/>
    <w:rsid w:val="00BE2743"/>
    <w:rsid w:val="00BE31A0"/>
    <w:rsid w:val="00BE341D"/>
    <w:rsid w:val="00BE64F3"/>
    <w:rsid w:val="00BF1B47"/>
    <w:rsid w:val="00BF2A6B"/>
    <w:rsid w:val="00BF2C57"/>
    <w:rsid w:val="00BF377A"/>
    <w:rsid w:val="00BF58D9"/>
    <w:rsid w:val="00BF5923"/>
    <w:rsid w:val="00BF6001"/>
    <w:rsid w:val="00C00031"/>
    <w:rsid w:val="00C01B2E"/>
    <w:rsid w:val="00C02841"/>
    <w:rsid w:val="00C03115"/>
    <w:rsid w:val="00C036F5"/>
    <w:rsid w:val="00C039A6"/>
    <w:rsid w:val="00C039C2"/>
    <w:rsid w:val="00C03DDC"/>
    <w:rsid w:val="00C04C31"/>
    <w:rsid w:val="00C06B58"/>
    <w:rsid w:val="00C07412"/>
    <w:rsid w:val="00C11D6D"/>
    <w:rsid w:val="00C13B00"/>
    <w:rsid w:val="00C200B6"/>
    <w:rsid w:val="00C202CE"/>
    <w:rsid w:val="00C21FEF"/>
    <w:rsid w:val="00C220E6"/>
    <w:rsid w:val="00C23D1A"/>
    <w:rsid w:val="00C23EFB"/>
    <w:rsid w:val="00C23F1F"/>
    <w:rsid w:val="00C275D4"/>
    <w:rsid w:val="00C277BB"/>
    <w:rsid w:val="00C27B63"/>
    <w:rsid w:val="00C27EB8"/>
    <w:rsid w:val="00C3020B"/>
    <w:rsid w:val="00C30787"/>
    <w:rsid w:val="00C30C29"/>
    <w:rsid w:val="00C33DA8"/>
    <w:rsid w:val="00C34491"/>
    <w:rsid w:val="00C34615"/>
    <w:rsid w:val="00C354FC"/>
    <w:rsid w:val="00C36E9E"/>
    <w:rsid w:val="00C40676"/>
    <w:rsid w:val="00C43085"/>
    <w:rsid w:val="00C445C8"/>
    <w:rsid w:val="00C458FA"/>
    <w:rsid w:val="00C476C5"/>
    <w:rsid w:val="00C521D8"/>
    <w:rsid w:val="00C54D3B"/>
    <w:rsid w:val="00C564D3"/>
    <w:rsid w:val="00C61514"/>
    <w:rsid w:val="00C61709"/>
    <w:rsid w:val="00C655F1"/>
    <w:rsid w:val="00C66E15"/>
    <w:rsid w:val="00C706E3"/>
    <w:rsid w:val="00C7215D"/>
    <w:rsid w:val="00C81D44"/>
    <w:rsid w:val="00C82E6F"/>
    <w:rsid w:val="00C83021"/>
    <w:rsid w:val="00C83AC9"/>
    <w:rsid w:val="00C84E95"/>
    <w:rsid w:val="00C85CE5"/>
    <w:rsid w:val="00C909DC"/>
    <w:rsid w:val="00C91293"/>
    <w:rsid w:val="00C92759"/>
    <w:rsid w:val="00C92BF3"/>
    <w:rsid w:val="00C9317E"/>
    <w:rsid w:val="00C93782"/>
    <w:rsid w:val="00C93A82"/>
    <w:rsid w:val="00C940F5"/>
    <w:rsid w:val="00C9503D"/>
    <w:rsid w:val="00C957B2"/>
    <w:rsid w:val="00C95CE3"/>
    <w:rsid w:val="00C96A41"/>
    <w:rsid w:val="00C979C4"/>
    <w:rsid w:val="00CA10B1"/>
    <w:rsid w:val="00CA1841"/>
    <w:rsid w:val="00CA22FC"/>
    <w:rsid w:val="00CA251B"/>
    <w:rsid w:val="00CA2598"/>
    <w:rsid w:val="00CA3666"/>
    <w:rsid w:val="00CA3779"/>
    <w:rsid w:val="00CB047C"/>
    <w:rsid w:val="00CB4D7C"/>
    <w:rsid w:val="00CB53CE"/>
    <w:rsid w:val="00CB7265"/>
    <w:rsid w:val="00CB731A"/>
    <w:rsid w:val="00CC0328"/>
    <w:rsid w:val="00CC04B9"/>
    <w:rsid w:val="00CC0763"/>
    <w:rsid w:val="00CC11E7"/>
    <w:rsid w:val="00CC21CF"/>
    <w:rsid w:val="00CC23D3"/>
    <w:rsid w:val="00CC3BB1"/>
    <w:rsid w:val="00CC4C12"/>
    <w:rsid w:val="00CC5C9C"/>
    <w:rsid w:val="00CC6E5E"/>
    <w:rsid w:val="00CC7654"/>
    <w:rsid w:val="00CD1084"/>
    <w:rsid w:val="00CD201F"/>
    <w:rsid w:val="00CD300D"/>
    <w:rsid w:val="00CD39D4"/>
    <w:rsid w:val="00CD51D5"/>
    <w:rsid w:val="00CD667D"/>
    <w:rsid w:val="00CE030B"/>
    <w:rsid w:val="00CE1357"/>
    <w:rsid w:val="00CE2120"/>
    <w:rsid w:val="00CE3CD1"/>
    <w:rsid w:val="00CE44E8"/>
    <w:rsid w:val="00CE540D"/>
    <w:rsid w:val="00CE582C"/>
    <w:rsid w:val="00CE648A"/>
    <w:rsid w:val="00CE6B41"/>
    <w:rsid w:val="00CE7EDC"/>
    <w:rsid w:val="00CF1240"/>
    <w:rsid w:val="00CF4775"/>
    <w:rsid w:val="00CF4822"/>
    <w:rsid w:val="00CF57CE"/>
    <w:rsid w:val="00D0098E"/>
    <w:rsid w:val="00D021BC"/>
    <w:rsid w:val="00D029CC"/>
    <w:rsid w:val="00D0450B"/>
    <w:rsid w:val="00D04F9A"/>
    <w:rsid w:val="00D064EE"/>
    <w:rsid w:val="00D10AF7"/>
    <w:rsid w:val="00D1285A"/>
    <w:rsid w:val="00D13747"/>
    <w:rsid w:val="00D137AE"/>
    <w:rsid w:val="00D13A03"/>
    <w:rsid w:val="00D1477F"/>
    <w:rsid w:val="00D16F12"/>
    <w:rsid w:val="00D175A0"/>
    <w:rsid w:val="00D214E9"/>
    <w:rsid w:val="00D226AB"/>
    <w:rsid w:val="00D2521D"/>
    <w:rsid w:val="00D269B3"/>
    <w:rsid w:val="00D30A41"/>
    <w:rsid w:val="00D3271C"/>
    <w:rsid w:val="00D33DCD"/>
    <w:rsid w:val="00D34FEE"/>
    <w:rsid w:val="00D35B8D"/>
    <w:rsid w:val="00D35EDB"/>
    <w:rsid w:val="00D3755D"/>
    <w:rsid w:val="00D40EB8"/>
    <w:rsid w:val="00D443D4"/>
    <w:rsid w:val="00D44CD0"/>
    <w:rsid w:val="00D45494"/>
    <w:rsid w:val="00D4589D"/>
    <w:rsid w:val="00D46D4D"/>
    <w:rsid w:val="00D478EC"/>
    <w:rsid w:val="00D53FDA"/>
    <w:rsid w:val="00D55170"/>
    <w:rsid w:val="00D55BF1"/>
    <w:rsid w:val="00D56F19"/>
    <w:rsid w:val="00D60E87"/>
    <w:rsid w:val="00D61C4D"/>
    <w:rsid w:val="00D63B73"/>
    <w:rsid w:val="00D64C97"/>
    <w:rsid w:val="00D64E13"/>
    <w:rsid w:val="00D660D4"/>
    <w:rsid w:val="00D661A6"/>
    <w:rsid w:val="00D66E72"/>
    <w:rsid w:val="00D67F83"/>
    <w:rsid w:val="00D72F31"/>
    <w:rsid w:val="00D737FF"/>
    <w:rsid w:val="00D75123"/>
    <w:rsid w:val="00D768E4"/>
    <w:rsid w:val="00D76B98"/>
    <w:rsid w:val="00D778B6"/>
    <w:rsid w:val="00D8127F"/>
    <w:rsid w:val="00D8233C"/>
    <w:rsid w:val="00D82543"/>
    <w:rsid w:val="00D84B61"/>
    <w:rsid w:val="00D86E9F"/>
    <w:rsid w:val="00D928BC"/>
    <w:rsid w:val="00D950FF"/>
    <w:rsid w:val="00D95CA0"/>
    <w:rsid w:val="00D96AB1"/>
    <w:rsid w:val="00D976A3"/>
    <w:rsid w:val="00DA04D9"/>
    <w:rsid w:val="00DA0FEC"/>
    <w:rsid w:val="00DA2281"/>
    <w:rsid w:val="00DA2CFE"/>
    <w:rsid w:val="00DA4B76"/>
    <w:rsid w:val="00DA4C21"/>
    <w:rsid w:val="00DA57D9"/>
    <w:rsid w:val="00DB1570"/>
    <w:rsid w:val="00DB2079"/>
    <w:rsid w:val="00DB2B23"/>
    <w:rsid w:val="00DB4EF0"/>
    <w:rsid w:val="00DB54B1"/>
    <w:rsid w:val="00DB7714"/>
    <w:rsid w:val="00DB7C9B"/>
    <w:rsid w:val="00DB7DFE"/>
    <w:rsid w:val="00DC0855"/>
    <w:rsid w:val="00DC3750"/>
    <w:rsid w:val="00DC3B9F"/>
    <w:rsid w:val="00DC4A1A"/>
    <w:rsid w:val="00DC53E7"/>
    <w:rsid w:val="00DD1474"/>
    <w:rsid w:val="00DD152C"/>
    <w:rsid w:val="00DD2E14"/>
    <w:rsid w:val="00DD3A7E"/>
    <w:rsid w:val="00DD46ED"/>
    <w:rsid w:val="00DD534F"/>
    <w:rsid w:val="00DD7066"/>
    <w:rsid w:val="00DD7793"/>
    <w:rsid w:val="00DD779E"/>
    <w:rsid w:val="00DD78C4"/>
    <w:rsid w:val="00DE2003"/>
    <w:rsid w:val="00DE2C18"/>
    <w:rsid w:val="00DE6260"/>
    <w:rsid w:val="00DE6EE4"/>
    <w:rsid w:val="00DF0097"/>
    <w:rsid w:val="00DF10F8"/>
    <w:rsid w:val="00DF328F"/>
    <w:rsid w:val="00DF4AE2"/>
    <w:rsid w:val="00E00666"/>
    <w:rsid w:val="00E0068B"/>
    <w:rsid w:val="00E032EA"/>
    <w:rsid w:val="00E03B34"/>
    <w:rsid w:val="00E04591"/>
    <w:rsid w:val="00E05269"/>
    <w:rsid w:val="00E05A00"/>
    <w:rsid w:val="00E06ACE"/>
    <w:rsid w:val="00E108EF"/>
    <w:rsid w:val="00E12046"/>
    <w:rsid w:val="00E14A5A"/>
    <w:rsid w:val="00E14F25"/>
    <w:rsid w:val="00E16AAA"/>
    <w:rsid w:val="00E17018"/>
    <w:rsid w:val="00E22894"/>
    <w:rsid w:val="00E253EC"/>
    <w:rsid w:val="00E25ECE"/>
    <w:rsid w:val="00E25F57"/>
    <w:rsid w:val="00E32413"/>
    <w:rsid w:val="00E329DE"/>
    <w:rsid w:val="00E32DDC"/>
    <w:rsid w:val="00E33F2B"/>
    <w:rsid w:val="00E34277"/>
    <w:rsid w:val="00E3496C"/>
    <w:rsid w:val="00E36460"/>
    <w:rsid w:val="00E372C6"/>
    <w:rsid w:val="00E377A4"/>
    <w:rsid w:val="00E40DE0"/>
    <w:rsid w:val="00E42511"/>
    <w:rsid w:val="00E4293C"/>
    <w:rsid w:val="00E44761"/>
    <w:rsid w:val="00E44F96"/>
    <w:rsid w:val="00E478E4"/>
    <w:rsid w:val="00E512D4"/>
    <w:rsid w:val="00E526BD"/>
    <w:rsid w:val="00E529E7"/>
    <w:rsid w:val="00E52D9B"/>
    <w:rsid w:val="00E54578"/>
    <w:rsid w:val="00E56C11"/>
    <w:rsid w:val="00E57C3A"/>
    <w:rsid w:val="00E57E39"/>
    <w:rsid w:val="00E57EA2"/>
    <w:rsid w:val="00E57EAD"/>
    <w:rsid w:val="00E60379"/>
    <w:rsid w:val="00E60E9A"/>
    <w:rsid w:val="00E615EE"/>
    <w:rsid w:val="00E672BC"/>
    <w:rsid w:val="00E7133D"/>
    <w:rsid w:val="00E75409"/>
    <w:rsid w:val="00E75DDA"/>
    <w:rsid w:val="00E76C04"/>
    <w:rsid w:val="00E77925"/>
    <w:rsid w:val="00E810F9"/>
    <w:rsid w:val="00E84290"/>
    <w:rsid w:val="00E8777E"/>
    <w:rsid w:val="00E9027C"/>
    <w:rsid w:val="00E91C4C"/>
    <w:rsid w:val="00E9278F"/>
    <w:rsid w:val="00E92838"/>
    <w:rsid w:val="00E92B2F"/>
    <w:rsid w:val="00E92E54"/>
    <w:rsid w:val="00E93968"/>
    <w:rsid w:val="00E93B79"/>
    <w:rsid w:val="00E95718"/>
    <w:rsid w:val="00E97039"/>
    <w:rsid w:val="00EA02F5"/>
    <w:rsid w:val="00EA036B"/>
    <w:rsid w:val="00EA27C8"/>
    <w:rsid w:val="00EA2917"/>
    <w:rsid w:val="00EA4922"/>
    <w:rsid w:val="00EB214E"/>
    <w:rsid w:val="00EB2550"/>
    <w:rsid w:val="00EB3C13"/>
    <w:rsid w:val="00EB4547"/>
    <w:rsid w:val="00EB4757"/>
    <w:rsid w:val="00EB6013"/>
    <w:rsid w:val="00EB7DD5"/>
    <w:rsid w:val="00EC1BE4"/>
    <w:rsid w:val="00EC1C04"/>
    <w:rsid w:val="00EC1E3E"/>
    <w:rsid w:val="00EC2888"/>
    <w:rsid w:val="00EC2B11"/>
    <w:rsid w:val="00EC3BEF"/>
    <w:rsid w:val="00EC441D"/>
    <w:rsid w:val="00EC5A41"/>
    <w:rsid w:val="00EC5E5A"/>
    <w:rsid w:val="00EC6F07"/>
    <w:rsid w:val="00ED20B8"/>
    <w:rsid w:val="00ED66B5"/>
    <w:rsid w:val="00ED6AFF"/>
    <w:rsid w:val="00EE6BD9"/>
    <w:rsid w:val="00EE7B71"/>
    <w:rsid w:val="00EE7C07"/>
    <w:rsid w:val="00EF05F0"/>
    <w:rsid w:val="00EF5642"/>
    <w:rsid w:val="00EF5788"/>
    <w:rsid w:val="00F00E07"/>
    <w:rsid w:val="00F01B8F"/>
    <w:rsid w:val="00F043ED"/>
    <w:rsid w:val="00F0483D"/>
    <w:rsid w:val="00F05C6A"/>
    <w:rsid w:val="00F07365"/>
    <w:rsid w:val="00F10FCB"/>
    <w:rsid w:val="00F11464"/>
    <w:rsid w:val="00F1627E"/>
    <w:rsid w:val="00F17086"/>
    <w:rsid w:val="00F17A6B"/>
    <w:rsid w:val="00F2347F"/>
    <w:rsid w:val="00F23BD0"/>
    <w:rsid w:val="00F25002"/>
    <w:rsid w:val="00F250C6"/>
    <w:rsid w:val="00F2687B"/>
    <w:rsid w:val="00F27119"/>
    <w:rsid w:val="00F33ACA"/>
    <w:rsid w:val="00F355AC"/>
    <w:rsid w:val="00F3683E"/>
    <w:rsid w:val="00F42DD8"/>
    <w:rsid w:val="00F435E8"/>
    <w:rsid w:val="00F45834"/>
    <w:rsid w:val="00F45BE2"/>
    <w:rsid w:val="00F45BEF"/>
    <w:rsid w:val="00F50AD4"/>
    <w:rsid w:val="00F51F57"/>
    <w:rsid w:val="00F5246E"/>
    <w:rsid w:val="00F54063"/>
    <w:rsid w:val="00F547D3"/>
    <w:rsid w:val="00F5490B"/>
    <w:rsid w:val="00F54F55"/>
    <w:rsid w:val="00F562A3"/>
    <w:rsid w:val="00F600FA"/>
    <w:rsid w:val="00F60308"/>
    <w:rsid w:val="00F62FD0"/>
    <w:rsid w:val="00F633F1"/>
    <w:rsid w:val="00F646D2"/>
    <w:rsid w:val="00F6576B"/>
    <w:rsid w:val="00F66902"/>
    <w:rsid w:val="00F6717A"/>
    <w:rsid w:val="00F67EB4"/>
    <w:rsid w:val="00F70C5A"/>
    <w:rsid w:val="00F71D3E"/>
    <w:rsid w:val="00F73936"/>
    <w:rsid w:val="00F7428E"/>
    <w:rsid w:val="00F7703C"/>
    <w:rsid w:val="00F77DF2"/>
    <w:rsid w:val="00F80F40"/>
    <w:rsid w:val="00F8141B"/>
    <w:rsid w:val="00F826AC"/>
    <w:rsid w:val="00F82F0B"/>
    <w:rsid w:val="00F83848"/>
    <w:rsid w:val="00F83EB4"/>
    <w:rsid w:val="00F853C0"/>
    <w:rsid w:val="00F85511"/>
    <w:rsid w:val="00F85548"/>
    <w:rsid w:val="00F85580"/>
    <w:rsid w:val="00F91680"/>
    <w:rsid w:val="00F94103"/>
    <w:rsid w:val="00F95C11"/>
    <w:rsid w:val="00F97BF3"/>
    <w:rsid w:val="00FA13AE"/>
    <w:rsid w:val="00FA4710"/>
    <w:rsid w:val="00FA5860"/>
    <w:rsid w:val="00FA5DFD"/>
    <w:rsid w:val="00FA6B5B"/>
    <w:rsid w:val="00FB223E"/>
    <w:rsid w:val="00FB27F0"/>
    <w:rsid w:val="00FB3577"/>
    <w:rsid w:val="00FB3D17"/>
    <w:rsid w:val="00FB3DDD"/>
    <w:rsid w:val="00FB3E49"/>
    <w:rsid w:val="00FB6D0F"/>
    <w:rsid w:val="00FB6F61"/>
    <w:rsid w:val="00FB7095"/>
    <w:rsid w:val="00FB7E09"/>
    <w:rsid w:val="00FB7E2D"/>
    <w:rsid w:val="00FC06D4"/>
    <w:rsid w:val="00FC2181"/>
    <w:rsid w:val="00FC3E27"/>
    <w:rsid w:val="00FC6B4F"/>
    <w:rsid w:val="00FC7A9B"/>
    <w:rsid w:val="00FC7F97"/>
    <w:rsid w:val="00FD40BE"/>
    <w:rsid w:val="00FE042B"/>
    <w:rsid w:val="00FE06EE"/>
    <w:rsid w:val="00FE21E5"/>
    <w:rsid w:val="00FE31A1"/>
    <w:rsid w:val="00FE4087"/>
    <w:rsid w:val="00FE4C84"/>
    <w:rsid w:val="00FE5AF2"/>
    <w:rsid w:val="00FF00ED"/>
    <w:rsid w:val="00FF0592"/>
    <w:rsid w:val="00FF0D3B"/>
    <w:rsid w:val="00FF1162"/>
    <w:rsid w:val="00FF2FF5"/>
    <w:rsid w:val="5B4D1A7E"/>
    <w:rsid w:val="69753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1"/>
    <w:semiHidden/>
    <w:qFormat/>
    <w:uiPriority w:val="0"/>
    <w:pPr>
      <w:snapToGrid w:val="0"/>
      <w:jc w:val="left"/>
    </w:pPr>
    <w:rPr>
      <w:sz w:val="18"/>
      <w:szCs w:val="18"/>
    </w:rPr>
  </w:style>
  <w:style w:type="character" w:styleId="7">
    <w:name w:val="page number"/>
    <w:basedOn w:val="6"/>
    <w:uiPriority w:val="0"/>
  </w:style>
  <w:style w:type="character" w:styleId="8">
    <w:name w:val="footnote reference"/>
    <w:basedOn w:val="6"/>
    <w:semiHidden/>
    <w:qFormat/>
    <w:uiPriority w:val="0"/>
    <w:rPr>
      <w:vertAlign w:val="superscript"/>
    </w:rPr>
  </w:style>
  <w:style w:type="character" w:customStyle="1" w:styleId="9">
    <w:name w:val="页脚 Char"/>
    <w:basedOn w:val="6"/>
    <w:link w:val="2"/>
    <w:qFormat/>
    <w:uiPriority w:val="99"/>
    <w:rPr>
      <w:rFonts w:ascii="Times New Roman" w:hAnsi="Times New Roman" w:eastAsia="宋体" w:cs="Times New Roman"/>
      <w:sz w:val="18"/>
      <w:szCs w:val="18"/>
    </w:rPr>
  </w:style>
  <w:style w:type="character" w:customStyle="1" w:styleId="10">
    <w:name w:val="页眉 Char"/>
    <w:basedOn w:val="6"/>
    <w:link w:val="3"/>
    <w:qFormat/>
    <w:uiPriority w:val="99"/>
    <w:rPr>
      <w:rFonts w:ascii="Times New Roman" w:hAnsi="Times New Roman" w:eastAsia="宋体" w:cs="Times New Roman"/>
      <w:sz w:val="18"/>
      <w:szCs w:val="18"/>
    </w:rPr>
  </w:style>
  <w:style w:type="character" w:customStyle="1" w:styleId="11">
    <w:name w:val="脚注文本 Char"/>
    <w:basedOn w:val="6"/>
    <w:link w:val="4"/>
    <w:semiHidden/>
    <w:qFormat/>
    <w:uiPriority w:val="0"/>
    <w:rPr>
      <w:rFonts w:ascii="Times New Roman" w:hAnsi="Times New Roman" w:eastAsia="宋体" w:cs="Times New Roman"/>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theme/theme1.xml" Type="http://schemas.openxmlformats.org/officeDocument/2006/relationships/theme"/><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header3.xml" Type="http://schemas.openxmlformats.org/officeDocument/2006/relationships/header"/><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www.deepin.net.cn</Company>
  <Pages>9</Pages>
  <Words>3722</Words>
  <Characters>3833</Characters>
  <Lines>29</Lines>
  <Paragraphs>8</Paragraphs>
  <TotalTime>15</TotalTime>
  <ScaleCrop>false</ScaleCrop>
  <LinksUpToDate>false</LinksUpToDate>
  <CharactersWithSpaces>3890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2019-05-28T09:15:00Z</dcterms:created>
  <dc:creator>深度技术论坛</dc:creator>
  <cp:lastModifiedBy>Administrator</cp:lastModifiedBy>
  <dcterms:modified xsi:type="dcterms:W3CDTF">2023-10-10T08:26:09Z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7CF435F9DDA346A6A6D950E86A031AE7</vt:lpwstr>
  </property>
</Properties>
</file>