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u w:val="none"/>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u w:val="none"/>
          <w:shd w:val="clear" w:fill="FFFFFF"/>
          <w:lang w:val="en-US" w:eastAsia="zh-CN"/>
        </w:rPr>
        <w:t>平乡县卫生健康局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u w:val="none"/>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u w:val="none"/>
          <w:shd w:val="clear" w:fill="FFFFFF"/>
          <w:lang w:val="en-US" w:eastAsia="zh-CN"/>
        </w:rPr>
        <w:t>2023年度政府信息公开工作报告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黑体" w:hAnsi="宋体" w:eastAsia="黑体" w:cs="黑体"/>
          <w:i w:val="0"/>
          <w:iCs w:val="0"/>
          <w:caps w:val="0"/>
          <w:color w:val="000000"/>
          <w:spacing w:val="0"/>
          <w:sz w:val="27"/>
          <w:szCs w:val="27"/>
          <w:u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ascii="微软雅黑" w:hAnsi="微软雅黑" w:eastAsia="微软雅黑" w:cs="微软雅黑"/>
          <w:i w:val="0"/>
          <w:iCs w:val="0"/>
          <w:caps w:val="0"/>
          <w:color w:val="000000"/>
          <w:spacing w:val="0"/>
          <w:sz w:val="32"/>
          <w:szCs w:val="32"/>
          <w:u w:val="none"/>
        </w:rPr>
      </w:pPr>
      <w:r>
        <w:rPr>
          <w:rFonts w:ascii="黑体" w:hAnsi="宋体" w:eastAsia="黑体" w:cs="黑体"/>
          <w:b w:val="0"/>
          <w:bCs w:val="0"/>
          <w:i w:val="0"/>
          <w:iCs w:val="0"/>
          <w:caps w:val="0"/>
          <w:color w:val="000000"/>
          <w:spacing w:val="0"/>
          <w:sz w:val="32"/>
          <w:szCs w:val="32"/>
          <w:u w:val="none"/>
          <w:shd w:val="clear" w:fill="FFFFFF"/>
        </w:rPr>
        <w:t>一、总</w:t>
      </w:r>
      <w:r>
        <w:rPr>
          <w:rFonts w:ascii="黑体" w:hAnsi="宋体" w:eastAsia="黑体" w:cs="黑体"/>
          <w:i w:val="0"/>
          <w:iCs w:val="0"/>
          <w:caps w:val="0"/>
          <w:color w:val="000000"/>
          <w:spacing w:val="0"/>
          <w:sz w:val="32"/>
          <w:szCs w:val="32"/>
          <w:u w:val="none"/>
          <w:shd w:val="clear" w:fill="FFFFFF"/>
        </w:rPr>
        <w:t>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根据《中华人民共和国政府信息公开条例》《河北省实施&lt;中华人民共和国政府信息公开条例&gt;办法》等规定，发布</w:t>
      </w:r>
      <w:bookmarkStart w:id="0" w:name="_GoBack"/>
      <w:bookmarkEnd w:id="0"/>
      <w:r>
        <w:rPr>
          <w:rFonts w:hint="eastAsia" w:ascii="仿宋_GB2312" w:hAnsi="仿宋_GB2312" w:eastAsia="仿宋_GB2312" w:cs="仿宋_GB2312"/>
          <w:i w:val="0"/>
          <w:iCs w:val="0"/>
          <w:caps w:val="0"/>
          <w:color w:val="000000"/>
          <w:spacing w:val="0"/>
          <w:sz w:val="32"/>
          <w:szCs w:val="32"/>
          <w:u w:val="none"/>
          <w:shd w:val="clear" w:fill="FFFFFF"/>
          <w:lang w:val="en-US" w:eastAsia="zh-CN"/>
        </w:rPr>
        <w:t>本年度报告。报告中所列数据统计期限为2023年1月1日至12月31日。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楷体_GB2312" w:hAnsi="楷体_GB2312" w:eastAsia="楷体_GB2312" w:cs="楷体_GB2312"/>
          <w:i w:val="0"/>
          <w:iCs w:val="0"/>
          <w:caps w:val="0"/>
          <w:color w:val="000000"/>
          <w:spacing w:val="0"/>
          <w:sz w:val="32"/>
          <w:szCs w:val="32"/>
          <w:u w:val="none"/>
        </w:rPr>
      </w:pPr>
      <w:r>
        <w:rPr>
          <w:rFonts w:hint="eastAsia" w:ascii="楷体_GB2312" w:hAnsi="楷体_GB2312" w:eastAsia="楷体_GB2312" w:cs="楷体_GB2312"/>
          <w:i w:val="0"/>
          <w:iCs w:val="0"/>
          <w:caps w:val="0"/>
          <w:color w:val="000000"/>
          <w:spacing w:val="0"/>
          <w:sz w:val="32"/>
          <w:szCs w:val="32"/>
          <w:u w:val="none"/>
          <w:shd w:val="clear" w:fill="FFFFFF"/>
        </w:rPr>
        <w:t>（一）主动公开情况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Style w:val="6"/>
          <w:rFonts w:hint="eastAsia" w:ascii="仿宋_GB2312" w:hAnsi="仿宋_GB2312" w:eastAsia="仿宋_GB2312" w:cs="仿宋_GB2312"/>
          <w:i w:val="0"/>
          <w:iCs w:val="0"/>
          <w:caps w:val="0"/>
          <w:color w:val="000000"/>
          <w:spacing w:val="0"/>
          <w:sz w:val="32"/>
          <w:szCs w:val="32"/>
          <w:u w:val="none"/>
          <w:shd w:val="clear" w:fill="FFFFFF"/>
        </w:rPr>
        <w:t>1.公开数量。</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2023年，县卫健局通过政府网站政务公开平台公开信息数81条。（法定主动公开内容81条，其中：公告公示类信息13条，工作部署类信息28条，行政执法公示类信息37条，预算/决算信息2条，行政权力清单1条）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 w:hAnsi="仿宋" w:eastAsia="仿宋" w:cs="仿宋"/>
          <w:i w:val="0"/>
          <w:iCs w:val="0"/>
          <w:caps w:val="0"/>
          <w:color w:val="000000"/>
          <w:spacing w:val="0"/>
          <w:sz w:val="32"/>
          <w:szCs w:val="32"/>
          <w:u w:val="none"/>
          <w:shd w:val="clear" w:fill="FFFFFF"/>
        </w:rPr>
      </w:pPr>
      <w:r>
        <w:rPr>
          <w:rStyle w:val="6"/>
          <w:rFonts w:hint="eastAsia" w:ascii="仿宋_GB2312" w:hAnsi="仿宋_GB2312" w:eastAsia="仿宋_GB2312" w:cs="仿宋_GB2312"/>
          <w:i w:val="0"/>
          <w:iCs w:val="0"/>
          <w:caps w:val="0"/>
          <w:color w:val="000000"/>
          <w:spacing w:val="0"/>
          <w:sz w:val="32"/>
          <w:szCs w:val="32"/>
          <w:u w:val="none"/>
          <w:shd w:val="clear" w:fill="FFFFFF"/>
        </w:rPr>
        <w:t>2.主要类别。</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本年度</w:t>
      </w:r>
      <w:r>
        <w:rPr>
          <w:rFonts w:hint="eastAsia" w:ascii="仿宋_GB2312" w:hAnsi="仿宋_GB2312" w:eastAsia="仿宋_GB2312" w:cs="仿宋_GB2312"/>
          <w:i w:val="0"/>
          <w:iCs w:val="0"/>
          <w:caps w:val="0"/>
          <w:color w:val="000000"/>
          <w:spacing w:val="0"/>
          <w:sz w:val="32"/>
          <w:szCs w:val="32"/>
          <w:u w:val="none"/>
          <w:shd w:val="clear" w:fill="FFFFFF"/>
        </w:rPr>
        <w:t>主动公开的信息</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主要为</w:t>
      </w:r>
      <w:r>
        <w:rPr>
          <w:rFonts w:hint="eastAsia" w:ascii="仿宋_GB2312" w:hAnsi="仿宋_GB2312" w:eastAsia="仿宋_GB2312" w:cs="仿宋_GB2312"/>
          <w:i w:val="0"/>
          <w:iCs w:val="0"/>
          <w:caps w:val="0"/>
          <w:color w:val="000000"/>
          <w:spacing w:val="0"/>
          <w:sz w:val="32"/>
          <w:szCs w:val="32"/>
          <w:u w:val="none"/>
          <w:shd w:val="clear" w:fill="FFFFFF"/>
        </w:rPr>
        <w:t>公告公示、</w:t>
      </w:r>
      <w:r>
        <w:rPr>
          <w:rFonts w:hint="eastAsia" w:ascii="仿宋_GB2312" w:hAnsi="仿宋_GB2312" w:eastAsia="仿宋_GB2312" w:cs="仿宋_GB2312"/>
          <w:i w:val="0"/>
          <w:iCs w:val="0"/>
          <w:caps w:val="0"/>
          <w:color w:val="000000"/>
          <w:spacing w:val="0"/>
          <w:sz w:val="32"/>
          <w:szCs w:val="32"/>
          <w:u w:val="none"/>
          <w:shd w:val="clear" w:fill="FFFFFF"/>
          <w:lang w:eastAsia="zh-CN"/>
        </w:rPr>
        <w:t>工作部署、</w:t>
      </w:r>
      <w:r>
        <w:rPr>
          <w:rFonts w:hint="eastAsia" w:ascii="仿宋_GB2312" w:hAnsi="仿宋_GB2312" w:eastAsia="仿宋_GB2312" w:cs="仿宋_GB2312"/>
          <w:i w:val="0"/>
          <w:iCs w:val="0"/>
          <w:caps w:val="0"/>
          <w:color w:val="000000"/>
          <w:spacing w:val="0"/>
          <w:sz w:val="32"/>
          <w:szCs w:val="32"/>
          <w:u w:val="none"/>
          <w:shd w:val="clear" w:fill="FFFFFF"/>
        </w:rPr>
        <w:t>行政执法公示、预算/决算</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行政权力清单五</w:t>
      </w:r>
      <w:r>
        <w:rPr>
          <w:rFonts w:hint="eastAsia" w:ascii="仿宋_GB2312" w:hAnsi="仿宋_GB2312" w:eastAsia="仿宋_GB2312" w:cs="仿宋_GB2312"/>
          <w:i w:val="0"/>
          <w:iCs w:val="0"/>
          <w:caps w:val="0"/>
          <w:color w:val="000000"/>
          <w:spacing w:val="0"/>
          <w:sz w:val="32"/>
          <w:szCs w:val="32"/>
          <w:u w:val="none"/>
          <w:shd w:val="clear" w:fill="FFFFFF"/>
        </w:rPr>
        <w:t>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Style w:val="6"/>
          <w:rFonts w:hint="eastAsia" w:ascii="仿宋_GB2312" w:hAnsi="仿宋_GB2312" w:eastAsia="仿宋_GB2312" w:cs="仿宋_GB2312"/>
          <w:i w:val="0"/>
          <w:iCs w:val="0"/>
          <w:caps w:val="0"/>
          <w:color w:val="000000"/>
          <w:spacing w:val="0"/>
          <w:sz w:val="32"/>
          <w:szCs w:val="32"/>
          <w:u w:val="none"/>
          <w:shd w:val="clear" w:fill="FFFFFF"/>
        </w:rPr>
        <w:t>3.公开形式。</w:t>
      </w:r>
      <w:r>
        <w:rPr>
          <w:rFonts w:hint="eastAsia" w:ascii="仿宋_GB2312" w:hAnsi="仿宋_GB2312" w:eastAsia="仿宋_GB2312" w:cs="仿宋_GB2312"/>
          <w:i w:val="0"/>
          <w:iCs w:val="0"/>
          <w:caps w:val="0"/>
          <w:color w:val="000000"/>
          <w:spacing w:val="0"/>
          <w:sz w:val="32"/>
          <w:szCs w:val="32"/>
          <w:u w:val="none"/>
          <w:shd w:val="clear" w:fill="FFFFFF"/>
        </w:rPr>
        <w:t>通过平乡县卫生健康信息网公众号、平乡县人民政府网站政务公开平台等新闻网络媒体，充分利用新媒体的互动功能，为公众提供权威信息。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楷体_GB2312" w:hAnsi="楷体_GB2312" w:eastAsia="楷体_GB2312" w:cs="楷体_GB2312"/>
          <w:i w:val="0"/>
          <w:iCs w:val="0"/>
          <w:caps w:val="0"/>
          <w:color w:val="000000"/>
          <w:spacing w:val="0"/>
          <w:sz w:val="32"/>
          <w:szCs w:val="32"/>
          <w:u w:val="none"/>
          <w:shd w:val="clear" w:fill="FFFFFF"/>
        </w:rPr>
      </w:pPr>
      <w:r>
        <w:rPr>
          <w:rFonts w:hint="eastAsia" w:ascii="楷体_GB2312" w:hAnsi="楷体_GB2312" w:eastAsia="楷体_GB2312" w:cs="楷体_GB2312"/>
          <w:i w:val="0"/>
          <w:iCs w:val="0"/>
          <w:caps w:val="0"/>
          <w:color w:val="000000"/>
          <w:spacing w:val="0"/>
          <w:sz w:val="32"/>
          <w:szCs w:val="32"/>
          <w:u w:val="none"/>
          <w:shd w:val="clear" w:fill="FFFFFF"/>
        </w:rPr>
        <w:t>（二）依申请公开情况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202</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u w:val="none"/>
          <w:shd w:val="clear" w:fill="FFFFFF"/>
        </w:rPr>
        <w:t>年，县卫健局</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未</w:t>
      </w:r>
      <w:r>
        <w:rPr>
          <w:rFonts w:hint="eastAsia" w:ascii="仿宋_GB2312" w:hAnsi="仿宋_GB2312" w:eastAsia="仿宋_GB2312" w:cs="仿宋_GB2312"/>
          <w:i w:val="0"/>
          <w:iCs w:val="0"/>
          <w:caps w:val="0"/>
          <w:color w:val="000000"/>
          <w:spacing w:val="0"/>
          <w:sz w:val="32"/>
          <w:szCs w:val="32"/>
          <w:u w:val="none"/>
          <w:shd w:val="clear" w:fill="FFFFFF"/>
        </w:rPr>
        <w:t>收到个人和组织递交的《信息公开申请表》。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楷体_GB2312" w:hAnsi="楷体_GB2312" w:eastAsia="楷体_GB2312" w:cs="楷体_GB2312"/>
          <w:i w:val="0"/>
          <w:iCs w:val="0"/>
          <w:caps w:val="0"/>
          <w:color w:val="000000"/>
          <w:spacing w:val="0"/>
          <w:sz w:val="32"/>
          <w:szCs w:val="32"/>
          <w:u w:val="none"/>
          <w:shd w:val="clear" w:fill="FFFFFF"/>
        </w:rPr>
      </w:pPr>
      <w:r>
        <w:rPr>
          <w:rFonts w:hint="eastAsia" w:ascii="楷体_GB2312" w:hAnsi="楷体_GB2312" w:eastAsia="楷体_GB2312" w:cs="楷体_GB2312"/>
          <w:i w:val="0"/>
          <w:iCs w:val="0"/>
          <w:caps w:val="0"/>
          <w:color w:val="000000"/>
          <w:spacing w:val="0"/>
          <w:sz w:val="32"/>
          <w:szCs w:val="32"/>
          <w:u w:val="none"/>
          <w:shd w:val="clear" w:fill="FFFFFF"/>
        </w:rPr>
        <w:t>（三）政府信息</w:t>
      </w:r>
      <w:r>
        <w:rPr>
          <w:rFonts w:hint="eastAsia" w:ascii="楷体_GB2312" w:hAnsi="楷体_GB2312" w:eastAsia="楷体_GB2312" w:cs="楷体_GB2312"/>
          <w:i w:val="0"/>
          <w:iCs w:val="0"/>
          <w:caps w:val="0"/>
          <w:color w:val="000000"/>
          <w:spacing w:val="0"/>
          <w:sz w:val="32"/>
          <w:szCs w:val="32"/>
          <w:u w:val="none"/>
          <w:shd w:val="clear" w:fill="FFFFFF"/>
          <w:lang w:val="en-US" w:eastAsia="zh-CN"/>
        </w:rPr>
        <w:t>管理</w:t>
      </w:r>
      <w:r>
        <w:rPr>
          <w:rFonts w:hint="eastAsia" w:ascii="楷体_GB2312" w:hAnsi="楷体_GB2312" w:eastAsia="楷体_GB2312" w:cs="楷体_GB2312"/>
          <w:i w:val="0"/>
          <w:iCs w:val="0"/>
          <w:caps w:val="0"/>
          <w:color w:val="000000"/>
          <w:spacing w:val="0"/>
          <w:sz w:val="32"/>
          <w:szCs w:val="32"/>
          <w:u w:val="none"/>
          <w:shd w:val="clear" w:fill="FFFFFF"/>
        </w:rPr>
        <w:t>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据县委、县政府文件</w:t>
      </w:r>
      <w:r>
        <w:rPr>
          <w:rFonts w:hint="eastAsia" w:ascii="仿宋_GB2312" w:hAnsi="仿宋_GB2312" w:eastAsia="仿宋_GB2312" w:cs="仿宋_GB2312"/>
          <w:i w:val="0"/>
          <w:iCs w:val="0"/>
          <w:caps w:val="0"/>
          <w:color w:val="000000"/>
          <w:spacing w:val="0"/>
          <w:sz w:val="32"/>
          <w:szCs w:val="32"/>
          <w:u w:val="none"/>
          <w:shd w:val="clear" w:fill="FFFFFF"/>
        </w:rPr>
        <w:t>要求，</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县卫健局</w:t>
      </w:r>
      <w:r>
        <w:rPr>
          <w:rFonts w:hint="eastAsia" w:ascii="仿宋_GB2312" w:hAnsi="仿宋_GB2312" w:eastAsia="仿宋_GB2312" w:cs="仿宋_GB2312"/>
          <w:i w:val="0"/>
          <w:iCs w:val="0"/>
          <w:caps w:val="0"/>
          <w:color w:val="000000"/>
          <w:spacing w:val="0"/>
          <w:sz w:val="32"/>
          <w:szCs w:val="32"/>
          <w:u w:val="none"/>
          <w:shd w:val="clear" w:fill="FFFFFF"/>
        </w:rPr>
        <w:t>严格</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政府</w:t>
      </w:r>
      <w:r>
        <w:rPr>
          <w:rFonts w:hint="eastAsia" w:ascii="仿宋_GB2312" w:hAnsi="仿宋_GB2312" w:eastAsia="仿宋_GB2312" w:cs="仿宋_GB2312"/>
          <w:i w:val="0"/>
          <w:iCs w:val="0"/>
          <w:caps w:val="0"/>
          <w:color w:val="000000"/>
          <w:spacing w:val="0"/>
          <w:sz w:val="32"/>
          <w:szCs w:val="32"/>
          <w:u w:val="none"/>
          <w:shd w:val="clear" w:fill="FFFFFF"/>
        </w:rPr>
        <w:t>信息发布审核流程，</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对需进行公开的信息须经规定人员审阅后，提交县政府相关科室进行公开，无私自公开、需公开未公开等问题。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楷体_GB2312" w:hAnsi="楷体_GB2312" w:eastAsia="楷体_GB2312" w:cs="楷体_GB2312"/>
          <w:i w:val="0"/>
          <w:iCs w:val="0"/>
          <w:caps w:val="0"/>
          <w:color w:val="000000"/>
          <w:spacing w:val="0"/>
          <w:sz w:val="32"/>
          <w:szCs w:val="32"/>
          <w:u w:val="none"/>
          <w:shd w:val="clear" w:fill="FFFFFF"/>
          <w:lang w:val="en-US" w:eastAsia="zh-CN"/>
        </w:rPr>
      </w:pPr>
      <w:r>
        <w:rPr>
          <w:rFonts w:hint="eastAsia" w:ascii="楷体_GB2312" w:hAnsi="楷体_GB2312" w:eastAsia="楷体_GB2312" w:cs="楷体_GB2312"/>
          <w:i w:val="0"/>
          <w:iCs w:val="0"/>
          <w:caps w:val="0"/>
          <w:color w:val="000000"/>
          <w:spacing w:val="0"/>
          <w:sz w:val="32"/>
          <w:szCs w:val="32"/>
          <w:u w:val="none"/>
          <w:shd w:val="clear" w:fill="FFFFFF"/>
          <w:lang w:val="en-US" w:eastAsia="zh-CN"/>
        </w:rPr>
        <w:t>（四）门户网站、政府信息公开平台建设情况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县卫健局通过政府网站、微信公众号进行政府信息传播，无门户网站。经局内人事变动及其他事况，县卫健局官方微信公众号交由相关业务科室负责，用以防止信息发布错误等违规行为。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default" w:ascii="楷体_GB2312" w:hAnsi="楷体_GB2312" w:eastAsia="楷体_GB2312" w:cs="楷体_GB2312"/>
          <w:i w:val="0"/>
          <w:iCs w:val="0"/>
          <w:caps w:val="0"/>
          <w:color w:val="000000"/>
          <w:spacing w:val="0"/>
          <w:sz w:val="32"/>
          <w:szCs w:val="32"/>
          <w:u w:val="none"/>
          <w:shd w:val="clear" w:fill="FFFFFF"/>
          <w:lang w:val="en-US" w:eastAsia="zh-CN"/>
        </w:rPr>
      </w:pPr>
      <w:r>
        <w:rPr>
          <w:rFonts w:hint="eastAsia" w:ascii="楷体_GB2312" w:hAnsi="楷体_GB2312" w:eastAsia="楷体_GB2312" w:cs="楷体_GB2312"/>
          <w:i w:val="0"/>
          <w:iCs w:val="0"/>
          <w:caps w:val="0"/>
          <w:color w:val="000000"/>
          <w:spacing w:val="0"/>
          <w:sz w:val="32"/>
          <w:szCs w:val="32"/>
          <w:u w:val="none"/>
          <w:shd w:val="clear" w:fill="FFFFFF"/>
          <w:lang w:val="en-US" w:eastAsia="zh-CN"/>
        </w:rPr>
        <w:t>（五）监督保障情况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县卫健局已建立监督保障机制，对政府信息公开工作进行常态化监督检查。同时，我们自觉接受群众监督、政务公开主管机关和专业第三方评估机构监督以及纪检监察机关的监督，以提升我们的行政效能。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微软雅黑" w:hAnsi="微软雅黑" w:eastAsia="微软雅黑" w:cs="微软雅黑"/>
          <w:i w:val="0"/>
          <w:iCs w:val="0"/>
          <w:caps w:val="0"/>
          <w:color w:val="000000"/>
          <w:spacing w:val="0"/>
          <w:sz w:val="32"/>
          <w:szCs w:val="32"/>
          <w:u w:val="none"/>
        </w:rPr>
      </w:pPr>
      <w:r>
        <w:rPr>
          <w:rFonts w:hint="eastAsia" w:ascii="黑体" w:hAnsi="宋体" w:eastAsia="黑体" w:cs="黑体"/>
          <w:i w:val="0"/>
          <w:iCs w:val="0"/>
          <w:caps w:val="0"/>
          <w:color w:val="000000"/>
          <w:spacing w:val="0"/>
          <w:sz w:val="32"/>
          <w:szCs w:val="32"/>
          <w:u w:val="none"/>
          <w:shd w:val="clear" w:fill="FFFFFF"/>
        </w:rPr>
        <w:t>二、主动公开政府信息情况</w:t>
      </w:r>
    </w:p>
    <w:tbl>
      <w:tblPr>
        <w:tblStyle w:val="4"/>
        <w:tblW w:w="10200" w:type="dxa"/>
        <w:jc w:val="center"/>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873"/>
        <w:gridCol w:w="2151"/>
        <w:gridCol w:w="2058"/>
        <w:gridCol w:w="3118"/>
      </w:tblGrid>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9960" w:type="dxa"/>
            <w:gridSpan w:val="4"/>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第二十条第（一）项</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信息内容</w:t>
            </w:r>
          </w:p>
        </w:tc>
        <w:tc>
          <w:tcPr>
            <w:tcW w:w="21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本年制发件数</w:t>
            </w:r>
          </w:p>
        </w:tc>
        <w:tc>
          <w:tcPr>
            <w:tcW w:w="201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本年废止件数</w:t>
            </w:r>
          </w:p>
        </w:tc>
        <w:tc>
          <w:tcPr>
            <w:tcW w:w="24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现行有效件数</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规章</w:t>
            </w:r>
          </w:p>
        </w:tc>
        <w:tc>
          <w:tcPr>
            <w:tcW w:w="21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仿宋" w:hAnsi="仿宋" w:eastAsia="仿宋" w:cs="仿宋"/>
                <w:i w:val="0"/>
                <w:iCs w:val="0"/>
                <w:caps w:val="0"/>
                <w:color w:val="000000"/>
                <w:spacing w:val="0"/>
                <w:sz w:val="27"/>
                <w:szCs w:val="27"/>
                <w:u w:val="none"/>
                <w:lang w:val="en-US" w:eastAsia="zh-CN"/>
              </w:rPr>
            </w:pPr>
            <w:r>
              <w:rPr>
                <w:rFonts w:hint="default" w:ascii="仿宋" w:hAnsi="仿宋" w:eastAsia="仿宋" w:cs="仿宋"/>
                <w:i w:val="0"/>
                <w:iCs w:val="0"/>
                <w:caps w:val="0"/>
                <w:color w:val="000000"/>
                <w:spacing w:val="0"/>
                <w:sz w:val="27"/>
                <w:szCs w:val="27"/>
                <w:u w:val="none"/>
                <w:lang w:val="en-US" w:eastAsia="zh-CN"/>
              </w:rPr>
              <w:t>0</w:t>
            </w:r>
          </w:p>
        </w:tc>
        <w:tc>
          <w:tcPr>
            <w:tcW w:w="201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spacing w:val="0"/>
                <w:sz w:val="27"/>
                <w:szCs w:val="27"/>
                <w:u w:val="none"/>
                <w:lang w:val="en-US" w:eastAsia="zh-CN"/>
              </w:rPr>
            </w:pPr>
            <w:r>
              <w:rPr>
                <w:rFonts w:hint="default" w:ascii="仿宋" w:hAnsi="仿宋" w:eastAsia="仿宋" w:cs="仿宋"/>
                <w:i w:val="0"/>
                <w:iCs w:val="0"/>
                <w:caps w:val="0"/>
                <w:color w:val="000000"/>
                <w:spacing w:val="0"/>
                <w:sz w:val="27"/>
                <w:szCs w:val="27"/>
                <w:u w:val="none"/>
                <w:lang w:val="en-US" w:eastAsia="zh-CN"/>
              </w:rPr>
              <w:t>0</w:t>
            </w:r>
          </w:p>
        </w:tc>
        <w:tc>
          <w:tcPr>
            <w:tcW w:w="24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spacing w:val="0"/>
                <w:sz w:val="27"/>
                <w:szCs w:val="27"/>
                <w:u w:val="none"/>
                <w:lang w:val="en-US" w:eastAsia="zh-CN"/>
              </w:rPr>
            </w:pPr>
            <w:r>
              <w:rPr>
                <w:rFonts w:hint="default" w:ascii="仿宋" w:hAnsi="仿宋" w:eastAsia="仿宋" w:cs="仿宋"/>
                <w:i w:val="0"/>
                <w:iCs w:val="0"/>
                <w:caps w:val="0"/>
                <w:color w:val="000000"/>
                <w:spacing w:val="0"/>
                <w:sz w:val="27"/>
                <w:szCs w:val="27"/>
                <w:u w:val="none"/>
                <w:lang w:val="en-US" w:eastAsia="zh-CN"/>
              </w:rPr>
              <w:t>0</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行政规范性文件</w:t>
            </w:r>
          </w:p>
        </w:tc>
        <w:tc>
          <w:tcPr>
            <w:tcW w:w="21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spacing w:val="0"/>
                <w:sz w:val="27"/>
                <w:szCs w:val="27"/>
                <w:u w:val="none"/>
                <w:lang w:val="en-US" w:eastAsia="zh-CN"/>
              </w:rPr>
            </w:pPr>
            <w:r>
              <w:rPr>
                <w:rFonts w:hint="default" w:ascii="仿宋" w:hAnsi="仿宋" w:eastAsia="仿宋" w:cs="仿宋"/>
                <w:i w:val="0"/>
                <w:iCs w:val="0"/>
                <w:caps w:val="0"/>
                <w:color w:val="000000"/>
                <w:spacing w:val="0"/>
                <w:sz w:val="27"/>
                <w:szCs w:val="27"/>
                <w:u w:val="none"/>
                <w:lang w:val="en-US" w:eastAsia="zh-CN"/>
              </w:rPr>
              <w:t>0</w:t>
            </w:r>
          </w:p>
        </w:tc>
        <w:tc>
          <w:tcPr>
            <w:tcW w:w="201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spacing w:val="0"/>
                <w:sz w:val="27"/>
                <w:szCs w:val="27"/>
                <w:u w:val="none"/>
                <w:lang w:val="en-US" w:eastAsia="zh-CN"/>
              </w:rPr>
            </w:pPr>
            <w:r>
              <w:rPr>
                <w:rFonts w:hint="default" w:ascii="仿宋" w:hAnsi="仿宋" w:eastAsia="仿宋" w:cs="仿宋"/>
                <w:i w:val="0"/>
                <w:iCs w:val="0"/>
                <w:caps w:val="0"/>
                <w:color w:val="000000"/>
                <w:spacing w:val="0"/>
                <w:sz w:val="27"/>
                <w:szCs w:val="27"/>
                <w:u w:val="none"/>
                <w:lang w:val="en-US" w:eastAsia="zh-CN"/>
              </w:rPr>
              <w:t>0</w:t>
            </w:r>
          </w:p>
        </w:tc>
        <w:tc>
          <w:tcPr>
            <w:tcW w:w="24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spacing w:val="0"/>
                <w:sz w:val="27"/>
                <w:szCs w:val="27"/>
                <w:u w:val="none"/>
                <w:lang w:val="en-US" w:eastAsia="zh-CN"/>
              </w:rPr>
            </w:pPr>
            <w:r>
              <w:rPr>
                <w:rFonts w:hint="default" w:ascii="仿宋" w:hAnsi="仿宋" w:eastAsia="仿宋" w:cs="仿宋"/>
                <w:i w:val="0"/>
                <w:iCs w:val="0"/>
                <w:caps w:val="0"/>
                <w:color w:val="000000"/>
                <w:spacing w:val="0"/>
                <w:sz w:val="27"/>
                <w:szCs w:val="27"/>
                <w:u w:val="none"/>
                <w:lang w:val="en-US" w:eastAsia="zh-CN"/>
              </w:rPr>
              <w:t>0</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9960" w:type="dxa"/>
            <w:gridSpan w:val="4"/>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第二十条第（五）项</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信息内容</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本年处理决定数量</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行政许可</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lang w:val="en-US" w:eastAsia="zh-CN"/>
              </w:rPr>
            </w:pPr>
            <w:r>
              <w:rPr>
                <w:rFonts w:hint="eastAsia" w:ascii="仿宋" w:hAnsi="仿宋" w:eastAsia="仿宋" w:cs="仿宋"/>
                <w:i w:val="0"/>
                <w:iCs w:val="0"/>
                <w:caps w:val="0"/>
                <w:color w:val="000000"/>
                <w:spacing w:val="0"/>
                <w:kern w:val="2"/>
                <w:sz w:val="27"/>
                <w:szCs w:val="27"/>
                <w:u w:val="none"/>
                <w:lang w:val="en-US" w:eastAsia="zh-CN" w:bidi="ar-SA"/>
              </w:rPr>
              <w:t>0</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PrEx>
        <w:trPr>
          <w:jc w:val="center"/>
        </w:trPr>
        <w:tc>
          <w:tcPr>
            <w:tcW w:w="9960" w:type="dxa"/>
            <w:gridSpan w:val="4"/>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第二十条第（六）项</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信息内容</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本年处理决定数量</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行政处罚</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i w:val="0"/>
                <w:iCs w:val="0"/>
                <w:caps w:val="0"/>
                <w:color w:val="000000"/>
                <w:spacing w:val="0"/>
                <w:kern w:val="2"/>
                <w:sz w:val="27"/>
                <w:szCs w:val="27"/>
                <w:u w:val="none"/>
                <w:lang w:val="en-US" w:eastAsia="zh-CN" w:bidi="ar-SA"/>
              </w:rPr>
            </w:pPr>
            <w:r>
              <w:rPr>
                <w:rFonts w:hint="eastAsia" w:ascii="仿宋" w:hAnsi="仿宋" w:eastAsia="仿宋" w:cs="仿宋"/>
                <w:i w:val="0"/>
                <w:iCs w:val="0"/>
                <w:caps w:val="0"/>
                <w:color w:val="000000"/>
                <w:spacing w:val="0"/>
                <w:kern w:val="2"/>
                <w:sz w:val="27"/>
                <w:szCs w:val="27"/>
                <w:u w:val="none"/>
                <w:lang w:val="en-US" w:eastAsia="zh-CN" w:bidi="ar-SA"/>
              </w:rPr>
              <w:t>0</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行政强制</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i w:val="0"/>
                <w:iCs w:val="0"/>
                <w:caps w:val="0"/>
                <w:color w:val="000000"/>
                <w:spacing w:val="0"/>
                <w:kern w:val="2"/>
                <w:sz w:val="27"/>
                <w:szCs w:val="27"/>
                <w:u w:val="none"/>
                <w:lang w:val="en-US" w:eastAsia="zh-CN" w:bidi="ar-SA"/>
              </w:rPr>
            </w:pPr>
            <w:r>
              <w:rPr>
                <w:rFonts w:hint="eastAsia" w:ascii="仿宋" w:hAnsi="仿宋" w:eastAsia="仿宋" w:cs="仿宋"/>
                <w:i w:val="0"/>
                <w:iCs w:val="0"/>
                <w:caps w:val="0"/>
                <w:color w:val="000000"/>
                <w:spacing w:val="0"/>
                <w:kern w:val="2"/>
                <w:sz w:val="27"/>
                <w:szCs w:val="27"/>
                <w:u w:val="none"/>
                <w:lang w:val="en-US" w:eastAsia="zh-CN" w:bidi="ar-SA"/>
              </w:rPr>
              <w:t>0</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PrEx>
        <w:trPr>
          <w:jc w:val="center"/>
        </w:trPr>
        <w:tc>
          <w:tcPr>
            <w:tcW w:w="9960" w:type="dxa"/>
            <w:gridSpan w:val="4"/>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i w:val="0"/>
                <w:iCs w:val="0"/>
                <w:caps w:val="0"/>
                <w:color w:val="000000"/>
                <w:spacing w:val="0"/>
                <w:kern w:val="2"/>
                <w:sz w:val="27"/>
                <w:szCs w:val="27"/>
                <w:u w:val="none"/>
                <w:lang w:val="en-US" w:eastAsia="zh-CN" w:bidi="ar-SA"/>
              </w:rPr>
            </w:pPr>
            <w:r>
              <w:rPr>
                <w:rFonts w:hint="eastAsia" w:ascii="仿宋" w:hAnsi="仿宋" w:eastAsia="仿宋" w:cs="仿宋"/>
                <w:i w:val="0"/>
                <w:iCs w:val="0"/>
                <w:caps w:val="0"/>
                <w:color w:val="000000"/>
                <w:spacing w:val="0"/>
                <w:kern w:val="2"/>
                <w:sz w:val="27"/>
                <w:szCs w:val="27"/>
                <w:u w:val="none"/>
                <w:lang w:val="en-US" w:eastAsia="zh-CN" w:bidi="ar-SA"/>
              </w:rPr>
              <w:t>第二十条第（八）项</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i w:val="0"/>
                <w:iCs w:val="0"/>
                <w:caps w:val="0"/>
                <w:color w:val="000000"/>
                <w:spacing w:val="0"/>
                <w:kern w:val="2"/>
                <w:sz w:val="27"/>
                <w:szCs w:val="27"/>
                <w:u w:val="none"/>
                <w:lang w:val="en-US" w:eastAsia="zh-CN" w:bidi="ar-SA"/>
              </w:rPr>
            </w:pPr>
            <w:r>
              <w:rPr>
                <w:rFonts w:hint="eastAsia" w:ascii="仿宋" w:hAnsi="仿宋" w:eastAsia="仿宋" w:cs="仿宋"/>
                <w:i w:val="0"/>
                <w:iCs w:val="0"/>
                <w:caps w:val="0"/>
                <w:color w:val="000000"/>
                <w:spacing w:val="0"/>
                <w:kern w:val="2"/>
                <w:sz w:val="27"/>
                <w:szCs w:val="27"/>
                <w:u w:val="none"/>
                <w:lang w:val="en-US" w:eastAsia="zh-CN" w:bidi="ar-SA"/>
              </w:rPr>
              <w:t>信息内容</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i w:val="0"/>
                <w:iCs w:val="0"/>
                <w:caps w:val="0"/>
                <w:color w:val="000000"/>
                <w:spacing w:val="0"/>
                <w:kern w:val="2"/>
                <w:sz w:val="27"/>
                <w:szCs w:val="27"/>
                <w:u w:val="none"/>
                <w:lang w:val="en-US" w:eastAsia="zh-CN" w:bidi="ar-SA"/>
              </w:rPr>
            </w:pPr>
            <w:r>
              <w:rPr>
                <w:rFonts w:hint="eastAsia" w:ascii="仿宋" w:hAnsi="仿宋" w:eastAsia="仿宋" w:cs="仿宋"/>
                <w:i w:val="0"/>
                <w:iCs w:val="0"/>
                <w:caps w:val="0"/>
                <w:color w:val="000000"/>
                <w:spacing w:val="0"/>
                <w:kern w:val="2"/>
                <w:sz w:val="27"/>
                <w:szCs w:val="27"/>
                <w:u w:val="none"/>
                <w:lang w:val="en-US" w:eastAsia="zh-CN" w:bidi="ar-SA"/>
              </w:rPr>
              <w:t>本年收费金额（单位：万元）</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05"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i w:val="0"/>
                <w:iCs w:val="0"/>
                <w:caps w:val="0"/>
                <w:color w:val="000000"/>
                <w:spacing w:val="0"/>
                <w:kern w:val="2"/>
                <w:sz w:val="27"/>
                <w:szCs w:val="27"/>
                <w:u w:val="none"/>
                <w:lang w:val="en-US" w:eastAsia="zh-CN" w:bidi="ar-SA"/>
              </w:rPr>
            </w:pPr>
            <w:r>
              <w:rPr>
                <w:rFonts w:hint="eastAsia" w:ascii="仿宋" w:hAnsi="仿宋" w:eastAsia="仿宋" w:cs="仿宋"/>
                <w:i w:val="0"/>
                <w:iCs w:val="0"/>
                <w:caps w:val="0"/>
                <w:color w:val="000000"/>
                <w:spacing w:val="0"/>
                <w:kern w:val="2"/>
                <w:sz w:val="27"/>
                <w:szCs w:val="27"/>
                <w:u w:val="none"/>
                <w:lang w:val="en-US" w:eastAsia="zh-CN" w:bidi="ar-SA"/>
              </w:rPr>
              <w:t>行政事业性收费</w:t>
            </w:r>
          </w:p>
        </w:tc>
        <w:tc>
          <w:tcPr>
            <w:tcW w:w="694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i w:val="0"/>
                <w:iCs w:val="0"/>
                <w:caps w:val="0"/>
                <w:color w:val="000000"/>
                <w:spacing w:val="0"/>
                <w:kern w:val="2"/>
                <w:sz w:val="27"/>
                <w:szCs w:val="27"/>
                <w:u w:val="none"/>
                <w:lang w:val="en-US" w:eastAsia="zh-CN" w:bidi="ar-SA"/>
              </w:rPr>
            </w:pPr>
            <w:r>
              <w:rPr>
                <w:rFonts w:hint="eastAsia" w:ascii="仿宋" w:hAnsi="仿宋" w:eastAsia="仿宋" w:cs="仿宋"/>
                <w:i w:val="0"/>
                <w:iCs w:val="0"/>
                <w:caps w:val="0"/>
                <w:color w:val="000000"/>
                <w:spacing w:val="0"/>
                <w:kern w:val="2"/>
                <w:sz w:val="27"/>
                <w:szCs w:val="27"/>
                <w:u w:val="none"/>
                <w:lang w:val="en-US" w:eastAsia="zh-CN" w:bidi="ar-SA"/>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微软雅黑" w:hAnsi="微软雅黑" w:eastAsia="微软雅黑" w:cs="微软雅黑"/>
          <w:i w:val="0"/>
          <w:iCs w:val="0"/>
          <w:caps w:val="0"/>
          <w:color w:val="000000"/>
          <w:spacing w:val="0"/>
          <w:sz w:val="32"/>
          <w:szCs w:val="32"/>
          <w:u w:val="none"/>
        </w:rPr>
      </w:pPr>
      <w:r>
        <w:rPr>
          <w:rFonts w:hint="eastAsia" w:ascii="黑体" w:hAnsi="宋体" w:eastAsia="黑体" w:cs="黑体"/>
          <w:i w:val="0"/>
          <w:iCs w:val="0"/>
          <w:caps w:val="0"/>
          <w:color w:val="000000"/>
          <w:spacing w:val="0"/>
          <w:sz w:val="32"/>
          <w:szCs w:val="32"/>
          <w:u w:val="none"/>
          <w:shd w:val="clear" w:fill="FFFFFF"/>
        </w:rPr>
        <w:t>三、收到和处理政府信息公开申请情况</w:t>
      </w:r>
    </w:p>
    <w:tbl>
      <w:tblPr>
        <w:tblStyle w:val="4"/>
        <w:tblW w:w="10815" w:type="dxa"/>
        <w:jc w:val="center"/>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95"/>
        <w:gridCol w:w="826"/>
        <w:gridCol w:w="1733"/>
        <w:gridCol w:w="867"/>
        <w:gridCol w:w="611"/>
        <w:gridCol w:w="597"/>
        <w:gridCol w:w="824"/>
        <w:gridCol w:w="838"/>
        <w:gridCol w:w="1378"/>
        <w:gridCol w:w="1803"/>
        <w:gridCol w:w="343"/>
      </w:tblGrid>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465" w:type="dxa"/>
            <w:gridSpan w:val="3"/>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（本数据的勾稽关系为：第一项加第二项之和，等于第三项加第四项之和）</w:t>
            </w:r>
          </w:p>
        </w:tc>
        <w:tc>
          <w:tcPr>
            <w:tcW w:w="6360" w:type="dxa"/>
            <w:gridSpan w:val="7"/>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申请人情况</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465" w:type="dxa"/>
            <w:gridSpan w:val="3"/>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900"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自然人</w:t>
            </w:r>
          </w:p>
        </w:tc>
        <w:tc>
          <w:tcPr>
            <w:tcW w:w="4410" w:type="dxa"/>
            <w:gridSpan w:val="5"/>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法人或其他组织</w:t>
            </w:r>
          </w:p>
        </w:tc>
        <w:tc>
          <w:tcPr>
            <w:tcW w:w="630"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总计</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465" w:type="dxa"/>
            <w:gridSpan w:val="3"/>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90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商业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企业</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科研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机构</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社会公益组织</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法律服务机构</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其他</w:t>
            </w:r>
          </w:p>
        </w:tc>
        <w:tc>
          <w:tcPr>
            <w:tcW w:w="63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PrEx>
        <w:trPr>
          <w:jc w:val="center"/>
        </w:trPr>
        <w:tc>
          <w:tcPr>
            <w:tcW w:w="346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一、本年新收政府信息公开申请数量</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46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二、上年结转政府信息公开申请数量</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三、本年度办理结果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三、本年度办理结果</w:t>
            </w:r>
          </w:p>
        </w:tc>
        <w:tc>
          <w:tcPr>
            <w:tcW w:w="2235" w:type="dxa"/>
            <w:gridSpan w:val="2"/>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（一）予以公开</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2235" w:type="dxa"/>
            <w:gridSpan w:val="2"/>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sz w:val="27"/>
                <w:szCs w:val="27"/>
                <w:u w:val="none"/>
              </w:rPr>
            </w:pPr>
            <w:r>
              <w:rPr>
                <w:rFonts w:hint="eastAsia" w:ascii="仿宋" w:hAnsi="仿宋" w:eastAsia="仿宋" w:cs="仿宋"/>
                <w:i w:val="0"/>
                <w:iCs w:val="0"/>
                <w:caps w:val="0"/>
                <w:color w:val="000000"/>
                <w:spacing w:val="0"/>
                <w:sz w:val="27"/>
                <w:szCs w:val="27"/>
                <w:u w:val="none"/>
              </w:rPr>
              <w:t>（二）部分公开（区分处理的，只计这一情形，不计其他情形）</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（三）不予公开</w:t>
            </w: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1.属于国家秘密</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2.其他法律行政法规禁止公开</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3.危机“三安全一稳定”</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4.保护第三方合法权益</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5.属于三类内部事务信息</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6.属于四类过程性信息</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7.属于行政执法案卷</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8.属于行政查询事项</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（四）无法提供</w:t>
            </w: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1.本机关不掌握相关政府信息</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2.没有现成信息需要另行制作</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3.补正后申请内容仍不明确</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（五）不予处理</w:t>
            </w: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1.信访举报投诉类申请</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2.重复申请</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3.要求提供公开出版物</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4.无正当理由大量反复申请</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5.要求行政机关确认或重新出具已获取信息</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b w:val="0"/>
                <w:bCs w:val="0"/>
                <w:i w:val="0"/>
                <w:iCs w:val="0"/>
                <w:sz w:val="27"/>
                <w:szCs w:val="27"/>
                <w:u w:val="none"/>
              </w:rPr>
            </w:pPr>
            <w:r>
              <w:rPr>
                <w:rFonts w:hint="eastAsia" w:ascii="仿宋" w:hAnsi="仿宋" w:eastAsia="仿宋" w:cs="仿宋"/>
                <w:b w:val="0"/>
                <w:bCs w:val="0"/>
                <w:i w:val="0"/>
                <w:iCs w:val="0"/>
                <w:caps w:val="0"/>
                <w:color w:val="000000"/>
                <w:spacing w:val="0"/>
                <w:sz w:val="27"/>
                <w:szCs w:val="27"/>
                <w:u w:val="none"/>
              </w:rPr>
              <w:t>（六）其他处理</w:t>
            </w: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1.申请人无正当理由逾期不补正、行政机关不再处理其政府信息公开申请</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2.申请人逾期未按收费通知要求缴纳费用、行政机关不再处理其政府信息公开申请</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c>
          <w:tcPr>
            <w:tcW w:w="64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13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3.其他</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2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2235" w:type="dxa"/>
            <w:gridSpan w:val="2"/>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（七）总计</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465" w:type="dxa"/>
            <w:gridSpan w:val="3"/>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四、结转下半年度继续办理</w:t>
            </w:r>
          </w:p>
        </w:tc>
        <w:tc>
          <w:tcPr>
            <w:tcW w:w="9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1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5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8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0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63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360" w:type="dxa"/>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微软雅黑" w:hAnsi="微软雅黑" w:eastAsia="微软雅黑" w:cs="微软雅黑"/>
                <w:i w:val="0"/>
                <w:iCs w:val="0"/>
                <w:caps w:val="0"/>
                <w:color w:val="000000"/>
                <w:spacing w:val="0"/>
                <w:sz w:val="27"/>
                <w:szCs w:val="27"/>
                <w:u w:val="none"/>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微软雅黑" w:hAnsi="微软雅黑" w:eastAsia="微软雅黑" w:cs="微软雅黑"/>
          <w:i w:val="0"/>
          <w:iCs w:val="0"/>
          <w:caps w:val="0"/>
          <w:color w:val="000000"/>
          <w:spacing w:val="0"/>
          <w:sz w:val="32"/>
          <w:szCs w:val="32"/>
          <w:u w:val="none"/>
        </w:rPr>
      </w:pPr>
      <w:r>
        <w:rPr>
          <w:rFonts w:hint="eastAsia" w:ascii="黑体" w:hAnsi="宋体" w:eastAsia="黑体" w:cs="黑体"/>
          <w:i w:val="0"/>
          <w:iCs w:val="0"/>
          <w:caps w:val="0"/>
          <w:color w:val="000000"/>
          <w:spacing w:val="0"/>
          <w:sz w:val="32"/>
          <w:szCs w:val="32"/>
          <w:u w:val="none"/>
          <w:shd w:val="clear" w:fill="FFFFFF"/>
        </w:rPr>
        <w:t>四、政府信息公开行政复议、行政诉讼情况</w:t>
      </w:r>
    </w:p>
    <w:tbl>
      <w:tblPr>
        <w:tblStyle w:val="4"/>
        <w:tblW w:w="10440" w:type="dxa"/>
        <w:jc w:val="center"/>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02"/>
        <w:gridCol w:w="486"/>
        <w:gridCol w:w="486"/>
        <w:gridCol w:w="517"/>
        <w:gridCol w:w="1332"/>
        <w:gridCol w:w="517"/>
        <w:gridCol w:w="486"/>
        <w:gridCol w:w="470"/>
        <w:gridCol w:w="517"/>
        <w:gridCol w:w="1395"/>
        <w:gridCol w:w="502"/>
        <w:gridCol w:w="470"/>
        <w:gridCol w:w="533"/>
        <w:gridCol w:w="533"/>
        <w:gridCol w:w="1694"/>
      </w:tblGrid>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180" w:type="dxa"/>
            <w:gridSpan w:val="5"/>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行政复议</w:t>
            </w:r>
          </w:p>
        </w:tc>
        <w:tc>
          <w:tcPr>
            <w:tcW w:w="6810" w:type="dxa"/>
            <w:gridSpan w:val="10"/>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行政诉讼</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80"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结果维持</w:t>
            </w:r>
          </w:p>
        </w:tc>
        <w:tc>
          <w:tcPr>
            <w:tcW w:w="46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结果纠正</w:t>
            </w:r>
          </w:p>
        </w:tc>
        <w:tc>
          <w:tcPr>
            <w:tcW w:w="46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其他结果</w:t>
            </w:r>
          </w:p>
        </w:tc>
        <w:tc>
          <w:tcPr>
            <w:tcW w:w="49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尚未审结</w:t>
            </w:r>
          </w:p>
        </w:tc>
        <w:tc>
          <w:tcPr>
            <w:tcW w:w="435" w:type="dxa"/>
            <w:vMerge w:val="restart"/>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总计</w:t>
            </w:r>
          </w:p>
        </w:tc>
        <w:tc>
          <w:tcPr>
            <w:tcW w:w="3240" w:type="dxa"/>
            <w:gridSpan w:val="5"/>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未经复议直接起诉</w:t>
            </w:r>
          </w:p>
        </w:tc>
        <w:tc>
          <w:tcPr>
            <w:tcW w:w="3360" w:type="dxa"/>
            <w:gridSpan w:val="5"/>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复议后起诉</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2154" w:hRule="atLeast"/>
          <w:jc w:val="center"/>
        </w:trPr>
        <w:tc>
          <w:tcPr>
            <w:tcW w:w="480"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46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46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49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435" w:type="dxa"/>
            <w:vMerge w:val="continue"/>
            <w:tcBorders>
              <w:top w:val="outset" w:color="auto" w:sz="6" w:space="0"/>
              <w:left w:val="outset" w:color="auto" w:sz="6" w:space="0"/>
              <w:bottom w:val="single" w:color="333333" w:sz="6" w:space="0"/>
              <w:right w:val="single" w:color="333333"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i w:val="0"/>
                <w:iCs w:val="0"/>
                <w:caps w:val="0"/>
                <w:color w:val="000000"/>
                <w:spacing w:val="0"/>
                <w:sz w:val="27"/>
                <w:szCs w:val="27"/>
                <w:u w:val="none"/>
              </w:rPr>
            </w:pP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结果维持</w:t>
            </w:r>
          </w:p>
        </w:tc>
        <w:tc>
          <w:tcPr>
            <w:tcW w:w="46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结果纠正</w:t>
            </w:r>
          </w:p>
        </w:tc>
        <w:tc>
          <w:tcPr>
            <w:tcW w:w="45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其他结果</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尚未审结</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总计</w:t>
            </w:r>
          </w:p>
        </w:tc>
        <w:tc>
          <w:tcPr>
            <w:tcW w:w="48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结果维持</w:t>
            </w:r>
          </w:p>
        </w:tc>
        <w:tc>
          <w:tcPr>
            <w:tcW w:w="45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结果纠正</w:t>
            </w:r>
          </w:p>
        </w:tc>
        <w:tc>
          <w:tcPr>
            <w:tcW w:w="51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其他结果</w:t>
            </w:r>
          </w:p>
        </w:tc>
        <w:tc>
          <w:tcPr>
            <w:tcW w:w="51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尚未审结</w:t>
            </w:r>
          </w:p>
        </w:tc>
        <w:tc>
          <w:tcPr>
            <w:tcW w:w="5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总计</w:t>
            </w:r>
          </w:p>
        </w:tc>
      </w:tr>
      <w:tr>
        <w:tblPrEx>
          <w:tblBorders>
            <w:top w:val="single" w:color="333333" w:sz="6" w:space="0"/>
            <w:left w:val="single" w:color="333333"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8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6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6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3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6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5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95"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8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45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1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1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c>
          <w:tcPr>
            <w:tcW w:w="570" w:type="dxa"/>
            <w:tcBorders>
              <w:top w:val="outset" w:color="auto" w:sz="6" w:space="0"/>
              <w:left w:val="outset" w:color="auto" w:sz="6" w:space="0"/>
              <w:bottom w:val="single" w:color="333333" w:sz="6" w:space="0"/>
              <w:right w:val="single" w:color="333333"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sz w:val="27"/>
                <w:szCs w:val="27"/>
                <w:u w:val="none"/>
              </w:rPr>
            </w:pPr>
            <w:r>
              <w:rPr>
                <w:rFonts w:hint="eastAsia" w:ascii="仿宋" w:hAnsi="仿宋" w:eastAsia="仿宋" w:cs="仿宋"/>
                <w:i w:val="0"/>
                <w:iCs w:val="0"/>
                <w:caps w:val="0"/>
                <w:color w:val="000000"/>
                <w:spacing w:val="0"/>
                <w:sz w:val="27"/>
                <w:szCs w:val="27"/>
                <w:u w:val="none"/>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微软雅黑" w:hAnsi="微软雅黑" w:eastAsia="微软雅黑" w:cs="微软雅黑"/>
          <w:b w:val="0"/>
          <w:bCs w:val="0"/>
          <w:i w:val="0"/>
          <w:iCs w:val="0"/>
          <w:caps w:val="0"/>
          <w:color w:val="000000"/>
          <w:spacing w:val="0"/>
          <w:sz w:val="32"/>
          <w:szCs w:val="32"/>
          <w:u w:val="none"/>
        </w:rPr>
      </w:pPr>
      <w:r>
        <w:rPr>
          <w:rFonts w:hint="eastAsia" w:ascii="黑体" w:hAnsi="宋体" w:eastAsia="黑体" w:cs="黑体"/>
          <w:b w:val="0"/>
          <w:bCs w:val="0"/>
          <w:i w:val="0"/>
          <w:iCs w:val="0"/>
          <w:caps w:val="0"/>
          <w:color w:val="000000"/>
          <w:spacing w:val="0"/>
          <w:sz w:val="32"/>
          <w:szCs w:val="32"/>
          <w:u w:val="none"/>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202</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u w:val="none"/>
          <w:shd w:val="clear" w:fill="FFFFFF"/>
        </w:rPr>
        <w:t>年，县卫健局虽然在政务公开工作取得了一定的成绩，但对照上级的要求还存在一些不足，主要表现在：一是主动公开的内容还需进一步规范，二是信息公开的载体和形式还需要进一步丰富，三是政策宣传力度不足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在今后工作中，我们将进一步完善政府公开工作流程，拓宽信息公开渠道，加大公开力度，进一步加强对公众关注度高的政府信息的梳理，逐步扩大公开信息的覆盖面，确保公开信息的完整性和准确性。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微软雅黑" w:hAnsi="微软雅黑" w:eastAsia="微软雅黑" w:cs="微软雅黑"/>
          <w:b w:val="0"/>
          <w:bCs w:val="0"/>
          <w:i w:val="0"/>
          <w:iCs w:val="0"/>
          <w:caps w:val="0"/>
          <w:color w:val="000000"/>
          <w:spacing w:val="0"/>
          <w:sz w:val="32"/>
          <w:szCs w:val="32"/>
          <w:u w:val="none"/>
        </w:rPr>
      </w:pPr>
      <w:r>
        <w:rPr>
          <w:rFonts w:hint="eastAsia" w:ascii="黑体" w:hAnsi="宋体" w:eastAsia="黑体" w:cs="黑体"/>
          <w:b w:val="0"/>
          <w:bCs w:val="0"/>
          <w:i w:val="0"/>
          <w:iCs w:val="0"/>
          <w:caps w:val="0"/>
          <w:color w:val="000000"/>
          <w:spacing w:val="0"/>
          <w:sz w:val="32"/>
          <w:szCs w:val="32"/>
          <w:u w:val="none"/>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我们认真贯彻执行国务院办公厅《政府信息公开信息处理费管理办法》和《关于政府信息公开处理费管理有关事项的通知》。202</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u w:val="none"/>
          <w:shd w:val="clear" w:fill="FFFFFF"/>
        </w:rPr>
        <w:t>年，县卫健局未收取信息处理费。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000000"/>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496" w:firstLineChars="1405"/>
        <w:textAlignment w:val="auto"/>
        <w:rPr>
          <w:rFonts w:hint="default" w:ascii="仿宋_GB2312" w:hAnsi="仿宋_GB2312" w:eastAsia="仿宋_GB2312" w:cs="仿宋_GB2312"/>
          <w:i w:val="0"/>
          <w:iCs w:val="0"/>
          <w:caps w:val="0"/>
          <w:color w:val="000000"/>
          <w:spacing w:val="0"/>
          <w:sz w:val="32"/>
          <w:szCs w:val="32"/>
          <w:u w:val="none"/>
          <w:shd w:val="clear" w:fill="FFFFFF"/>
          <w:lang w:val="en-US" w:eastAsia="zh-CN"/>
        </w:rPr>
      </w:pPr>
      <w:r>
        <w:rPr>
          <w:rFonts w:hint="eastAsia" w:ascii="仿宋_GB2312" w:hAnsi="仿宋_GB2312" w:eastAsia="仿宋_GB2312" w:cs="仿宋_GB2312"/>
          <w:i w:val="0"/>
          <w:iCs w:val="0"/>
          <w:caps w:val="0"/>
          <w:color w:val="000000"/>
          <w:spacing w:val="0"/>
          <w:sz w:val="32"/>
          <w:szCs w:val="32"/>
          <w:u w:val="none"/>
          <w:shd w:val="clear" w:fill="FFFFFF"/>
          <w:lang w:val="en-US" w:eastAsia="zh-CN"/>
        </w:rPr>
        <w:t>2024年1月23日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YWYxNzZiMzk2ODIwZjFjZWE0ODkyYTFjOTE2Y2IifQ=="/>
  </w:docVars>
  <w:rsids>
    <w:rsidRoot w:val="00000000"/>
    <w:rsid w:val="20DC79DE"/>
    <w:rsid w:val="256A25CB"/>
    <w:rsid w:val="3EF3FC92"/>
    <w:rsid w:val="3FFF638F"/>
    <w:rsid w:val="640D214A"/>
    <w:rsid w:val="6B44355E"/>
    <w:rsid w:val="6BCD3ECB"/>
    <w:rsid w:val="77221ABC"/>
    <w:rsid w:val="77E3C5C8"/>
    <w:rsid w:val="7CBF1F27"/>
    <w:rsid w:val="FDDF6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1666</Words>
  <Characters>1719</Characters>
  <Lines>0</Lines>
  <Paragraphs>0</Paragraphs>
  <TotalTime>48</TotalTime>
  <ScaleCrop>false</ScaleCrop>
  <LinksUpToDate>false</LinksUpToDate>
  <CharactersWithSpaces>1719</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2023-01-30T02:40:00Z</dcterms:created>
  <dc:creator>Administrator</dc:creator>
  <cp:lastModifiedBy>pxxwjj</cp:lastModifiedBy>
  <cp:lastPrinted>2024-01-24T06:13:00Z</cp:lastPrinted>
  <dcterms:modified xsi:type="dcterms:W3CDTF">2024-01-23T16:44:12Z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85E33A6296C374F11259AF657740BF37</vt:lpwstr>
  </property>
</Properties>
</file>