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8</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8</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bookmarkStart w:id="18" w:name="_GoBack"/>
      <w:bookmarkEnd w:id="18"/>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975平乡县供销合作社联合社</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313.76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149.60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268.26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463.36</w:t>
            </w:r>
          </w:p>
        </w:tc>
        <w:tc>
          <w:tcPr>
            <w:tcW w:w="4535" w:type="dxa"/>
            <w:vAlign w:val="center"/>
          </w:tcPr>
          <w:p>
            <w:pPr>
              <w:pStyle w:val="14"/>
            </w:pPr>
            <w:r>
              <w:t>本年支出合计</w:t>
            </w:r>
          </w:p>
        </w:tc>
        <w:tc>
          <w:tcPr>
            <w:tcW w:w="2126" w:type="dxa"/>
            <w:vAlign w:val="center"/>
          </w:tcPr>
          <w:p>
            <w:pPr>
              <w:pStyle w:val="15"/>
            </w:pPr>
            <w:r>
              <w:t>463.36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463.36</w:t>
            </w:r>
          </w:p>
        </w:tc>
        <w:tc>
          <w:tcPr>
            <w:tcW w:w="4535" w:type="dxa"/>
            <w:vAlign w:val="center"/>
          </w:tcPr>
          <w:p>
            <w:pPr>
              <w:pStyle w:val="14"/>
            </w:pPr>
            <w:r>
              <w:t>支出总计</w:t>
            </w:r>
          </w:p>
        </w:tc>
        <w:tc>
          <w:tcPr>
            <w:tcW w:w="2126" w:type="dxa"/>
            <w:vAlign w:val="center"/>
          </w:tcPr>
          <w:p>
            <w:pPr>
              <w:pStyle w:val="15"/>
            </w:pPr>
            <w:r>
              <w:t>463.36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975平乡县供销合作社联合社</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463.36</w:t>
            </w:r>
          </w:p>
        </w:tc>
        <w:tc>
          <w:tcPr>
            <w:tcW w:w="1134" w:type="dxa"/>
            <w:vAlign w:val="center"/>
          </w:tcPr>
          <w:p>
            <w:pPr>
              <w:pStyle w:val="15"/>
            </w:pPr>
            <w:r>
              <w:t>463.36</w:t>
            </w:r>
          </w:p>
        </w:tc>
        <w:tc>
          <w:tcPr>
            <w:tcW w:w="1134" w:type="dxa"/>
            <w:vAlign w:val="center"/>
          </w:tcPr>
          <w:p>
            <w:pPr>
              <w:pStyle w:val="15"/>
            </w:pPr>
            <w:r>
              <w:t>463.36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149.60</w:t>
            </w:r>
          </w:p>
        </w:tc>
        <w:tc>
          <w:tcPr>
            <w:tcW w:w="1134" w:type="dxa"/>
            <w:vAlign w:val="center"/>
          </w:tcPr>
          <w:p>
            <w:pPr>
              <w:pStyle w:val="11"/>
            </w:pPr>
            <w:r>
              <w:t>149.60</w:t>
            </w:r>
          </w:p>
        </w:tc>
        <w:tc>
          <w:tcPr>
            <w:tcW w:w="1134" w:type="dxa"/>
            <w:vAlign w:val="center"/>
          </w:tcPr>
          <w:p>
            <w:pPr>
              <w:pStyle w:val="11"/>
            </w:pPr>
            <w:r>
              <w:t>149.60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149.60</w:t>
            </w:r>
          </w:p>
        </w:tc>
        <w:tc>
          <w:tcPr>
            <w:tcW w:w="1134" w:type="dxa"/>
            <w:vAlign w:val="center"/>
          </w:tcPr>
          <w:p>
            <w:pPr>
              <w:pStyle w:val="11"/>
            </w:pPr>
            <w:r>
              <w:t>149.60</w:t>
            </w:r>
          </w:p>
        </w:tc>
        <w:tc>
          <w:tcPr>
            <w:tcW w:w="1134" w:type="dxa"/>
            <w:vAlign w:val="center"/>
          </w:tcPr>
          <w:p>
            <w:pPr>
              <w:pStyle w:val="11"/>
            </w:pPr>
            <w:r>
              <w:t>149.60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2120809</w:t>
            </w:r>
          </w:p>
        </w:tc>
        <w:tc>
          <w:tcPr>
            <w:tcW w:w="1559" w:type="dxa"/>
            <w:vAlign w:val="center"/>
          </w:tcPr>
          <w:p>
            <w:pPr>
              <w:pStyle w:val="12"/>
            </w:pPr>
            <w:r>
              <w:t>支付破产或改制企业职工安置费</w:t>
            </w:r>
          </w:p>
        </w:tc>
        <w:tc>
          <w:tcPr>
            <w:tcW w:w="1134" w:type="dxa"/>
            <w:vAlign w:val="center"/>
          </w:tcPr>
          <w:p>
            <w:pPr>
              <w:pStyle w:val="11"/>
            </w:pPr>
            <w:r>
              <w:t>149.60</w:t>
            </w:r>
          </w:p>
        </w:tc>
        <w:tc>
          <w:tcPr>
            <w:tcW w:w="1134" w:type="dxa"/>
            <w:vAlign w:val="center"/>
          </w:tcPr>
          <w:p>
            <w:pPr>
              <w:pStyle w:val="11"/>
            </w:pPr>
            <w:r>
              <w:t>149.60</w:t>
            </w:r>
          </w:p>
        </w:tc>
        <w:tc>
          <w:tcPr>
            <w:tcW w:w="1134" w:type="dxa"/>
            <w:vAlign w:val="center"/>
          </w:tcPr>
          <w:p>
            <w:pPr>
              <w:pStyle w:val="11"/>
            </w:pPr>
            <w:r>
              <w:t>149.60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268.26</w:t>
            </w:r>
          </w:p>
        </w:tc>
        <w:tc>
          <w:tcPr>
            <w:tcW w:w="1134" w:type="dxa"/>
            <w:vAlign w:val="center"/>
          </w:tcPr>
          <w:p>
            <w:pPr>
              <w:pStyle w:val="11"/>
            </w:pPr>
            <w:r>
              <w:t>268.26</w:t>
            </w:r>
          </w:p>
        </w:tc>
        <w:tc>
          <w:tcPr>
            <w:tcW w:w="1134" w:type="dxa"/>
            <w:vAlign w:val="center"/>
          </w:tcPr>
          <w:p>
            <w:pPr>
              <w:pStyle w:val="11"/>
            </w:pPr>
            <w:r>
              <w:t>268.26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268.26</w:t>
            </w:r>
          </w:p>
        </w:tc>
        <w:tc>
          <w:tcPr>
            <w:tcW w:w="1134" w:type="dxa"/>
            <w:vAlign w:val="center"/>
          </w:tcPr>
          <w:p>
            <w:pPr>
              <w:pStyle w:val="11"/>
            </w:pPr>
            <w:r>
              <w:t>268.26</w:t>
            </w:r>
          </w:p>
        </w:tc>
        <w:tc>
          <w:tcPr>
            <w:tcW w:w="1134" w:type="dxa"/>
            <w:vAlign w:val="center"/>
          </w:tcPr>
          <w:p>
            <w:pPr>
              <w:pStyle w:val="11"/>
            </w:pPr>
            <w:r>
              <w:t>268.26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2160250</w:t>
            </w:r>
          </w:p>
        </w:tc>
        <w:tc>
          <w:tcPr>
            <w:tcW w:w="1559" w:type="dxa"/>
            <w:vAlign w:val="center"/>
          </w:tcPr>
          <w:p>
            <w:pPr>
              <w:pStyle w:val="12"/>
            </w:pPr>
            <w:r>
              <w:t>事业运行</w:t>
            </w:r>
          </w:p>
        </w:tc>
        <w:tc>
          <w:tcPr>
            <w:tcW w:w="1134" w:type="dxa"/>
            <w:vAlign w:val="center"/>
          </w:tcPr>
          <w:p>
            <w:pPr>
              <w:pStyle w:val="11"/>
            </w:pPr>
            <w:r>
              <w:t>237.66</w:t>
            </w:r>
          </w:p>
        </w:tc>
        <w:tc>
          <w:tcPr>
            <w:tcW w:w="1134" w:type="dxa"/>
            <w:vAlign w:val="center"/>
          </w:tcPr>
          <w:p>
            <w:pPr>
              <w:pStyle w:val="11"/>
            </w:pPr>
            <w:r>
              <w:t>237.66</w:t>
            </w:r>
          </w:p>
        </w:tc>
        <w:tc>
          <w:tcPr>
            <w:tcW w:w="1134" w:type="dxa"/>
            <w:vAlign w:val="center"/>
          </w:tcPr>
          <w:p>
            <w:pPr>
              <w:pStyle w:val="11"/>
            </w:pPr>
            <w:r>
              <w:t>237.66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2160299</w:t>
            </w:r>
          </w:p>
        </w:tc>
        <w:tc>
          <w:tcPr>
            <w:tcW w:w="1559" w:type="dxa"/>
            <w:vAlign w:val="center"/>
          </w:tcPr>
          <w:p>
            <w:pPr>
              <w:pStyle w:val="12"/>
            </w:pPr>
            <w:r>
              <w:t>其他商业流通事务支出</w:t>
            </w:r>
          </w:p>
        </w:tc>
        <w:tc>
          <w:tcPr>
            <w:tcW w:w="1134" w:type="dxa"/>
            <w:vAlign w:val="center"/>
          </w:tcPr>
          <w:p>
            <w:pPr>
              <w:pStyle w:val="11"/>
            </w:pPr>
            <w:r>
              <w:t>30.60</w:t>
            </w:r>
          </w:p>
        </w:tc>
        <w:tc>
          <w:tcPr>
            <w:tcW w:w="1134" w:type="dxa"/>
            <w:vAlign w:val="center"/>
          </w:tcPr>
          <w:p>
            <w:pPr>
              <w:pStyle w:val="11"/>
            </w:pPr>
            <w:r>
              <w:t>30.60</w:t>
            </w:r>
          </w:p>
        </w:tc>
        <w:tc>
          <w:tcPr>
            <w:tcW w:w="1134" w:type="dxa"/>
            <w:vAlign w:val="center"/>
          </w:tcPr>
          <w:p>
            <w:pPr>
              <w:pStyle w:val="11"/>
            </w:pPr>
            <w:r>
              <w:t>30.60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463.36</w:t>
            </w:r>
          </w:p>
        </w:tc>
        <w:tc>
          <w:tcPr>
            <w:tcW w:w="1361" w:type="dxa"/>
            <w:vAlign w:val="center"/>
          </w:tcPr>
          <w:p>
            <w:pPr>
              <w:pStyle w:val="15"/>
            </w:pPr>
            <w:r>
              <w:t>263.16</w:t>
            </w:r>
          </w:p>
        </w:tc>
        <w:tc>
          <w:tcPr>
            <w:tcW w:w="1361" w:type="dxa"/>
            <w:vAlign w:val="center"/>
          </w:tcPr>
          <w:p>
            <w:pPr>
              <w:pStyle w:val="15"/>
            </w:pPr>
            <w:r>
              <w:t>200.20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35.00</w:t>
            </w:r>
          </w:p>
        </w:tc>
        <w:tc>
          <w:tcPr>
            <w:tcW w:w="1361" w:type="dxa"/>
            <w:vAlign w:val="center"/>
          </w:tcPr>
          <w:p>
            <w:pPr>
              <w:pStyle w:val="11"/>
            </w:pPr>
            <w:r>
              <w:t>15.00</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15.00</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15.00</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20809</w:t>
            </w:r>
          </w:p>
        </w:tc>
        <w:tc>
          <w:tcPr>
            <w:tcW w:w="4536" w:type="dxa"/>
            <w:vAlign w:val="center"/>
          </w:tcPr>
          <w:p>
            <w:pPr>
              <w:pStyle w:val="12"/>
            </w:pPr>
            <w:r>
              <w:t>退役安置</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2080999</w:t>
            </w:r>
          </w:p>
        </w:tc>
        <w:tc>
          <w:tcPr>
            <w:tcW w:w="4536" w:type="dxa"/>
            <w:vAlign w:val="center"/>
          </w:tcPr>
          <w:p>
            <w:pPr>
              <w:pStyle w:val="12"/>
            </w:pPr>
            <w:r>
              <w:t>其他退役安置支出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10.50</w:t>
            </w:r>
          </w:p>
        </w:tc>
        <w:tc>
          <w:tcPr>
            <w:tcW w:w="1361" w:type="dxa"/>
            <w:vAlign w:val="center"/>
          </w:tcPr>
          <w:p>
            <w:pPr>
              <w:pStyle w:val="11"/>
            </w:pPr>
            <w:r>
              <w:t>10.50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10.50</w:t>
            </w:r>
          </w:p>
        </w:tc>
        <w:tc>
          <w:tcPr>
            <w:tcW w:w="1361" w:type="dxa"/>
            <w:vAlign w:val="center"/>
          </w:tcPr>
          <w:p>
            <w:pPr>
              <w:pStyle w:val="11"/>
            </w:pPr>
            <w:r>
              <w:t>10.50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10.50</w:t>
            </w:r>
          </w:p>
        </w:tc>
        <w:tc>
          <w:tcPr>
            <w:tcW w:w="1361" w:type="dxa"/>
            <w:vAlign w:val="center"/>
          </w:tcPr>
          <w:p>
            <w:pPr>
              <w:pStyle w:val="11"/>
            </w:pPr>
            <w:r>
              <w:t>10.50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149.60</w:t>
            </w:r>
          </w:p>
        </w:tc>
        <w:tc>
          <w:tcPr>
            <w:tcW w:w="1361" w:type="dxa"/>
            <w:vAlign w:val="center"/>
          </w:tcPr>
          <w:p>
            <w:pPr>
              <w:pStyle w:val="11"/>
            </w:pPr>
          </w:p>
        </w:tc>
        <w:tc>
          <w:tcPr>
            <w:tcW w:w="1361" w:type="dxa"/>
            <w:vAlign w:val="center"/>
          </w:tcPr>
          <w:p>
            <w:pPr>
              <w:pStyle w:val="11"/>
            </w:pPr>
            <w:r>
              <w:t>149.60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149.60</w:t>
            </w:r>
          </w:p>
        </w:tc>
        <w:tc>
          <w:tcPr>
            <w:tcW w:w="1361" w:type="dxa"/>
            <w:vAlign w:val="center"/>
          </w:tcPr>
          <w:p>
            <w:pPr>
              <w:pStyle w:val="11"/>
            </w:pPr>
          </w:p>
        </w:tc>
        <w:tc>
          <w:tcPr>
            <w:tcW w:w="1361" w:type="dxa"/>
            <w:vAlign w:val="center"/>
          </w:tcPr>
          <w:p>
            <w:pPr>
              <w:pStyle w:val="11"/>
            </w:pPr>
            <w:r>
              <w:t>149.60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2120809</w:t>
            </w:r>
          </w:p>
        </w:tc>
        <w:tc>
          <w:tcPr>
            <w:tcW w:w="4536" w:type="dxa"/>
            <w:vAlign w:val="center"/>
          </w:tcPr>
          <w:p>
            <w:pPr>
              <w:pStyle w:val="12"/>
            </w:pPr>
            <w:r>
              <w:t>支付破产或改制企业职工安置费</w:t>
            </w:r>
          </w:p>
        </w:tc>
        <w:tc>
          <w:tcPr>
            <w:tcW w:w="1361" w:type="dxa"/>
            <w:vAlign w:val="center"/>
          </w:tcPr>
          <w:p>
            <w:pPr>
              <w:pStyle w:val="11"/>
            </w:pPr>
            <w:r>
              <w:t>149.60</w:t>
            </w:r>
          </w:p>
        </w:tc>
        <w:tc>
          <w:tcPr>
            <w:tcW w:w="1361" w:type="dxa"/>
            <w:vAlign w:val="center"/>
          </w:tcPr>
          <w:p>
            <w:pPr>
              <w:pStyle w:val="11"/>
            </w:pPr>
          </w:p>
        </w:tc>
        <w:tc>
          <w:tcPr>
            <w:tcW w:w="1361" w:type="dxa"/>
            <w:vAlign w:val="center"/>
          </w:tcPr>
          <w:p>
            <w:pPr>
              <w:pStyle w:val="11"/>
            </w:pPr>
            <w:r>
              <w:t>149.60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216</w:t>
            </w:r>
          </w:p>
        </w:tc>
        <w:tc>
          <w:tcPr>
            <w:tcW w:w="4536" w:type="dxa"/>
            <w:vAlign w:val="center"/>
          </w:tcPr>
          <w:p>
            <w:pPr>
              <w:pStyle w:val="12"/>
            </w:pPr>
            <w:r>
              <w:t>商业服务业等支出</w:t>
            </w:r>
          </w:p>
        </w:tc>
        <w:tc>
          <w:tcPr>
            <w:tcW w:w="1361" w:type="dxa"/>
            <w:vAlign w:val="center"/>
          </w:tcPr>
          <w:p>
            <w:pPr>
              <w:pStyle w:val="11"/>
            </w:pPr>
            <w:r>
              <w:t>268.26</w:t>
            </w:r>
          </w:p>
        </w:tc>
        <w:tc>
          <w:tcPr>
            <w:tcW w:w="1361" w:type="dxa"/>
            <w:vAlign w:val="center"/>
          </w:tcPr>
          <w:p>
            <w:pPr>
              <w:pStyle w:val="11"/>
            </w:pPr>
            <w:r>
              <w:t>237.66</w:t>
            </w:r>
          </w:p>
        </w:tc>
        <w:tc>
          <w:tcPr>
            <w:tcW w:w="1361" w:type="dxa"/>
            <w:vAlign w:val="center"/>
          </w:tcPr>
          <w:p>
            <w:pPr>
              <w:pStyle w:val="11"/>
            </w:pPr>
            <w:r>
              <w:t>30.60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21602</w:t>
            </w:r>
          </w:p>
        </w:tc>
        <w:tc>
          <w:tcPr>
            <w:tcW w:w="4536" w:type="dxa"/>
            <w:vAlign w:val="center"/>
          </w:tcPr>
          <w:p>
            <w:pPr>
              <w:pStyle w:val="12"/>
            </w:pPr>
            <w:r>
              <w:t>商业流通事务</w:t>
            </w:r>
          </w:p>
        </w:tc>
        <w:tc>
          <w:tcPr>
            <w:tcW w:w="1361" w:type="dxa"/>
            <w:vAlign w:val="center"/>
          </w:tcPr>
          <w:p>
            <w:pPr>
              <w:pStyle w:val="11"/>
            </w:pPr>
            <w:r>
              <w:t>268.26</w:t>
            </w:r>
          </w:p>
        </w:tc>
        <w:tc>
          <w:tcPr>
            <w:tcW w:w="1361" w:type="dxa"/>
            <w:vAlign w:val="center"/>
          </w:tcPr>
          <w:p>
            <w:pPr>
              <w:pStyle w:val="11"/>
            </w:pPr>
            <w:r>
              <w:t>237.66</w:t>
            </w:r>
          </w:p>
        </w:tc>
        <w:tc>
          <w:tcPr>
            <w:tcW w:w="1361" w:type="dxa"/>
            <w:vAlign w:val="center"/>
          </w:tcPr>
          <w:p>
            <w:pPr>
              <w:pStyle w:val="11"/>
            </w:pPr>
            <w:r>
              <w:t>30.60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2160250</w:t>
            </w:r>
          </w:p>
        </w:tc>
        <w:tc>
          <w:tcPr>
            <w:tcW w:w="4536" w:type="dxa"/>
            <w:vAlign w:val="center"/>
          </w:tcPr>
          <w:p>
            <w:pPr>
              <w:pStyle w:val="12"/>
            </w:pPr>
            <w:r>
              <w:t>事业运行</w:t>
            </w:r>
          </w:p>
        </w:tc>
        <w:tc>
          <w:tcPr>
            <w:tcW w:w="1361" w:type="dxa"/>
            <w:vAlign w:val="center"/>
          </w:tcPr>
          <w:p>
            <w:pPr>
              <w:pStyle w:val="11"/>
            </w:pPr>
            <w:r>
              <w:t>237.66</w:t>
            </w:r>
          </w:p>
        </w:tc>
        <w:tc>
          <w:tcPr>
            <w:tcW w:w="1361" w:type="dxa"/>
            <w:vAlign w:val="center"/>
          </w:tcPr>
          <w:p>
            <w:pPr>
              <w:pStyle w:val="11"/>
            </w:pPr>
            <w:r>
              <w:t>237.66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2160299</w:t>
            </w:r>
          </w:p>
        </w:tc>
        <w:tc>
          <w:tcPr>
            <w:tcW w:w="4536" w:type="dxa"/>
            <w:vAlign w:val="center"/>
          </w:tcPr>
          <w:p>
            <w:pPr>
              <w:pStyle w:val="12"/>
            </w:pPr>
            <w:r>
              <w:t>其他商业流通事务支出</w:t>
            </w:r>
          </w:p>
        </w:tc>
        <w:tc>
          <w:tcPr>
            <w:tcW w:w="1361" w:type="dxa"/>
            <w:vAlign w:val="center"/>
          </w:tcPr>
          <w:p>
            <w:pPr>
              <w:pStyle w:val="11"/>
            </w:pPr>
            <w:r>
              <w:t>30.60</w:t>
            </w:r>
          </w:p>
        </w:tc>
        <w:tc>
          <w:tcPr>
            <w:tcW w:w="1361" w:type="dxa"/>
            <w:vAlign w:val="center"/>
          </w:tcPr>
          <w:p>
            <w:pPr>
              <w:pStyle w:val="11"/>
            </w:pPr>
          </w:p>
        </w:tc>
        <w:tc>
          <w:tcPr>
            <w:tcW w:w="1361" w:type="dxa"/>
            <w:vAlign w:val="center"/>
          </w:tcPr>
          <w:p>
            <w:pPr>
              <w:pStyle w:val="11"/>
            </w:pPr>
            <w:r>
              <w:t>30.60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313.76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149.60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35.00</w:t>
            </w:r>
          </w:p>
        </w:tc>
        <w:tc>
          <w:tcPr>
            <w:tcW w:w="1474" w:type="dxa"/>
            <w:vAlign w:val="center"/>
          </w:tcPr>
          <w:p>
            <w:pPr>
              <w:pStyle w:val="11"/>
            </w:pPr>
            <w:r>
              <w:t>35.00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10.50</w:t>
            </w:r>
          </w:p>
        </w:tc>
        <w:tc>
          <w:tcPr>
            <w:tcW w:w="1474" w:type="dxa"/>
            <w:vAlign w:val="center"/>
          </w:tcPr>
          <w:p>
            <w:pPr>
              <w:pStyle w:val="11"/>
            </w:pPr>
            <w:r>
              <w:t>10.50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149.60</w:t>
            </w:r>
          </w:p>
        </w:tc>
        <w:tc>
          <w:tcPr>
            <w:tcW w:w="1474" w:type="dxa"/>
            <w:vAlign w:val="center"/>
          </w:tcPr>
          <w:p>
            <w:pPr>
              <w:pStyle w:val="11"/>
            </w:pPr>
          </w:p>
        </w:tc>
        <w:tc>
          <w:tcPr>
            <w:tcW w:w="1474" w:type="dxa"/>
            <w:vAlign w:val="center"/>
          </w:tcPr>
          <w:p>
            <w:pPr>
              <w:pStyle w:val="11"/>
            </w:pPr>
            <w:r>
              <w:t>149.60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268.26</w:t>
            </w:r>
          </w:p>
        </w:tc>
        <w:tc>
          <w:tcPr>
            <w:tcW w:w="1474" w:type="dxa"/>
            <w:vAlign w:val="center"/>
          </w:tcPr>
          <w:p>
            <w:pPr>
              <w:pStyle w:val="11"/>
            </w:pPr>
            <w:r>
              <w:t>268.26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463.36</w:t>
            </w:r>
          </w:p>
        </w:tc>
        <w:tc>
          <w:tcPr>
            <w:tcW w:w="3402" w:type="dxa"/>
            <w:vAlign w:val="center"/>
          </w:tcPr>
          <w:p>
            <w:pPr>
              <w:pStyle w:val="14"/>
            </w:pPr>
            <w:r>
              <w:t>本年支出合计</w:t>
            </w:r>
          </w:p>
        </w:tc>
        <w:tc>
          <w:tcPr>
            <w:tcW w:w="1474" w:type="dxa"/>
            <w:vAlign w:val="center"/>
          </w:tcPr>
          <w:p>
            <w:pPr>
              <w:pStyle w:val="15"/>
            </w:pPr>
            <w:r>
              <w:t>463.36</w:t>
            </w:r>
          </w:p>
        </w:tc>
        <w:tc>
          <w:tcPr>
            <w:tcW w:w="1474" w:type="dxa"/>
            <w:vAlign w:val="center"/>
          </w:tcPr>
          <w:p>
            <w:pPr>
              <w:pStyle w:val="15"/>
            </w:pPr>
            <w:r>
              <w:t>313.76</w:t>
            </w:r>
          </w:p>
        </w:tc>
        <w:tc>
          <w:tcPr>
            <w:tcW w:w="1474" w:type="dxa"/>
            <w:vAlign w:val="center"/>
          </w:tcPr>
          <w:p>
            <w:pPr>
              <w:pStyle w:val="15"/>
            </w:pPr>
            <w:r>
              <w:t>149.60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463.36</w:t>
            </w:r>
          </w:p>
        </w:tc>
        <w:tc>
          <w:tcPr>
            <w:tcW w:w="3402" w:type="dxa"/>
            <w:vAlign w:val="center"/>
          </w:tcPr>
          <w:p>
            <w:pPr>
              <w:pStyle w:val="14"/>
            </w:pPr>
            <w:r>
              <w:t>支出总计</w:t>
            </w:r>
          </w:p>
        </w:tc>
        <w:tc>
          <w:tcPr>
            <w:tcW w:w="1474" w:type="dxa"/>
            <w:vAlign w:val="center"/>
          </w:tcPr>
          <w:p>
            <w:pPr>
              <w:pStyle w:val="15"/>
            </w:pPr>
            <w:r>
              <w:t>463.36</w:t>
            </w:r>
          </w:p>
        </w:tc>
        <w:tc>
          <w:tcPr>
            <w:tcW w:w="1474" w:type="dxa"/>
            <w:vAlign w:val="center"/>
          </w:tcPr>
          <w:p>
            <w:pPr>
              <w:pStyle w:val="15"/>
            </w:pPr>
            <w:r>
              <w:t>313.76</w:t>
            </w:r>
          </w:p>
        </w:tc>
        <w:tc>
          <w:tcPr>
            <w:tcW w:w="1474" w:type="dxa"/>
            <w:vAlign w:val="center"/>
          </w:tcPr>
          <w:p>
            <w:pPr>
              <w:pStyle w:val="15"/>
            </w:pPr>
            <w:r>
              <w:t>149.60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313.76</w:t>
            </w:r>
          </w:p>
        </w:tc>
        <w:tc>
          <w:tcPr>
            <w:tcW w:w="2551" w:type="dxa"/>
            <w:vAlign w:val="center"/>
          </w:tcPr>
          <w:p>
            <w:pPr>
              <w:pStyle w:val="15"/>
            </w:pPr>
            <w:r>
              <w:t>263.16</w:t>
            </w:r>
          </w:p>
        </w:tc>
        <w:tc>
          <w:tcPr>
            <w:tcW w:w="2551" w:type="dxa"/>
            <w:vAlign w:val="center"/>
          </w:tcPr>
          <w:p>
            <w:pPr>
              <w:pStyle w:val="15"/>
            </w:pPr>
            <w:r>
              <w:t>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35.00</w:t>
            </w:r>
          </w:p>
        </w:tc>
        <w:tc>
          <w:tcPr>
            <w:tcW w:w="2551" w:type="dxa"/>
            <w:vAlign w:val="center"/>
          </w:tcPr>
          <w:p>
            <w:pPr>
              <w:pStyle w:val="11"/>
            </w:pPr>
            <w:r>
              <w:t>15.00</w:t>
            </w: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268.26</w:t>
            </w:r>
          </w:p>
        </w:tc>
        <w:tc>
          <w:tcPr>
            <w:tcW w:w="2551" w:type="dxa"/>
            <w:vAlign w:val="center"/>
          </w:tcPr>
          <w:p>
            <w:pPr>
              <w:pStyle w:val="11"/>
            </w:pPr>
            <w:r>
              <w:t>237.66</w:t>
            </w:r>
          </w:p>
        </w:tc>
        <w:tc>
          <w:tcPr>
            <w:tcW w:w="2551" w:type="dxa"/>
            <w:vAlign w:val="center"/>
          </w:tcPr>
          <w:p>
            <w:pPr>
              <w:pStyle w:val="11"/>
            </w:pPr>
            <w:r>
              <w:t>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11</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268.26</w:t>
            </w:r>
          </w:p>
        </w:tc>
        <w:tc>
          <w:tcPr>
            <w:tcW w:w="2551" w:type="dxa"/>
            <w:vAlign w:val="center"/>
          </w:tcPr>
          <w:p>
            <w:pPr>
              <w:pStyle w:val="11"/>
            </w:pPr>
            <w:r>
              <w:t>237.66</w:t>
            </w:r>
          </w:p>
        </w:tc>
        <w:tc>
          <w:tcPr>
            <w:tcW w:w="2551" w:type="dxa"/>
            <w:vAlign w:val="center"/>
          </w:tcPr>
          <w:p>
            <w:pPr>
              <w:pStyle w:val="11"/>
            </w:pPr>
            <w:r>
              <w:t>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2160250</w:t>
            </w:r>
          </w:p>
        </w:tc>
        <w:tc>
          <w:tcPr>
            <w:tcW w:w="4535" w:type="dxa"/>
            <w:vAlign w:val="center"/>
          </w:tcPr>
          <w:p>
            <w:pPr>
              <w:pStyle w:val="12"/>
            </w:pPr>
            <w:r>
              <w:t>事业运行</w:t>
            </w:r>
          </w:p>
        </w:tc>
        <w:tc>
          <w:tcPr>
            <w:tcW w:w="2551" w:type="dxa"/>
            <w:vAlign w:val="center"/>
          </w:tcPr>
          <w:p>
            <w:pPr>
              <w:pStyle w:val="11"/>
            </w:pPr>
            <w:r>
              <w:t>237.66</w:t>
            </w:r>
          </w:p>
        </w:tc>
        <w:tc>
          <w:tcPr>
            <w:tcW w:w="2551" w:type="dxa"/>
            <w:vAlign w:val="center"/>
          </w:tcPr>
          <w:p>
            <w:pPr>
              <w:pStyle w:val="11"/>
            </w:pPr>
            <w:r>
              <w:t>237.66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1191" w:type="dxa"/>
            <w:vAlign w:val="center"/>
          </w:tcPr>
          <w:p>
            <w:pPr>
              <w:pStyle w:val="12"/>
            </w:pPr>
            <w:r>
              <w:t>2160299</w:t>
            </w:r>
          </w:p>
        </w:tc>
        <w:tc>
          <w:tcPr>
            <w:tcW w:w="4535" w:type="dxa"/>
            <w:vAlign w:val="center"/>
          </w:tcPr>
          <w:p>
            <w:pPr>
              <w:pStyle w:val="12"/>
            </w:pPr>
            <w:r>
              <w:t>其他商业流通事务支出</w:t>
            </w:r>
          </w:p>
        </w:tc>
        <w:tc>
          <w:tcPr>
            <w:tcW w:w="2551" w:type="dxa"/>
            <w:vAlign w:val="center"/>
          </w:tcPr>
          <w:p>
            <w:pPr>
              <w:pStyle w:val="11"/>
            </w:pPr>
            <w:r>
              <w:t>30.60</w:t>
            </w:r>
          </w:p>
        </w:tc>
        <w:tc>
          <w:tcPr>
            <w:tcW w:w="2551" w:type="dxa"/>
            <w:vAlign w:val="center"/>
          </w:tcPr>
          <w:p>
            <w:pPr>
              <w:pStyle w:val="11"/>
            </w:pPr>
          </w:p>
        </w:tc>
        <w:tc>
          <w:tcPr>
            <w:tcW w:w="2551" w:type="dxa"/>
            <w:vAlign w:val="center"/>
          </w:tcPr>
          <w:p>
            <w:pPr>
              <w:pStyle w:val="11"/>
            </w:pPr>
            <w:r>
              <w:t>30.60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263.16</w:t>
            </w:r>
          </w:p>
        </w:tc>
        <w:tc>
          <w:tcPr>
            <w:tcW w:w="2551" w:type="dxa"/>
            <w:vAlign w:val="center"/>
          </w:tcPr>
          <w:p>
            <w:pPr>
              <w:pStyle w:val="15"/>
            </w:pPr>
            <w:r>
              <w:t>257.70</w:t>
            </w:r>
          </w:p>
        </w:tc>
        <w:tc>
          <w:tcPr>
            <w:tcW w:w="2552" w:type="dxa"/>
            <w:vAlign w:val="center"/>
          </w:tcPr>
          <w:p>
            <w:pPr>
              <w:pStyle w:val="15"/>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238.10</w:t>
            </w:r>
          </w:p>
        </w:tc>
        <w:tc>
          <w:tcPr>
            <w:tcW w:w="2551" w:type="dxa"/>
            <w:vAlign w:val="center"/>
          </w:tcPr>
          <w:p>
            <w:pPr>
              <w:pStyle w:val="11"/>
            </w:pPr>
            <w:r>
              <w:t>238.10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105.00</w:t>
            </w:r>
          </w:p>
        </w:tc>
        <w:tc>
          <w:tcPr>
            <w:tcW w:w="2551" w:type="dxa"/>
            <w:vAlign w:val="center"/>
          </w:tcPr>
          <w:p>
            <w:pPr>
              <w:pStyle w:val="11"/>
            </w:pPr>
            <w:r>
              <w:t>105.00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4.00</w:t>
            </w:r>
          </w:p>
        </w:tc>
        <w:tc>
          <w:tcPr>
            <w:tcW w:w="2551" w:type="dxa"/>
            <w:vAlign w:val="center"/>
          </w:tcPr>
          <w:p>
            <w:pPr>
              <w:pStyle w:val="11"/>
            </w:pPr>
            <w:r>
              <w:t>4.00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12.80</w:t>
            </w:r>
          </w:p>
        </w:tc>
        <w:tc>
          <w:tcPr>
            <w:tcW w:w="2551" w:type="dxa"/>
            <w:vAlign w:val="center"/>
          </w:tcPr>
          <w:p>
            <w:pPr>
              <w:pStyle w:val="11"/>
            </w:pPr>
            <w:r>
              <w:t>12.80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7.00</w:t>
            </w:r>
          </w:p>
        </w:tc>
        <w:tc>
          <w:tcPr>
            <w:tcW w:w="2551" w:type="dxa"/>
            <w:vAlign w:val="center"/>
          </w:tcPr>
          <w:p>
            <w:pPr>
              <w:pStyle w:val="11"/>
            </w:pPr>
            <w:r>
              <w:t>7.00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15.00</w:t>
            </w:r>
          </w:p>
        </w:tc>
        <w:tc>
          <w:tcPr>
            <w:tcW w:w="2551" w:type="dxa"/>
            <w:vAlign w:val="center"/>
          </w:tcPr>
          <w:p>
            <w:pPr>
              <w:pStyle w:val="11"/>
            </w:pPr>
            <w:r>
              <w:t>15.00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7.50</w:t>
            </w:r>
          </w:p>
        </w:tc>
        <w:tc>
          <w:tcPr>
            <w:tcW w:w="2551" w:type="dxa"/>
            <w:vAlign w:val="center"/>
          </w:tcPr>
          <w:p>
            <w:pPr>
              <w:pStyle w:val="11"/>
            </w:pPr>
            <w:r>
              <w:t>7.50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3.00</w:t>
            </w:r>
          </w:p>
        </w:tc>
        <w:tc>
          <w:tcPr>
            <w:tcW w:w="2551" w:type="dxa"/>
            <w:vAlign w:val="center"/>
          </w:tcPr>
          <w:p>
            <w:pPr>
              <w:pStyle w:val="11"/>
            </w:pPr>
            <w:r>
              <w:t>3.00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0.80</w:t>
            </w:r>
          </w:p>
        </w:tc>
        <w:tc>
          <w:tcPr>
            <w:tcW w:w="2551" w:type="dxa"/>
            <w:vAlign w:val="center"/>
          </w:tcPr>
          <w:p>
            <w:pPr>
              <w:pStyle w:val="11"/>
            </w:pPr>
            <w:r>
              <w:t>0.80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14.00</w:t>
            </w:r>
          </w:p>
        </w:tc>
        <w:tc>
          <w:tcPr>
            <w:tcW w:w="2551" w:type="dxa"/>
            <w:vAlign w:val="center"/>
          </w:tcPr>
          <w:p>
            <w:pPr>
              <w:pStyle w:val="11"/>
            </w:pPr>
            <w:r>
              <w:t>14.00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69.00</w:t>
            </w:r>
          </w:p>
        </w:tc>
        <w:tc>
          <w:tcPr>
            <w:tcW w:w="2551" w:type="dxa"/>
            <w:vAlign w:val="center"/>
          </w:tcPr>
          <w:p>
            <w:pPr>
              <w:pStyle w:val="11"/>
            </w:pPr>
            <w:r>
              <w:t>69.00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5.46</w:t>
            </w:r>
          </w:p>
        </w:tc>
        <w:tc>
          <w:tcPr>
            <w:tcW w:w="2551" w:type="dxa"/>
            <w:vAlign w:val="center"/>
          </w:tcPr>
          <w:p>
            <w:pPr>
              <w:pStyle w:val="11"/>
            </w:pPr>
          </w:p>
        </w:tc>
        <w:tc>
          <w:tcPr>
            <w:tcW w:w="2552"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1.30</w:t>
            </w:r>
          </w:p>
        </w:tc>
        <w:tc>
          <w:tcPr>
            <w:tcW w:w="2551" w:type="dxa"/>
            <w:vAlign w:val="center"/>
          </w:tcPr>
          <w:p>
            <w:pPr>
              <w:pStyle w:val="11"/>
            </w:pPr>
          </w:p>
        </w:tc>
        <w:tc>
          <w:tcPr>
            <w:tcW w:w="2552"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0.40</w:t>
            </w:r>
          </w:p>
        </w:tc>
        <w:tc>
          <w:tcPr>
            <w:tcW w:w="2551" w:type="dxa"/>
            <w:vAlign w:val="center"/>
          </w:tcPr>
          <w:p>
            <w:pPr>
              <w:pStyle w:val="11"/>
            </w:pPr>
          </w:p>
        </w:tc>
        <w:tc>
          <w:tcPr>
            <w:tcW w:w="2552"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2"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1.80</w:t>
            </w:r>
          </w:p>
        </w:tc>
        <w:tc>
          <w:tcPr>
            <w:tcW w:w="2551" w:type="dxa"/>
            <w:vAlign w:val="center"/>
          </w:tcPr>
          <w:p>
            <w:pPr>
              <w:pStyle w:val="11"/>
            </w:pPr>
          </w:p>
        </w:tc>
        <w:tc>
          <w:tcPr>
            <w:tcW w:w="2552"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0.30</w:t>
            </w:r>
          </w:p>
        </w:tc>
        <w:tc>
          <w:tcPr>
            <w:tcW w:w="2551" w:type="dxa"/>
            <w:vAlign w:val="center"/>
          </w:tcPr>
          <w:p>
            <w:pPr>
              <w:pStyle w:val="11"/>
            </w:pPr>
          </w:p>
        </w:tc>
        <w:tc>
          <w:tcPr>
            <w:tcW w:w="2552"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0.30</w:t>
            </w:r>
          </w:p>
        </w:tc>
        <w:tc>
          <w:tcPr>
            <w:tcW w:w="2551" w:type="dxa"/>
            <w:vAlign w:val="center"/>
          </w:tcPr>
          <w:p>
            <w:pPr>
              <w:pStyle w:val="11"/>
            </w:pPr>
          </w:p>
        </w:tc>
        <w:tc>
          <w:tcPr>
            <w:tcW w:w="2552"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0.36</w:t>
            </w:r>
          </w:p>
        </w:tc>
        <w:tc>
          <w:tcPr>
            <w:tcW w:w="2551" w:type="dxa"/>
            <w:vAlign w:val="center"/>
          </w:tcPr>
          <w:p>
            <w:pPr>
              <w:pStyle w:val="11"/>
            </w:pPr>
          </w:p>
        </w:tc>
        <w:tc>
          <w:tcPr>
            <w:tcW w:w="2552"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19.60</w:t>
            </w:r>
          </w:p>
        </w:tc>
        <w:tc>
          <w:tcPr>
            <w:tcW w:w="2551" w:type="dxa"/>
            <w:vAlign w:val="center"/>
          </w:tcPr>
          <w:p>
            <w:pPr>
              <w:pStyle w:val="11"/>
            </w:pPr>
            <w:r>
              <w:t>19.60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19.60</w:t>
            </w:r>
          </w:p>
        </w:tc>
        <w:tc>
          <w:tcPr>
            <w:tcW w:w="2551" w:type="dxa"/>
            <w:vAlign w:val="center"/>
          </w:tcPr>
          <w:p>
            <w:pPr>
              <w:pStyle w:val="11"/>
            </w:pPr>
            <w:r>
              <w:t>19.60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551" w:type="dxa"/>
            <w:tcBorders>
              <w:top w:val="single" w:color="FFFFFF" w:sz="6" w:space="0"/>
              <w:left w:val="single" w:color="FFFFFF" w:sz="6" w:space="0"/>
              <w:right w:val="single" w:color="FFFFFF" w:sz="6" w:space="0"/>
            </w:tcBorders>
            <w:vAlign w:val="center"/>
          </w:tcPr>
          <w:p>
            <w:pPr>
              <w:pStyle w:val="8"/>
              <w:jc w:val="both"/>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149.60</w:t>
            </w:r>
          </w:p>
        </w:tc>
        <w:tc>
          <w:tcPr>
            <w:tcW w:w="2551" w:type="dxa"/>
            <w:vAlign w:val="center"/>
          </w:tcPr>
          <w:p>
            <w:pPr>
              <w:pStyle w:val="15"/>
            </w:pPr>
          </w:p>
        </w:tc>
        <w:tc>
          <w:tcPr>
            <w:tcW w:w="2551" w:type="dxa"/>
            <w:vAlign w:val="center"/>
          </w:tcPr>
          <w:p>
            <w:pPr>
              <w:pStyle w:val="15"/>
            </w:pPr>
            <w:r>
              <w:t>149.60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149.60</w:t>
            </w:r>
          </w:p>
        </w:tc>
        <w:tc>
          <w:tcPr>
            <w:tcW w:w="2551" w:type="dxa"/>
            <w:vAlign w:val="center"/>
          </w:tcPr>
          <w:p>
            <w:pPr>
              <w:pStyle w:val="11"/>
            </w:pPr>
          </w:p>
        </w:tc>
        <w:tc>
          <w:tcPr>
            <w:tcW w:w="2551" w:type="dxa"/>
            <w:vAlign w:val="center"/>
          </w:tcPr>
          <w:p>
            <w:pPr>
              <w:pStyle w:val="11"/>
            </w:pPr>
            <w:r>
              <w:t>149.60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149.60</w:t>
            </w:r>
          </w:p>
        </w:tc>
        <w:tc>
          <w:tcPr>
            <w:tcW w:w="2551" w:type="dxa"/>
            <w:vAlign w:val="center"/>
          </w:tcPr>
          <w:p>
            <w:pPr>
              <w:pStyle w:val="11"/>
            </w:pPr>
          </w:p>
        </w:tc>
        <w:tc>
          <w:tcPr>
            <w:tcW w:w="2551" w:type="dxa"/>
            <w:vAlign w:val="center"/>
          </w:tcPr>
          <w:p>
            <w:pPr>
              <w:pStyle w:val="11"/>
            </w:pPr>
            <w:r>
              <w:t>149.60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2120809</w:t>
            </w:r>
          </w:p>
        </w:tc>
        <w:tc>
          <w:tcPr>
            <w:tcW w:w="4535" w:type="dxa"/>
            <w:vAlign w:val="center"/>
          </w:tcPr>
          <w:p>
            <w:pPr>
              <w:pStyle w:val="12"/>
            </w:pPr>
            <w:r>
              <w:t>支付破产或改制企业职工安置费</w:t>
            </w:r>
          </w:p>
        </w:tc>
        <w:tc>
          <w:tcPr>
            <w:tcW w:w="2551" w:type="dxa"/>
            <w:vAlign w:val="center"/>
          </w:tcPr>
          <w:p>
            <w:pPr>
              <w:pStyle w:val="11"/>
            </w:pPr>
            <w:r>
              <w:t>149.60</w:t>
            </w:r>
          </w:p>
        </w:tc>
        <w:tc>
          <w:tcPr>
            <w:tcW w:w="2551" w:type="dxa"/>
            <w:vAlign w:val="center"/>
          </w:tcPr>
          <w:p>
            <w:pPr>
              <w:pStyle w:val="11"/>
            </w:pPr>
          </w:p>
        </w:tc>
        <w:tc>
          <w:tcPr>
            <w:tcW w:w="2551" w:type="dxa"/>
            <w:vAlign w:val="center"/>
          </w:tcPr>
          <w:p>
            <w:pPr>
              <w:pStyle w:val="11"/>
            </w:pPr>
            <w:r>
              <w:t>149.60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975平乡县供销合作社联合社</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平乡县供销合作社联合社2023年部门预算信息公开情况说明</w:t>
      </w:r>
    </w:p>
    <w:p>
      <w:pPr>
        <w:jc w:val="center"/>
      </w:pPr>
      <w:r>
        <w:rPr>
          <w:rFonts w:ascii="方正小标宋_GBK" w:hAnsi="方正小标宋_GBK" w:eastAsia="方正小标宋_GBK" w:cs="方正小标宋_GBK"/>
          <w:color w:val="000000"/>
          <w:sz w:val="44"/>
        </w:rPr>
        <w:t>平乡县供销合作社联合社2023年部门预算信息公开情况说明</w:t>
      </w:r>
    </w:p>
    <w:p>
      <w:pPr>
        <w:spacing w:line="500" w:lineRule="exact"/>
        <w:ind w:firstLine="560"/>
        <w:jc w:val="both"/>
      </w:pPr>
      <w:r>
        <w:rPr>
          <w:rFonts w:eastAsia="方正仿宋_GBK"/>
          <w:color w:val="000000"/>
          <w:sz w:val="28"/>
        </w:rPr>
        <w:t>按照《预算法》、《地方预决算公开操作规程》和《关于进一步推进预算公开工作的实施意见》规定，现将平乡县供销合作社联合社2023年部门预算公开如下：</w:t>
      </w:r>
    </w:p>
    <w:p>
      <w:pPr>
        <w:spacing w:before="10" w:after="10" w:line="360" w:lineRule="auto"/>
        <w:ind w:firstLine="640"/>
        <w:jc w:val="both"/>
        <w:outlineLvl w:val="2"/>
      </w:pPr>
      <w:bookmarkStart w:id="9" w:name="_Toc_3_3_0000000010"/>
      <w:r>
        <w:rPr>
          <w:rFonts w:ascii="黑体" w:hAnsi="黑体" w:eastAsia="黑体" w:cs="黑体"/>
          <w:color w:val="000000"/>
          <w:sz w:val="32"/>
        </w:rPr>
        <w:t>一、部门职责及机构设置情况</w:t>
      </w:r>
      <w:bookmarkEnd w:id="9"/>
    </w:p>
    <w:p>
      <w:pPr>
        <w:ind w:firstLine="640"/>
        <w:jc w:val="both"/>
      </w:pPr>
      <w:r>
        <w:rPr>
          <w:rFonts w:ascii="方正楷体_GBK" w:hAnsi="方正楷体_GBK" w:eastAsia="方正楷体_GBK" w:cs="方正楷体_GBK"/>
          <w:b/>
          <w:color w:val="000000"/>
          <w:sz w:val="32"/>
        </w:rPr>
        <w:t>部门职责：</w:t>
      </w:r>
    </w:p>
    <w:p>
      <w:pPr>
        <w:pStyle w:val="17"/>
        <w:jc w:val="both"/>
      </w:pPr>
      <w:r>
        <w:t>1、负责制定全县供销合作社的发展战略和发展规划，指导全县供销合作社的改革与发展。</w:t>
      </w:r>
    </w:p>
    <w:p>
      <w:pPr>
        <w:pStyle w:val="17"/>
        <w:jc w:val="both"/>
      </w:pPr>
      <w:r>
        <w:t>2、负责重要农业生产资料、农副产品和再生资源经营的组织、协调、管理。</w:t>
      </w:r>
    </w:p>
    <w:p>
      <w:pPr>
        <w:pStyle w:val="17"/>
        <w:jc w:val="both"/>
      </w:pPr>
      <w:r>
        <w:t>3、负责全县农民合作经济组织的管理与规范。</w:t>
      </w:r>
    </w:p>
    <w:p>
      <w:pPr>
        <w:pStyle w:val="17"/>
        <w:jc w:val="both"/>
      </w:pPr>
      <w:r>
        <w:t>4、完成县委、县政府交办的其他事项。</w:t>
      </w:r>
    </w:p>
    <w:p>
      <w:pPr>
        <w:ind w:firstLine="640"/>
        <w:jc w:val="both"/>
      </w:pPr>
      <w:r>
        <w:rPr>
          <w:rFonts w:ascii="方正楷体_GBK" w:hAnsi="方正楷体_GBK" w:eastAsia="方正楷体_GBK" w:cs="方正楷体_GBK"/>
          <w:b/>
          <w:color w:val="000000"/>
          <w:sz w:val="32"/>
        </w:rPr>
        <w:t>机构设置：</w:t>
      </w:r>
    </w:p>
    <w:p>
      <w:pPr>
        <w:jc w:val="both"/>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0"/>
              <w:jc w:val="both"/>
            </w:pPr>
            <w:r>
              <w:t>单位名称</w:t>
            </w:r>
          </w:p>
        </w:tc>
        <w:tc>
          <w:tcPr>
            <w:tcW w:w="1843" w:type="dxa"/>
            <w:vAlign w:val="center"/>
          </w:tcPr>
          <w:p>
            <w:pPr>
              <w:pStyle w:val="10"/>
              <w:jc w:val="both"/>
            </w:pPr>
            <w:r>
              <w:t>单位性质</w:t>
            </w:r>
          </w:p>
        </w:tc>
        <w:tc>
          <w:tcPr>
            <w:tcW w:w="2126" w:type="dxa"/>
            <w:vAlign w:val="center"/>
          </w:tcPr>
          <w:p>
            <w:pPr>
              <w:pStyle w:val="10"/>
              <w:jc w:val="both"/>
            </w:pPr>
            <w:r>
              <w:t>单位规格</w:t>
            </w:r>
          </w:p>
        </w:tc>
        <w:tc>
          <w:tcPr>
            <w:tcW w:w="3827" w:type="dxa"/>
            <w:vAlign w:val="center"/>
          </w:tcPr>
          <w:p>
            <w:pPr>
              <w:pStyle w:val="10"/>
              <w:jc w:val="both"/>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2"/>
              <w:jc w:val="both"/>
            </w:pPr>
            <w:r>
              <w:t>平乡县供销合作社联合社本级</w:t>
            </w:r>
          </w:p>
        </w:tc>
        <w:tc>
          <w:tcPr>
            <w:tcW w:w="1843" w:type="dxa"/>
            <w:vAlign w:val="center"/>
          </w:tcPr>
          <w:p>
            <w:pPr>
              <w:pStyle w:val="13"/>
              <w:jc w:val="both"/>
            </w:pPr>
            <w:r>
              <w:t>事业</w:t>
            </w:r>
          </w:p>
        </w:tc>
        <w:tc>
          <w:tcPr>
            <w:tcW w:w="2126" w:type="dxa"/>
            <w:vAlign w:val="center"/>
          </w:tcPr>
          <w:p>
            <w:pPr>
              <w:pStyle w:val="13"/>
              <w:jc w:val="both"/>
            </w:pPr>
            <w:r>
              <w:t>正科级</w:t>
            </w:r>
          </w:p>
        </w:tc>
        <w:tc>
          <w:tcPr>
            <w:tcW w:w="3827" w:type="dxa"/>
            <w:vAlign w:val="center"/>
          </w:tcPr>
          <w:p>
            <w:pPr>
              <w:pStyle w:val="13"/>
              <w:jc w:val="both"/>
            </w:pPr>
            <w:r>
              <w:t>财政性资金基本保证</w:t>
            </w:r>
          </w:p>
        </w:tc>
      </w:tr>
    </w:tbl>
    <w:p>
      <w:pPr>
        <w:spacing w:before="10" w:after="10" w:line="360" w:lineRule="auto"/>
        <w:ind w:firstLine="640"/>
        <w:jc w:val="both"/>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jc w:val="both"/>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部门预算的编制实行综合预算管理，即全部收入和支出都反映在预算中。平乡县供销合作社联合社机关及所属事业单位的收支包含在部门预算中。</w:t>
      </w:r>
    </w:p>
    <w:p>
      <w:pPr>
        <w:pStyle w:val="18"/>
        <w:jc w:val="both"/>
      </w:pPr>
      <w:r>
        <w:t>1、收入说明</w:t>
      </w:r>
    </w:p>
    <w:p>
      <w:pPr>
        <w:pStyle w:val="18"/>
        <w:jc w:val="both"/>
      </w:pPr>
      <w:r>
        <w:t>反映本部门当年全部收入。2023年预算收入463.36万元，其中：一般公共预算收入313.76万元，基金预算收入149.6万元，财政专户核拨收入0万元，其他来源收入0万元，上年结转0万元。</w:t>
      </w:r>
    </w:p>
    <w:p>
      <w:pPr>
        <w:pStyle w:val="18"/>
        <w:jc w:val="both"/>
      </w:pPr>
      <w:r>
        <w:t>2、支出说明</w:t>
      </w:r>
    </w:p>
    <w:p>
      <w:pPr>
        <w:pStyle w:val="18"/>
        <w:jc w:val="both"/>
      </w:pPr>
      <w:r>
        <w:t>收支预算总表支出栏、基本支出表、项目支出表按经济分类和支出功能分类科目编制，反映平乡县供销合作社联合社年度部门预算中支出预算的总体情况。2022年部门支出预算为463.36万元，其中基本支出263.16万元，包括人员经费257.7万元和日常公用经费5.46万元；项目支出200.2万元，主要为服务体系建设、综合事务管理、农村产权交易服务、落实重新安置军队退役人员待遇、棉麻公司职工安置及遗属补助。</w:t>
      </w:r>
    </w:p>
    <w:p>
      <w:pPr>
        <w:pStyle w:val="18"/>
        <w:jc w:val="both"/>
      </w:pPr>
      <w:r>
        <w:t>3、比上年增减情况</w:t>
      </w:r>
    </w:p>
    <w:p>
      <w:pPr>
        <w:pStyle w:val="18"/>
        <w:jc w:val="both"/>
      </w:pPr>
      <w:r>
        <w:t>2023年部门预算收支安排463.36万元，较2022年减少24.89万元，主要是项目支出减少，原因是项目棉麻公司职工安置费和遗属补助预算减少。</w:t>
      </w:r>
    </w:p>
    <w:p>
      <w:pPr>
        <w:spacing w:before="10" w:after="10" w:line="360" w:lineRule="auto"/>
        <w:ind w:firstLine="640"/>
        <w:jc w:val="both"/>
        <w:outlineLvl w:val="2"/>
      </w:pPr>
      <w:bookmarkStart w:id="11" w:name="_Toc_3_3_0000000012"/>
      <w:r>
        <w:rPr>
          <w:rFonts w:ascii="黑体" w:hAnsi="黑体" w:eastAsia="黑体" w:cs="黑体"/>
          <w:color w:val="000000"/>
          <w:sz w:val="32"/>
        </w:rPr>
        <w:t>三、机关运行经费安排情况</w:t>
      </w:r>
      <w:bookmarkEnd w:id="11"/>
    </w:p>
    <w:p>
      <w:pPr>
        <w:pStyle w:val="19"/>
        <w:jc w:val="both"/>
      </w:pPr>
      <w:r>
        <w:t>2023年，我部门机关运行经费共计安排5.46万元，主要用于保证机关正常运转的办公费、邮电费、办公用房水电费、福利费、工会经费等日常支出。</w:t>
      </w:r>
    </w:p>
    <w:p>
      <w:pPr>
        <w:spacing w:before="10" w:after="10" w:line="360" w:lineRule="auto"/>
        <w:ind w:firstLine="640"/>
        <w:jc w:val="both"/>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jc w:val="both"/>
      </w:pPr>
      <w:r>
        <w:t>2023年，我部门财政拨款“三公”经费预算安排0万元，其中：因公出国（境）费0万元；公务用车购置及运维费0万元（其中：公务用车购置费0万元，公务用车运行维护费0万元) ；公务接待费0万元。“三公”经费与上年持平。</w:t>
      </w:r>
    </w:p>
    <w:p>
      <w:pPr>
        <w:spacing w:before="10" w:after="10" w:line="360" w:lineRule="auto"/>
        <w:ind w:firstLine="640"/>
        <w:jc w:val="both"/>
        <w:outlineLvl w:val="2"/>
      </w:pPr>
      <w:bookmarkStart w:id="13" w:name="_Toc_3_3_0000000014"/>
      <w:r>
        <w:rPr>
          <w:rFonts w:ascii="黑体" w:hAnsi="黑体" w:eastAsia="黑体" w:cs="黑体"/>
          <w:color w:val="000000"/>
          <w:sz w:val="32"/>
        </w:rPr>
        <w:t>五、预算绩效信息</w:t>
      </w:r>
      <w:bookmarkEnd w:id="13"/>
    </w:p>
    <w:p>
      <w:pPr>
        <w:ind w:firstLine="640"/>
        <w:jc w:val="both"/>
      </w:pPr>
      <w:r>
        <w:rPr>
          <w:rFonts w:ascii="方正楷体_GBK" w:hAnsi="方正楷体_GBK" w:eastAsia="方正楷体_GBK" w:cs="方正楷体_GBK"/>
          <w:b/>
          <w:color w:val="000000"/>
          <w:sz w:val="32"/>
        </w:rPr>
        <w:t>第一部分 部门整体绩效目标</w:t>
      </w:r>
    </w:p>
    <w:p>
      <w:pPr>
        <w:spacing w:line="500" w:lineRule="exact"/>
        <w:ind w:firstLine="560"/>
        <w:jc w:val="both"/>
      </w:pPr>
      <w:r>
        <w:rPr>
          <w:rFonts w:eastAsia="方正仿宋_GBK"/>
          <w:color w:val="000000"/>
          <w:sz w:val="28"/>
        </w:rPr>
        <w:t>（一）总体绩效目标</w:t>
      </w:r>
    </w:p>
    <w:p>
      <w:pPr>
        <w:pStyle w:val="21"/>
        <w:jc w:val="both"/>
      </w:pPr>
      <w:r>
        <w:t>紧紧围绕机关中心工作，确保各项工作谋划、实施、督导落实到位顺利开展，确保机关信息畅通，工作有序、高效、正常运转。抓好农村产权交易工作，为农村及涉农各类产权交易、流转交易提供政策咨询、产权登记、产权交易、产权抵贷、产权评估、产权收储、合同</w:t>
      </w:r>
      <w:r>
        <w:rPr>
          <w:rFonts w:hint="eastAsia"/>
          <w:lang w:eastAsia="zh-CN"/>
        </w:rPr>
        <w:t>鉴</w:t>
      </w:r>
      <w:r>
        <w:t>证等专业化服务</w:t>
      </w:r>
      <w:r>
        <w:rPr>
          <w:rFonts w:hint="eastAsia"/>
          <w:lang w:eastAsia="zh-CN"/>
        </w:rPr>
        <w:t>，</w:t>
      </w:r>
      <w:r>
        <w:t>服务乡村个数253个，保障服务质量优化。抓好项目建设</w:t>
      </w:r>
      <w:r>
        <w:rPr>
          <w:rFonts w:hint="eastAsia"/>
          <w:lang w:eastAsia="zh-CN"/>
        </w:rPr>
        <w:t>，</w:t>
      </w:r>
      <w:r>
        <w:t>加快乡镇供销社商贸综合体项目建设，展现乡镇供销社良好形象。新建农村综合服务社15个，提升基层社2个，土地托管和农业技术服务5000亩，开展产销对接1次，保障工作完成率和质量合格率。严格落实国家、省、市各项安置退役士兵安置政策</w:t>
      </w:r>
      <w:r>
        <w:rPr>
          <w:rFonts w:hint="eastAsia"/>
          <w:lang w:eastAsia="zh-CN"/>
        </w:rPr>
        <w:t>，</w:t>
      </w:r>
      <w:r>
        <w:t>落实符合条件重新安置军队退役人员工资待遇，确保2023年工资全额发放到手。棉麻公司职工安置及遗属补助</w:t>
      </w:r>
      <w:r>
        <w:rPr>
          <w:rFonts w:hint="eastAsia"/>
          <w:lang w:eastAsia="zh-CN"/>
        </w:rPr>
        <w:t>，</w:t>
      </w:r>
      <w:r>
        <w:t>严格落实县领导议事会议纪要【2022】1号文，解决县棉麻公司职工历史遗留问题，解决63名棉麻公司职工及4名遗属安置</w:t>
      </w:r>
      <w:r>
        <w:rPr>
          <w:rFonts w:hint="eastAsia"/>
          <w:lang w:eastAsia="zh-CN"/>
        </w:rPr>
        <w:t>，</w:t>
      </w:r>
      <w:r>
        <w:t>保障棉麻公司职工及遗属各项补贴发放到位，生活得到保障。</w:t>
      </w:r>
    </w:p>
    <w:p>
      <w:pPr>
        <w:spacing w:line="500" w:lineRule="exact"/>
        <w:ind w:firstLine="560"/>
        <w:jc w:val="both"/>
      </w:pPr>
      <w:r>
        <w:rPr>
          <w:rFonts w:eastAsia="方正仿宋_GBK"/>
          <w:color w:val="000000"/>
          <w:sz w:val="28"/>
        </w:rPr>
        <w:t>（二）分项绩效目标</w:t>
      </w:r>
    </w:p>
    <w:p>
      <w:pPr>
        <w:pStyle w:val="22"/>
        <w:jc w:val="both"/>
      </w:pPr>
      <w:r>
        <w:t>1、年度财政预算资金支出及时准确有效，保障全体员工日常工作的正常运行。</w:t>
      </w:r>
    </w:p>
    <w:p>
      <w:pPr>
        <w:pStyle w:val="22"/>
        <w:jc w:val="both"/>
      </w:pPr>
      <w:r>
        <w:t>绩效目标：重点做好财政预算资金按进度要求及时准确支出有效，保证机关日常工作正常运行，激发员工工作积极性，提高年终考核成绩，圆满完成年度各项工作任务。</w:t>
      </w:r>
    </w:p>
    <w:p>
      <w:pPr>
        <w:pStyle w:val="22"/>
        <w:jc w:val="both"/>
      </w:pPr>
      <w:r>
        <w:t>绩效指标： 社会保障费合规按时完成缴纳率达到95%以上。人员工资调整合规按时完成率达到100%。公用经费资金按进度合理合规有效支出达到95%以上。项目经费资金依据项目开展计划支出，支出率在95%以上（若有政策变化，按新政策决定支出情况）。</w:t>
      </w:r>
    </w:p>
    <w:p>
      <w:pPr>
        <w:pStyle w:val="22"/>
        <w:jc w:val="both"/>
      </w:pPr>
      <w:r>
        <w:t>2、创新供销合作社体制和机制，增强为农服务能力</w:t>
      </w:r>
    </w:p>
    <w:p>
      <w:pPr>
        <w:pStyle w:val="22"/>
        <w:jc w:val="both"/>
      </w:pPr>
      <w:r>
        <w:t>绩效目标：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pStyle w:val="22"/>
        <w:jc w:val="both"/>
      </w:pPr>
      <w:r>
        <w:t>绩效指标：用于紧紧围绕“三农”工作大局，以密切与农民利益联结为核心，以提升为农服务为根本，建设供销社乡村振兴为农服务中心、农村综合服务站、农特产品展示中心，创建供销电商服务体系，形成综合性、规模化、可持续的为农服务体系。</w:t>
      </w:r>
    </w:p>
    <w:p>
      <w:pPr>
        <w:pStyle w:val="22"/>
        <w:jc w:val="both"/>
      </w:pPr>
      <w:r>
        <w:t>3、抓好农村产权交易工作</w:t>
      </w:r>
    </w:p>
    <w:p>
      <w:pPr>
        <w:pStyle w:val="22"/>
        <w:jc w:val="both"/>
      </w:pPr>
      <w:r>
        <w:t>绩效目标：为农村及涉农各类产权流转交易提供政策咨询、产权登记、产权交易、产权抵贷、产权评估、产权收储、合同鉴证等专业化服务，推动农村产权流转交易公正、公开、规范运行。</w:t>
      </w:r>
    </w:p>
    <w:p>
      <w:pPr>
        <w:pStyle w:val="22"/>
        <w:jc w:val="both"/>
      </w:pPr>
      <w:r>
        <w:t>绩效指标：建设农村产权交易中心 。尽快 建成省、市、县三级一体化运营体系，实现交易平台、信息发布、交易规则、收费标准、交易鉴证、档案管理等“六统一”。推动农村产权流转交易公正、公开、规范运行。</w:t>
      </w:r>
    </w:p>
    <w:p>
      <w:pPr>
        <w:pStyle w:val="22"/>
        <w:jc w:val="both"/>
      </w:pPr>
      <w:r>
        <w:t>4、综合事务管理</w:t>
      </w:r>
    </w:p>
    <w:p>
      <w:pPr>
        <w:pStyle w:val="22"/>
        <w:jc w:val="both"/>
      </w:pPr>
      <w:r>
        <w:t>绩效目标：紧紧围绕机关中心工作，确保各项工作谋划、实施、督导落实到位顺利开展，确保机关信息畅通、工作有序、高效、正常运转。确保财务管理规范、资产保值增值，确保党建、人事管理工作规范。</w:t>
      </w:r>
    </w:p>
    <w:p>
      <w:pPr>
        <w:pStyle w:val="22"/>
        <w:jc w:val="both"/>
      </w:pPr>
      <w:r>
        <w:t>绩效指标：会议组织管理、信息化建设与维护、机关财务和资产管理、标准化建设、基建及维修、设备购置、人事管理、机关党工委工作、老干部工作等。采取保障机关工作办公环境的措施，提升管理水平，保障机关工作的正常运转。</w:t>
      </w:r>
    </w:p>
    <w:p>
      <w:pPr>
        <w:pStyle w:val="22"/>
        <w:jc w:val="both"/>
      </w:pPr>
      <w:r>
        <w:t>5、落实重新安置军队退役人员待遇</w:t>
      </w:r>
    </w:p>
    <w:p>
      <w:pPr>
        <w:pStyle w:val="22"/>
        <w:jc w:val="both"/>
      </w:pPr>
      <w:r>
        <w:t>绩效目标：严格落实国家、省、市各项安置退役士兵安置政策。落实符合条件重新安置军队退役人员工资待遇，确保2023年工资全额发放到手。</w:t>
      </w:r>
    </w:p>
    <w:p>
      <w:pPr>
        <w:pStyle w:val="22"/>
        <w:jc w:val="both"/>
      </w:pPr>
      <w:r>
        <w:t>绩效指标：保证医保、养老保险、工伤保险及时全额缴纳，让涉军人员享受到各项保险补贴政策。生活得到保障，三险缴费不脱节，老有所养，生病住院能报销，让退役军人无后顾之忧。</w:t>
      </w:r>
    </w:p>
    <w:p>
      <w:pPr>
        <w:pStyle w:val="22"/>
        <w:jc w:val="both"/>
      </w:pPr>
      <w:r>
        <w:t>6、棉麻公司职工安置及遗属补助</w:t>
      </w:r>
    </w:p>
    <w:p>
      <w:pPr>
        <w:pStyle w:val="22"/>
        <w:jc w:val="both"/>
      </w:pPr>
      <w:r>
        <w:t>绩效目标：严格落实县领导议事会议纪要【2022】1号文，解决县棉麻公司职工历史遗留问题，解决63名棉麻公司职工及4名遗属安置。</w:t>
      </w:r>
    </w:p>
    <w:p>
      <w:pPr>
        <w:pStyle w:val="22"/>
        <w:jc w:val="both"/>
      </w:pPr>
      <w:r>
        <w:t>绩效指标：保证棉麻公司职工及遗属各项补贴发放到位，生活得到保障。</w:t>
      </w:r>
    </w:p>
    <w:p>
      <w:pPr>
        <w:spacing w:line="500" w:lineRule="exact"/>
        <w:ind w:firstLine="560"/>
        <w:jc w:val="both"/>
      </w:pPr>
      <w:r>
        <w:rPr>
          <w:rFonts w:eastAsia="方正仿宋_GBK"/>
          <w:color w:val="000000"/>
          <w:sz w:val="28"/>
        </w:rPr>
        <w:t>（三）工作保障措施</w:t>
      </w:r>
    </w:p>
    <w:p>
      <w:pPr>
        <w:pStyle w:val="23"/>
        <w:jc w:val="both"/>
      </w:pPr>
      <w:r>
        <w:t>1、完善制度建设，加强组织领导。将事前评估、目标管理、运行监控、绩效评价、结果应用等各项改革措施，有效融入预算管理的全过程环节，建立健全预算绩效管理的路径和制度体系。成立由主要领导同志任组长的预算绩效工作领导小组，分设业务小组，建立统筹协调、分工协作、密切配合、合力推进的工作机制。围绕年度总体绩效目标和分类绩效目标，细化工作方案，明确责任主体、实施进度要求，确保如期完成。</w:t>
      </w:r>
    </w:p>
    <w:p>
      <w:pPr>
        <w:pStyle w:val="23"/>
        <w:jc w:val="both"/>
      </w:pPr>
      <w:r>
        <w:t>2、加强支出管理。按照“谁花钱、谁负责，谁牵总、谁主责”的原则，明确业务单位（科室）预算绩效管理职责。充分调动各项目主管单位（科室）的积极性和主动性，由业务单位（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23"/>
        <w:jc w:val="both"/>
      </w:pPr>
      <w:r>
        <w:t>3、加强绩效运行监控。强化财政预算执行的刚性约束，及时启动项目和支付资金，加快履行政府采购程序，优化部门预算支出结构，创新财政资金支出思路，合理改进支出方式，确保按照时间节点完成支出任务。进一步加快支付资金下达进度，督促项目相关单位（科室）加快执行进度。规范财政资金使用和管理，强化内部控制制度建设，更好地发挥财政资金的使用效益。</w:t>
      </w:r>
    </w:p>
    <w:p>
      <w:pPr>
        <w:pStyle w:val="23"/>
        <w:jc w:val="both"/>
      </w:pPr>
      <w:r>
        <w:t>4、做好绩效评价。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3"/>
        <w:jc w:val="both"/>
      </w:pPr>
      <w:r>
        <w:t>5、加强宣传培训调研。组织开展多轮次、多角度的业务培训，使本单位干部职工中牢固树立绩效理念，熟悉管理流程，掌握工作方法，提升管理能力。各单位（科室）要探索工作经验，及时总结预算绩效管理成效，营造良好的舆论氛围。积极采取购买服务等方式，利用专业机构力量开展工作，提升预算绩效管理科学水平。</w:t>
      </w:r>
    </w:p>
    <w:p>
      <w:pPr>
        <w:pStyle w:val="23"/>
        <w:jc w:val="both"/>
      </w:pPr>
      <w:r>
        <w:t>6、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pStyle w:val="23"/>
        <w:jc w:val="both"/>
      </w:pPr>
      <w:r>
        <w:t>7、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3"/>
        <w:jc w:val="both"/>
      </w:pPr>
    </w:p>
    <w:p>
      <w:pPr>
        <w:ind w:firstLine="640"/>
        <w:jc w:val="both"/>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1、服务体系建设绩效目标表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1.新建农村综合服务社15个，提升基层社2个，土地托管和农业技术服务5000亩，开展产销对接1次。</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2410"/>
        <w:gridCol w:w="2835"/>
        <w:gridCol w:w="2835"/>
        <w:gridCol w:w="1955"/>
        <w:gridCol w:w="2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5" w:type="dxa"/>
            <w:vAlign w:val="center"/>
          </w:tcPr>
          <w:p>
            <w:pPr>
              <w:pStyle w:val="10"/>
            </w:pPr>
            <w:r>
              <w:t>一级指标</w:t>
            </w:r>
          </w:p>
        </w:tc>
        <w:tc>
          <w:tcPr>
            <w:tcW w:w="2410"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1955" w:type="dxa"/>
            <w:vAlign w:val="center"/>
          </w:tcPr>
          <w:p>
            <w:pPr>
              <w:pStyle w:val="10"/>
            </w:pPr>
            <w:r>
              <w:t>指标值</w:t>
            </w:r>
          </w:p>
        </w:tc>
        <w:tc>
          <w:tcPr>
            <w:tcW w:w="286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5" w:type="dxa"/>
            <w:vMerge w:val="restart"/>
            <w:vAlign w:val="center"/>
          </w:tcPr>
          <w:p>
            <w:pPr>
              <w:pStyle w:val="13"/>
            </w:pPr>
            <w:r>
              <w:t>产出指标</w:t>
            </w:r>
          </w:p>
        </w:tc>
        <w:tc>
          <w:tcPr>
            <w:tcW w:w="2410" w:type="dxa"/>
            <w:vAlign w:val="center"/>
          </w:tcPr>
          <w:p>
            <w:pPr>
              <w:pStyle w:val="12"/>
            </w:pPr>
            <w:r>
              <w:t>质量指标</w:t>
            </w:r>
          </w:p>
        </w:tc>
        <w:tc>
          <w:tcPr>
            <w:tcW w:w="2835" w:type="dxa"/>
            <w:vAlign w:val="center"/>
          </w:tcPr>
          <w:p>
            <w:pPr>
              <w:pStyle w:val="12"/>
            </w:pPr>
            <w:r>
              <w:t>工作完成质量合格率</w:t>
            </w:r>
          </w:p>
        </w:tc>
        <w:tc>
          <w:tcPr>
            <w:tcW w:w="2835" w:type="dxa"/>
            <w:vAlign w:val="center"/>
          </w:tcPr>
          <w:p>
            <w:pPr>
              <w:pStyle w:val="12"/>
            </w:pPr>
            <w:r>
              <w:t>工作完成质量合格率</w:t>
            </w:r>
          </w:p>
        </w:tc>
        <w:tc>
          <w:tcPr>
            <w:tcW w:w="1955" w:type="dxa"/>
            <w:vAlign w:val="center"/>
          </w:tcPr>
          <w:p>
            <w:pPr>
              <w:pStyle w:val="12"/>
            </w:pPr>
            <w:r>
              <w:t>≥95%</w:t>
            </w:r>
          </w:p>
        </w:tc>
        <w:tc>
          <w:tcPr>
            <w:tcW w:w="2864"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5" w:type="dxa"/>
            <w:vMerge w:val="continue"/>
            <w:vAlign w:val="center"/>
          </w:tcPr>
          <w:p/>
        </w:tc>
        <w:tc>
          <w:tcPr>
            <w:tcW w:w="2410"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预算实际支出</w:t>
            </w:r>
          </w:p>
        </w:tc>
        <w:tc>
          <w:tcPr>
            <w:tcW w:w="1955" w:type="dxa"/>
            <w:vAlign w:val="center"/>
          </w:tcPr>
          <w:p>
            <w:pPr>
              <w:pStyle w:val="12"/>
            </w:pPr>
            <w:r>
              <w:t>≤14000元</w:t>
            </w:r>
          </w:p>
        </w:tc>
        <w:tc>
          <w:tcPr>
            <w:tcW w:w="2864" w:type="dxa"/>
            <w:vAlign w:val="center"/>
          </w:tcPr>
          <w:p>
            <w:pPr>
              <w:pStyle w:val="12"/>
            </w:pPr>
            <w:r>
              <w:rPr>
                <w:rFonts w:hint="eastAsia"/>
                <w:lang w:eastAsia="zh-CN"/>
              </w:rPr>
              <w:t>银</w:t>
            </w:r>
            <w:r>
              <w:t>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5" w:type="dxa"/>
            <w:vMerge w:val="continue"/>
            <w:vAlign w:val="center"/>
          </w:tcPr>
          <w:p/>
        </w:tc>
        <w:tc>
          <w:tcPr>
            <w:tcW w:w="2410" w:type="dxa"/>
            <w:vAlign w:val="center"/>
          </w:tcPr>
          <w:p>
            <w:pPr>
              <w:pStyle w:val="12"/>
            </w:pPr>
            <w:r>
              <w:t>数量指标</w:t>
            </w:r>
          </w:p>
        </w:tc>
        <w:tc>
          <w:tcPr>
            <w:tcW w:w="2835" w:type="dxa"/>
            <w:vAlign w:val="center"/>
          </w:tcPr>
          <w:p>
            <w:pPr>
              <w:pStyle w:val="12"/>
            </w:pPr>
            <w:r>
              <w:t>建设综合服务社（个）</w:t>
            </w:r>
          </w:p>
        </w:tc>
        <w:tc>
          <w:tcPr>
            <w:tcW w:w="2835" w:type="dxa"/>
            <w:vAlign w:val="center"/>
          </w:tcPr>
          <w:p>
            <w:pPr>
              <w:pStyle w:val="12"/>
            </w:pPr>
            <w:r>
              <w:t>合作建设村级综合服务社数量</w:t>
            </w:r>
          </w:p>
        </w:tc>
        <w:tc>
          <w:tcPr>
            <w:tcW w:w="1955" w:type="dxa"/>
            <w:vAlign w:val="center"/>
          </w:tcPr>
          <w:p>
            <w:pPr>
              <w:pStyle w:val="12"/>
            </w:pPr>
            <w:r>
              <w:t>15个</w:t>
            </w:r>
          </w:p>
        </w:tc>
        <w:tc>
          <w:tcPr>
            <w:tcW w:w="2864" w:type="dxa"/>
            <w:vAlign w:val="center"/>
          </w:tcPr>
          <w:p>
            <w:pPr>
              <w:pStyle w:val="12"/>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5" w:type="dxa"/>
            <w:vMerge w:val="continue"/>
            <w:vAlign w:val="center"/>
          </w:tcPr>
          <w:p/>
        </w:tc>
        <w:tc>
          <w:tcPr>
            <w:tcW w:w="2410" w:type="dxa"/>
            <w:vAlign w:val="center"/>
          </w:tcPr>
          <w:p>
            <w:pPr>
              <w:pStyle w:val="12"/>
            </w:pPr>
            <w:r>
              <w:t>数量指标</w:t>
            </w:r>
          </w:p>
        </w:tc>
        <w:tc>
          <w:tcPr>
            <w:tcW w:w="2835" w:type="dxa"/>
            <w:vAlign w:val="center"/>
          </w:tcPr>
          <w:p>
            <w:pPr>
              <w:pStyle w:val="12"/>
            </w:pPr>
            <w:r>
              <w:t>土地托管和农业技术服务</w:t>
            </w:r>
          </w:p>
        </w:tc>
        <w:tc>
          <w:tcPr>
            <w:tcW w:w="2835" w:type="dxa"/>
            <w:vAlign w:val="center"/>
          </w:tcPr>
          <w:p>
            <w:pPr>
              <w:pStyle w:val="12"/>
            </w:pPr>
            <w:r>
              <w:t>土地托管和农业技术亩数</w:t>
            </w:r>
          </w:p>
        </w:tc>
        <w:tc>
          <w:tcPr>
            <w:tcW w:w="1955" w:type="dxa"/>
            <w:vAlign w:val="center"/>
          </w:tcPr>
          <w:p>
            <w:pPr>
              <w:pStyle w:val="12"/>
            </w:pPr>
            <w:r>
              <w:t>5000亩</w:t>
            </w:r>
          </w:p>
        </w:tc>
        <w:tc>
          <w:tcPr>
            <w:tcW w:w="2864" w:type="dxa"/>
            <w:vAlign w:val="center"/>
          </w:tcPr>
          <w:p>
            <w:pPr>
              <w:pStyle w:val="12"/>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5" w:type="dxa"/>
            <w:vMerge w:val="continue"/>
            <w:vAlign w:val="center"/>
          </w:tcPr>
          <w:p/>
        </w:tc>
        <w:tc>
          <w:tcPr>
            <w:tcW w:w="2410" w:type="dxa"/>
            <w:vAlign w:val="center"/>
          </w:tcPr>
          <w:p>
            <w:pPr>
              <w:pStyle w:val="12"/>
            </w:pPr>
            <w:r>
              <w:t>数量指标</w:t>
            </w:r>
          </w:p>
        </w:tc>
        <w:tc>
          <w:tcPr>
            <w:tcW w:w="2835" w:type="dxa"/>
            <w:vAlign w:val="center"/>
          </w:tcPr>
          <w:p>
            <w:pPr>
              <w:pStyle w:val="12"/>
            </w:pPr>
            <w:r>
              <w:t>提升基层社</w:t>
            </w:r>
          </w:p>
        </w:tc>
        <w:tc>
          <w:tcPr>
            <w:tcW w:w="2835" w:type="dxa"/>
            <w:vAlign w:val="center"/>
          </w:tcPr>
          <w:p>
            <w:pPr>
              <w:pStyle w:val="12"/>
            </w:pPr>
            <w:r>
              <w:t>提升村级基层社</w:t>
            </w:r>
          </w:p>
        </w:tc>
        <w:tc>
          <w:tcPr>
            <w:tcW w:w="1955" w:type="dxa"/>
            <w:vAlign w:val="center"/>
          </w:tcPr>
          <w:p>
            <w:pPr>
              <w:pStyle w:val="12"/>
            </w:pPr>
            <w:r>
              <w:t>2个</w:t>
            </w:r>
          </w:p>
        </w:tc>
        <w:tc>
          <w:tcPr>
            <w:tcW w:w="2864" w:type="dxa"/>
            <w:vAlign w:val="center"/>
          </w:tcPr>
          <w:p>
            <w:pPr>
              <w:pStyle w:val="12"/>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46" w:hRule="atLeast"/>
          <w:jc w:val="center"/>
        </w:trPr>
        <w:tc>
          <w:tcPr>
            <w:tcW w:w="1275" w:type="dxa"/>
            <w:vMerge w:val="continue"/>
            <w:vAlign w:val="center"/>
          </w:tcPr>
          <w:p/>
        </w:tc>
        <w:tc>
          <w:tcPr>
            <w:tcW w:w="2410" w:type="dxa"/>
            <w:vAlign w:val="center"/>
          </w:tcPr>
          <w:p>
            <w:pPr>
              <w:pStyle w:val="12"/>
            </w:pPr>
            <w:r>
              <w:t>数量指标</w:t>
            </w:r>
          </w:p>
        </w:tc>
        <w:tc>
          <w:tcPr>
            <w:tcW w:w="2835" w:type="dxa"/>
            <w:vAlign w:val="center"/>
          </w:tcPr>
          <w:p>
            <w:pPr>
              <w:pStyle w:val="12"/>
            </w:pPr>
            <w:r>
              <w:t>开展产销对接</w:t>
            </w:r>
          </w:p>
        </w:tc>
        <w:tc>
          <w:tcPr>
            <w:tcW w:w="2835" w:type="dxa"/>
            <w:vAlign w:val="center"/>
          </w:tcPr>
          <w:p>
            <w:pPr>
              <w:pStyle w:val="12"/>
            </w:pPr>
            <w:r>
              <w:t>开展产销对接</w:t>
            </w:r>
          </w:p>
        </w:tc>
        <w:tc>
          <w:tcPr>
            <w:tcW w:w="1955" w:type="dxa"/>
            <w:vAlign w:val="center"/>
          </w:tcPr>
          <w:p>
            <w:pPr>
              <w:pStyle w:val="12"/>
            </w:pPr>
            <w:r>
              <w:t>1次</w:t>
            </w:r>
          </w:p>
        </w:tc>
        <w:tc>
          <w:tcPr>
            <w:tcW w:w="2864" w:type="dxa"/>
            <w:vAlign w:val="center"/>
          </w:tcPr>
          <w:p>
            <w:pPr>
              <w:pStyle w:val="12"/>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7" w:hRule="atLeast"/>
          <w:jc w:val="center"/>
        </w:trPr>
        <w:tc>
          <w:tcPr>
            <w:tcW w:w="1275" w:type="dxa"/>
            <w:vMerge w:val="continue"/>
            <w:vAlign w:val="center"/>
          </w:tcPr>
          <w:p/>
        </w:tc>
        <w:tc>
          <w:tcPr>
            <w:tcW w:w="2410" w:type="dxa"/>
            <w:vAlign w:val="center"/>
          </w:tcPr>
          <w:p>
            <w:pPr>
              <w:pStyle w:val="12"/>
            </w:pPr>
            <w:r>
              <w:t>时效指标</w:t>
            </w:r>
          </w:p>
        </w:tc>
        <w:tc>
          <w:tcPr>
            <w:tcW w:w="2835" w:type="dxa"/>
            <w:vAlign w:val="center"/>
          </w:tcPr>
          <w:p>
            <w:pPr>
              <w:pStyle w:val="12"/>
            </w:pPr>
            <w:r>
              <w:t>项目时效</w:t>
            </w:r>
          </w:p>
        </w:tc>
        <w:tc>
          <w:tcPr>
            <w:tcW w:w="2835" w:type="dxa"/>
            <w:vAlign w:val="center"/>
          </w:tcPr>
          <w:p>
            <w:pPr>
              <w:pStyle w:val="12"/>
            </w:pPr>
            <w:r>
              <w:t>按年计划项目完成的时效</w:t>
            </w:r>
          </w:p>
        </w:tc>
        <w:tc>
          <w:tcPr>
            <w:tcW w:w="1955" w:type="dxa"/>
            <w:vAlign w:val="center"/>
          </w:tcPr>
          <w:p>
            <w:pPr>
              <w:pStyle w:val="12"/>
            </w:pPr>
            <w:r>
              <w:t>年内完成</w:t>
            </w:r>
          </w:p>
        </w:tc>
        <w:tc>
          <w:tcPr>
            <w:tcW w:w="2864"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5" w:type="dxa"/>
            <w:vMerge w:val="restart"/>
            <w:vAlign w:val="center"/>
          </w:tcPr>
          <w:p>
            <w:pPr>
              <w:pStyle w:val="13"/>
            </w:pPr>
            <w:r>
              <w:t>效益指标</w:t>
            </w:r>
          </w:p>
        </w:tc>
        <w:tc>
          <w:tcPr>
            <w:tcW w:w="2410" w:type="dxa"/>
            <w:vAlign w:val="center"/>
          </w:tcPr>
          <w:p>
            <w:pPr>
              <w:pStyle w:val="12"/>
            </w:pPr>
            <w:r>
              <w:t>社会效益指标</w:t>
            </w:r>
          </w:p>
        </w:tc>
        <w:tc>
          <w:tcPr>
            <w:tcW w:w="2835" w:type="dxa"/>
            <w:vAlign w:val="center"/>
          </w:tcPr>
          <w:p>
            <w:pPr>
              <w:pStyle w:val="12"/>
            </w:pPr>
            <w:r>
              <w:t>提升服务力</w:t>
            </w:r>
          </w:p>
        </w:tc>
        <w:tc>
          <w:tcPr>
            <w:tcW w:w="2835" w:type="dxa"/>
            <w:vAlign w:val="center"/>
          </w:tcPr>
          <w:p>
            <w:pPr>
              <w:pStyle w:val="12"/>
            </w:pPr>
            <w:r>
              <w:t>提升为农服务的能力</w:t>
            </w:r>
          </w:p>
        </w:tc>
        <w:tc>
          <w:tcPr>
            <w:tcW w:w="1955" w:type="dxa"/>
            <w:vAlign w:val="center"/>
          </w:tcPr>
          <w:p>
            <w:pPr>
              <w:pStyle w:val="12"/>
            </w:pPr>
            <w:r>
              <w:t>明显提升</w:t>
            </w:r>
          </w:p>
        </w:tc>
        <w:tc>
          <w:tcPr>
            <w:tcW w:w="2864"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5" w:type="dxa"/>
            <w:vMerge w:val="continue"/>
            <w:vAlign w:val="center"/>
          </w:tcPr>
          <w:p/>
        </w:tc>
        <w:tc>
          <w:tcPr>
            <w:tcW w:w="2410" w:type="dxa"/>
            <w:vAlign w:val="center"/>
          </w:tcPr>
          <w:p>
            <w:pPr>
              <w:pStyle w:val="12"/>
            </w:pPr>
            <w:r>
              <w:t>社会效益指标</w:t>
            </w:r>
          </w:p>
        </w:tc>
        <w:tc>
          <w:tcPr>
            <w:tcW w:w="2835" w:type="dxa"/>
            <w:vAlign w:val="center"/>
          </w:tcPr>
          <w:p>
            <w:pPr>
              <w:pStyle w:val="12"/>
            </w:pPr>
            <w:r>
              <w:t>服务群众覆盖率</w:t>
            </w:r>
          </w:p>
        </w:tc>
        <w:tc>
          <w:tcPr>
            <w:tcW w:w="2835" w:type="dxa"/>
            <w:vAlign w:val="center"/>
          </w:tcPr>
          <w:p>
            <w:pPr>
              <w:pStyle w:val="12"/>
            </w:pPr>
            <w:r>
              <w:t>所辖行政村服务群众覆盖占比</w:t>
            </w:r>
          </w:p>
        </w:tc>
        <w:tc>
          <w:tcPr>
            <w:tcW w:w="1955" w:type="dxa"/>
            <w:vAlign w:val="center"/>
          </w:tcPr>
          <w:p>
            <w:pPr>
              <w:pStyle w:val="12"/>
            </w:pPr>
            <w:r>
              <w:t>≥95%</w:t>
            </w:r>
          </w:p>
        </w:tc>
        <w:tc>
          <w:tcPr>
            <w:tcW w:w="2864"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4" w:hRule="atLeast"/>
          <w:jc w:val="center"/>
        </w:trPr>
        <w:tc>
          <w:tcPr>
            <w:tcW w:w="1275" w:type="dxa"/>
            <w:vMerge w:val="continue"/>
            <w:vAlign w:val="center"/>
          </w:tcPr>
          <w:p/>
        </w:tc>
        <w:tc>
          <w:tcPr>
            <w:tcW w:w="2410" w:type="dxa"/>
            <w:vAlign w:val="center"/>
          </w:tcPr>
          <w:p>
            <w:pPr>
              <w:pStyle w:val="12"/>
            </w:pPr>
            <w:r>
              <w:t>可持续影响指标</w:t>
            </w:r>
          </w:p>
        </w:tc>
        <w:tc>
          <w:tcPr>
            <w:tcW w:w="2835" w:type="dxa"/>
            <w:vAlign w:val="center"/>
          </w:tcPr>
          <w:p>
            <w:pPr>
              <w:pStyle w:val="12"/>
            </w:pPr>
            <w:r>
              <w:t>业务保障率</w:t>
            </w:r>
          </w:p>
        </w:tc>
        <w:tc>
          <w:tcPr>
            <w:tcW w:w="2835" w:type="dxa"/>
            <w:vAlign w:val="center"/>
          </w:tcPr>
          <w:p>
            <w:pPr>
              <w:pStyle w:val="12"/>
            </w:pPr>
            <w:r>
              <w:t>保障相关业务、工作等开展的情况</w:t>
            </w:r>
          </w:p>
        </w:tc>
        <w:tc>
          <w:tcPr>
            <w:tcW w:w="1955" w:type="dxa"/>
            <w:vAlign w:val="center"/>
          </w:tcPr>
          <w:p>
            <w:pPr>
              <w:pStyle w:val="12"/>
            </w:pPr>
            <w:r>
              <w:t>保障工作正常开展</w:t>
            </w:r>
          </w:p>
        </w:tc>
        <w:tc>
          <w:tcPr>
            <w:tcW w:w="2864"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5" w:type="dxa"/>
            <w:vAlign w:val="center"/>
          </w:tcPr>
          <w:p>
            <w:pPr>
              <w:pStyle w:val="13"/>
            </w:pPr>
            <w:r>
              <w:t>满意度指标</w:t>
            </w:r>
          </w:p>
        </w:tc>
        <w:tc>
          <w:tcPr>
            <w:tcW w:w="2410"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对所提供服务的群众满意度</w:t>
            </w:r>
          </w:p>
        </w:tc>
        <w:tc>
          <w:tcPr>
            <w:tcW w:w="1955" w:type="dxa"/>
            <w:vAlign w:val="center"/>
          </w:tcPr>
          <w:p>
            <w:pPr>
              <w:pStyle w:val="12"/>
            </w:pPr>
            <w:r>
              <w:t>≥95%</w:t>
            </w:r>
          </w:p>
        </w:tc>
        <w:tc>
          <w:tcPr>
            <w:tcW w:w="286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2、落实重新安置军队退役人员待遇绩效目标表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享受退役士兵安置待遇人员数量</w:t>
            </w:r>
          </w:p>
        </w:tc>
        <w:tc>
          <w:tcPr>
            <w:tcW w:w="2835" w:type="dxa"/>
            <w:vAlign w:val="center"/>
          </w:tcPr>
          <w:p>
            <w:pPr>
              <w:pStyle w:val="12"/>
            </w:pPr>
            <w:r>
              <w:t>享受退役士兵安置待遇人员数量</w:t>
            </w:r>
          </w:p>
        </w:tc>
        <w:tc>
          <w:tcPr>
            <w:tcW w:w="2551" w:type="dxa"/>
            <w:vAlign w:val="center"/>
          </w:tcPr>
          <w:p>
            <w:pPr>
              <w:pStyle w:val="12"/>
            </w:pPr>
            <w:r>
              <w:t>2人</w:t>
            </w:r>
          </w:p>
        </w:tc>
        <w:tc>
          <w:tcPr>
            <w:tcW w:w="2268" w:type="dxa"/>
            <w:vAlign w:val="center"/>
          </w:tcPr>
          <w:p>
            <w:pPr>
              <w:pStyle w:val="12"/>
            </w:pPr>
            <w:r>
              <w:t>平退役军人组[2019]5号文件精神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补助资金发放完成率（%）</w:t>
            </w:r>
          </w:p>
        </w:tc>
        <w:tc>
          <w:tcPr>
            <w:tcW w:w="2835" w:type="dxa"/>
            <w:vAlign w:val="center"/>
          </w:tcPr>
          <w:p>
            <w:pPr>
              <w:pStyle w:val="12"/>
            </w:pPr>
            <w:r>
              <w:t>实际发放的补助资金额占计划发放金额的比率</w:t>
            </w:r>
          </w:p>
        </w:tc>
        <w:tc>
          <w:tcPr>
            <w:tcW w:w="2551" w:type="dxa"/>
            <w:vAlign w:val="center"/>
          </w:tcPr>
          <w:p>
            <w:pPr>
              <w:pStyle w:val="12"/>
            </w:pPr>
            <w:r>
              <w:t>≥95%</w:t>
            </w:r>
          </w:p>
        </w:tc>
        <w:tc>
          <w:tcPr>
            <w:tcW w:w="2268" w:type="dxa"/>
            <w:vAlign w:val="center"/>
          </w:tcPr>
          <w:p>
            <w:pPr>
              <w:pStyle w:val="12"/>
            </w:pPr>
            <w:r>
              <w:t>平退役军人组[2019]5号文件精神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2835" w:type="dxa"/>
            <w:vAlign w:val="center"/>
          </w:tcPr>
          <w:p>
            <w:pPr>
              <w:pStyle w:val="12"/>
            </w:pPr>
            <w:r>
              <w:t>按照规定时间及时发放资金的比例</w:t>
            </w:r>
          </w:p>
        </w:tc>
        <w:tc>
          <w:tcPr>
            <w:tcW w:w="2551" w:type="dxa"/>
            <w:vAlign w:val="center"/>
          </w:tcPr>
          <w:p>
            <w:pPr>
              <w:pStyle w:val="12"/>
            </w:pPr>
            <w:r>
              <w:t>100%</w:t>
            </w:r>
          </w:p>
        </w:tc>
        <w:tc>
          <w:tcPr>
            <w:tcW w:w="2268" w:type="dxa"/>
            <w:vAlign w:val="center"/>
          </w:tcPr>
          <w:p>
            <w:pPr>
              <w:pStyle w:val="12"/>
            </w:pPr>
            <w:r>
              <w:t>平退役军人组[2019]5号文件精神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安置军队退役军人工作及社保费</w:t>
            </w:r>
          </w:p>
        </w:tc>
        <w:tc>
          <w:tcPr>
            <w:tcW w:w="2835" w:type="dxa"/>
            <w:vAlign w:val="center"/>
          </w:tcPr>
          <w:p>
            <w:pPr>
              <w:pStyle w:val="12"/>
            </w:pPr>
            <w:r>
              <w:t>控制在预算内</w:t>
            </w:r>
          </w:p>
        </w:tc>
        <w:tc>
          <w:tcPr>
            <w:tcW w:w="2551" w:type="dxa"/>
            <w:vAlign w:val="center"/>
          </w:tcPr>
          <w:p>
            <w:pPr>
              <w:pStyle w:val="12"/>
            </w:pPr>
            <w:r>
              <w:t>≤20万元</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涉军人员持续参保率（%）</w:t>
            </w:r>
          </w:p>
        </w:tc>
        <w:tc>
          <w:tcPr>
            <w:tcW w:w="2835" w:type="dxa"/>
            <w:vAlign w:val="center"/>
          </w:tcPr>
          <w:p>
            <w:pPr>
              <w:pStyle w:val="12"/>
            </w:pPr>
            <w:r>
              <w:t>涉军人员社会保险持续缴纳占总人数比率</w:t>
            </w:r>
          </w:p>
          <w:p>
            <w:pPr>
              <w:pStyle w:val="12"/>
            </w:pPr>
          </w:p>
        </w:tc>
        <w:tc>
          <w:tcPr>
            <w:tcW w:w="2551" w:type="dxa"/>
            <w:vAlign w:val="center"/>
          </w:tcPr>
          <w:p>
            <w:pPr>
              <w:pStyle w:val="12"/>
            </w:pPr>
            <w:r>
              <w:t>≥95%</w:t>
            </w:r>
          </w:p>
        </w:tc>
        <w:tc>
          <w:tcPr>
            <w:tcW w:w="2268" w:type="dxa"/>
            <w:vAlign w:val="center"/>
          </w:tcPr>
          <w:p>
            <w:pPr>
              <w:pStyle w:val="12"/>
            </w:pPr>
            <w:r>
              <w:t>平退役军人组[2019]5号文件精神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退役人员生活改善情况</w:t>
            </w:r>
          </w:p>
        </w:tc>
        <w:tc>
          <w:tcPr>
            <w:tcW w:w="2835" w:type="dxa"/>
            <w:vAlign w:val="center"/>
          </w:tcPr>
          <w:p>
            <w:pPr>
              <w:pStyle w:val="12"/>
            </w:pPr>
            <w:r>
              <w:t>在日常生活、医疗等方面改善情况</w:t>
            </w:r>
          </w:p>
        </w:tc>
        <w:tc>
          <w:tcPr>
            <w:tcW w:w="2551" w:type="dxa"/>
            <w:vAlign w:val="center"/>
          </w:tcPr>
          <w:p>
            <w:pPr>
              <w:pStyle w:val="12"/>
            </w:pPr>
            <w:r>
              <w:t>明显改善</w:t>
            </w:r>
          </w:p>
        </w:tc>
        <w:tc>
          <w:tcPr>
            <w:tcW w:w="2268" w:type="dxa"/>
            <w:vAlign w:val="center"/>
          </w:tcPr>
          <w:p>
            <w:pPr>
              <w:pStyle w:val="12"/>
            </w:pPr>
            <w:r>
              <w:t>平退役军人组[2019]5号文件精神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通过实施退役安置政策促进社会稳定水平逐步提高</w:t>
            </w:r>
          </w:p>
        </w:tc>
        <w:tc>
          <w:tcPr>
            <w:tcW w:w="2551" w:type="dxa"/>
            <w:vAlign w:val="center"/>
          </w:tcPr>
          <w:p>
            <w:pPr>
              <w:pStyle w:val="12"/>
            </w:pPr>
            <w:r>
              <w:t>≥95%</w:t>
            </w:r>
          </w:p>
        </w:tc>
        <w:tc>
          <w:tcPr>
            <w:tcW w:w="2268"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2835" w:type="dxa"/>
            <w:vAlign w:val="center"/>
          </w:tcPr>
          <w:p>
            <w:pPr>
              <w:pStyle w:val="12"/>
            </w:pPr>
            <w:r>
              <w:t>补助发放对象对补助发放时间，金额的满意度</w:t>
            </w:r>
          </w:p>
        </w:tc>
        <w:tc>
          <w:tcPr>
            <w:tcW w:w="2551" w:type="dxa"/>
            <w:vAlign w:val="center"/>
          </w:tcPr>
          <w:p>
            <w:pPr>
              <w:pStyle w:val="12"/>
            </w:pPr>
            <w:r>
              <w:t>满意、较满意</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3、棉麻公司职工安置及遗属补助绩效目标表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1.落实棉麻公司职工安置及遗属补助</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受益职工数</w:t>
            </w:r>
          </w:p>
        </w:tc>
        <w:tc>
          <w:tcPr>
            <w:tcW w:w="2835" w:type="dxa"/>
            <w:vAlign w:val="center"/>
          </w:tcPr>
          <w:p>
            <w:pPr>
              <w:pStyle w:val="12"/>
            </w:pPr>
            <w:r>
              <w:t>职工人数</w:t>
            </w:r>
          </w:p>
        </w:tc>
        <w:tc>
          <w:tcPr>
            <w:tcW w:w="2551" w:type="dxa"/>
            <w:vAlign w:val="center"/>
          </w:tcPr>
          <w:p>
            <w:pPr>
              <w:pStyle w:val="12"/>
            </w:pPr>
            <w:r>
              <w:t>63人</w:t>
            </w:r>
          </w:p>
        </w:tc>
        <w:tc>
          <w:tcPr>
            <w:tcW w:w="2268" w:type="dxa"/>
            <w:vAlign w:val="center"/>
          </w:tcPr>
          <w:p>
            <w:pPr>
              <w:pStyle w:val="12"/>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遗属人数</w:t>
            </w:r>
          </w:p>
        </w:tc>
        <w:tc>
          <w:tcPr>
            <w:tcW w:w="2835" w:type="dxa"/>
            <w:vAlign w:val="center"/>
          </w:tcPr>
          <w:p>
            <w:pPr>
              <w:pStyle w:val="12"/>
            </w:pPr>
            <w:r>
              <w:t>遗属补助人数</w:t>
            </w:r>
          </w:p>
        </w:tc>
        <w:tc>
          <w:tcPr>
            <w:tcW w:w="2551" w:type="dxa"/>
            <w:vAlign w:val="center"/>
          </w:tcPr>
          <w:p>
            <w:pPr>
              <w:pStyle w:val="12"/>
            </w:pPr>
            <w:r>
              <w:t>4人</w:t>
            </w:r>
          </w:p>
        </w:tc>
        <w:tc>
          <w:tcPr>
            <w:tcW w:w="2268" w:type="dxa"/>
            <w:vAlign w:val="center"/>
          </w:tcPr>
          <w:p>
            <w:pPr>
              <w:pStyle w:val="12"/>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补助资金发放完成率</w:t>
            </w:r>
          </w:p>
        </w:tc>
        <w:tc>
          <w:tcPr>
            <w:tcW w:w="2835" w:type="dxa"/>
            <w:vAlign w:val="center"/>
          </w:tcPr>
          <w:p>
            <w:pPr>
              <w:pStyle w:val="12"/>
            </w:pPr>
            <w:r>
              <w:t>补助资金发放完成率</w:t>
            </w:r>
          </w:p>
        </w:tc>
        <w:tc>
          <w:tcPr>
            <w:tcW w:w="2551" w:type="dxa"/>
            <w:vAlign w:val="center"/>
          </w:tcPr>
          <w:p>
            <w:pPr>
              <w:pStyle w:val="12"/>
            </w:pPr>
            <w:r>
              <w:t>100%</w:t>
            </w:r>
          </w:p>
        </w:tc>
        <w:tc>
          <w:tcPr>
            <w:tcW w:w="2268" w:type="dxa"/>
            <w:vAlign w:val="center"/>
          </w:tcPr>
          <w:p>
            <w:pPr>
              <w:pStyle w:val="12"/>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发放成本</w:t>
            </w:r>
          </w:p>
        </w:tc>
        <w:tc>
          <w:tcPr>
            <w:tcW w:w="2835" w:type="dxa"/>
            <w:vAlign w:val="center"/>
          </w:tcPr>
          <w:p>
            <w:pPr>
              <w:pStyle w:val="12"/>
            </w:pPr>
            <w:r>
              <w:t>发放职工安置费及遗属补助</w:t>
            </w:r>
          </w:p>
        </w:tc>
        <w:tc>
          <w:tcPr>
            <w:tcW w:w="2551" w:type="dxa"/>
            <w:vAlign w:val="center"/>
          </w:tcPr>
          <w:p>
            <w:pPr>
              <w:pStyle w:val="12"/>
            </w:pPr>
            <w:r>
              <w:t>149.6万元</w:t>
            </w:r>
          </w:p>
        </w:tc>
        <w:tc>
          <w:tcPr>
            <w:tcW w:w="2268" w:type="dxa"/>
            <w:vAlign w:val="center"/>
          </w:tcPr>
          <w:p>
            <w:pPr>
              <w:pStyle w:val="12"/>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补助发放时间</w:t>
            </w:r>
          </w:p>
        </w:tc>
        <w:tc>
          <w:tcPr>
            <w:tcW w:w="2835" w:type="dxa"/>
            <w:vAlign w:val="center"/>
          </w:tcPr>
          <w:p>
            <w:pPr>
              <w:pStyle w:val="12"/>
            </w:pPr>
            <w:r>
              <w:t>补助发放时间</w:t>
            </w:r>
          </w:p>
        </w:tc>
        <w:tc>
          <w:tcPr>
            <w:tcW w:w="2551" w:type="dxa"/>
            <w:vAlign w:val="center"/>
          </w:tcPr>
          <w:p>
            <w:pPr>
              <w:pStyle w:val="12"/>
            </w:pPr>
            <w:r>
              <w:t>7月底前发放完成</w:t>
            </w:r>
          </w:p>
        </w:tc>
        <w:tc>
          <w:tcPr>
            <w:tcW w:w="2268" w:type="dxa"/>
            <w:vAlign w:val="center"/>
          </w:tcPr>
          <w:p>
            <w:pPr>
              <w:pStyle w:val="12"/>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职工安置得到保障</w:t>
            </w:r>
          </w:p>
        </w:tc>
        <w:tc>
          <w:tcPr>
            <w:tcW w:w="2835" w:type="dxa"/>
            <w:vAlign w:val="center"/>
          </w:tcPr>
          <w:p>
            <w:pPr>
              <w:pStyle w:val="12"/>
            </w:pPr>
            <w:r>
              <w:t>职工安置保障率</w:t>
            </w:r>
          </w:p>
        </w:tc>
        <w:tc>
          <w:tcPr>
            <w:tcW w:w="2551" w:type="dxa"/>
            <w:vAlign w:val="center"/>
          </w:tcPr>
          <w:p>
            <w:pPr>
              <w:pStyle w:val="12"/>
            </w:pPr>
            <w:r>
              <w:t>100%</w:t>
            </w:r>
          </w:p>
        </w:tc>
        <w:tc>
          <w:tcPr>
            <w:tcW w:w="2268" w:type="dxa"/>
            <w:vAlign w:val="center"/>
          </w:tcPr>
          <w:p>
            <w:pPr>
              <w:pStyle w:val="12"/>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按照文件要求保障工作完成率</w:t>
            </w:r>
          </w:p>
        </w:tc>
        <w:tc>
          <w:tcPr>
            <w:tcW w:w="2835" w:type="dxa"/>
            <w:vAlign w:val="center"/>
          </w:tcPr>
          <w:p>
            <w:pPr>
              <w:pStyle w:val="12"/>
            </w:pPr>
            <w:r>
              <w:t>各项工作完成率</w:t>
            </w:r>
          </w:p>
        </w:tc>
        <w:tc>
          <w:tcPr>
            <w:tcW w:w="2551" w:type="dxa"/>
            <w:vAlign w:val="center"/>
          </w:tcPr>
          <w:p>
            <w:pPr>
              <w:pStyle w:val="12"/>
            </w:pPr>
            <w:r>
              <w:t>100%</w:t>
            </w:r>
          </w:p>
        </w:tc>
        <w:tc>
          <w:tcPr>
            <w:tcW w:w="2268" w:type="dxa"/>
            <w:vAlign w:val="center"/>
          </w:tcPr>
          <w:p>
            <w:pPr>
              <w:pStyle w:val="12"/>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保障工作正常开展</w:t>
            </w:r>
          </w:p>
        </w:tc>
        <w:tc>
          <w:tcPr>
            <w:tcW w:w="2835" w:type="dxa"/>
            <w:vAlign w:val="center"/>
          </w:tcPr>
          <w:p>
            <w:pPr>
              <w:pStyle w:val="12"/>
            </w:pPr>
            <w:r>
              <w:t>保障各项工作顺利开展</w:t>
            </w:r>
          </w:p>
        </w:tc>
        <w:tc>
          <w:tcPr>
            <w:tcW w:w="2551" w:type="dxa"/>
            <w:vAlign w:val="center"/>
          </w:tcPr>
          <w:p>
            <w:pPr>
              <w:pStyle w:val="12"/>
            </w:pPr>
            <w:r>
              <w:t>100%</w:t>
            </w:r>
          </w:p>
        </w:tc>
        <w:tc>
          <w:tcPr>
            <w:tcW w:w="2268" w:type="dxa"/>
            <w:vAlign w:val="center"/>
          </w:tcPr>
          <w:p>
            <w:pPr>
              <w:pStyle w:val="12"/>
            </w:pPr>
            <w:r>
              <w:t>县领导议事会议纪要{2022}1号文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职工对发放养老保险满意度</w:t>
            </w:r>
          </w:p>
        </w:tc>
        <w:tc>
          <w:tcPr>
            <w:tcW w:w="2551" w:type="dxa"/>
            <w:vAlign w:val="center"/>
          </w:tcPr>
          <w:p>
            <w:pPr>
              <w:pStyle w:val="12"/>
            </w:pPr>
            <w:r>
              <w:t>满意</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遗属满意度</w:t>
            </w:r>
          </w:p>
        </w:tc>
        <w:tc>
          <w:tcPr>
            <w:tcW w:w="2835" w:type="dxa"/>
            <w:vAlign w:val="center"/>
          </w:tcPr>
          <w:p>
            <w:pPr>
              <w:pStyle w:val="12"/>
            </w:pPr>
            <w:r>
              <w:t>对遗属补助发放满意度</w:t>
            </w:r>
          </w:p>
        </w:tc>
        <w:tc>
          <w:tcPr>
            <w:tcW w:w="2551" w:type="dxa"/>
            <w:vAlign w:val="center"/>
          </w:tcPr>
          <w:p>
            <w:pPr>
              <w:pStyle w:val="12"/>
            </w:pPr>
            <w:r>
              <w:t>满意</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4、农村产权交易服务绩效目标表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1.为农村及涉农各类产权流转交易提供政策咨询、产权登记、产权交易、产权抵贷、产权评估、产权收储、合同鉴证等专业化服务。</w:t>
            </w:r>
            <w:r>
              <w:tab/>
            </w:r>
            <w:r>
              <w:tab/>
            </w:r>
            <w:r>
              <w:tab/>
            </w:r>
            <w:r>
              <w:tab/>
            </w:r>
            <w:r>
              <w:tab/>
            </w:r>
          </w:p>
          <w:p>
            <w:pPr>
              <w:pStyle w:val="12"/>
            </w:pP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服务乡村个数</w:t>
            </w:r>
          </w:p>
        </w:tc>
        <w:tc>
          <w:tcPr>
            <w:tcW w:w="2835" w:type="dxa"/>
            <w:vAlign w:val="center"/>
          </w:tcPr>
          <w:p>
            <w:pPr>
              <w:pStyle w:val="12"/>
            </w:pPr>
            <w:r>
              <w:t>完成农村产权交易服务覆盖乡村的个数</w:t>
            </w:r>
          </w:p>
        </w:tc>
        <w:tc>
          <w:tcPr>
            <w:tcW w:w="2551" w:type="dxa"/>
            <w:vAlign w:val="center"/>
          </w:tcPr>
          <w:p>
            <w:pPr>
              <w:pStyle w:val="12"/>
            </w:pPr>
            <w:r>
              <w:t>253个</w:t>
            </w:r>
          </w:p>
        </w:tc>
        <w:tc>
          <w:tcPr>
            <w:tcW w:w="2268" w:type="dxa"/>
            <w:vAlign w:val="center"/>
          </w:tcPr>
          <w:p>
            <w:pPr>
              <w:pStyle w:val="12"/>
            </w:pPr>
            <w:r>
              <w:t>依据平政办发[2019]5号《关于印发平乡县农村产权交易管理暂行办法的通知》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服务质量</w:t>
            </w:r>
          </w:p>
        </w:tc>
        <w:tc>
          <w:tcPr>
            <w:tcW w:w="2835" w:type="dxa"/>
            <w:vAlign w:val="center"/>
          </w:tcPr>
          <w:p>
            <w:pPr>
              <w:pStyle w:val="12"/>
            </w:pPr>
            <w:r>
              <w:t>产权交易服务的质量</w:t>
            </w:r>
          </w:p>
        </w:tc>
        <w:tc>
          <w:tcPr>
            <w:tcW w:w="2551" w:type="dxa"/>
            <w:vAlign w:val="center"/>
          </w:tcPr>
          <w:p>
            <w:pPr>
              <w:pStyle w:val="12"/>
            </w:pPr>
            <w:r>
              <w:t>优、良</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2835" w:type="dxa"/>
            <w:vAlign w:val="center"/>
          </w:tcPr>
          <w:p>
            <w:pPr>
              <w:pStyle w:val="12"/>
            </w:pPr>
            <w:r>
              <w:t>按年计划项目完成的时效</w:t>
            </w:r>
          </w:p>
        </w:tc>
        <w:tc>
          <w:tcPr>
            <w:tcW w:w="2551" w:type="dxa"/>
            <w:vAlign w:val="center"/>
          </w:tcPr>
          <w:p>
            <w:pPr>
              <w:pStyle w:val="12"/>
            </w:pPr>
            <w:r>
              <w:t>年度内完成</w:t>
            </w:r>
          </w:p>
        </w:tc>
        <w:tc>
          <w:tcPr>
            <w:tcW w:w="2268"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控制农村产权交易服务费用成本</w:t>
            </w:r>
          </w:p>
        </w:tc>
        <w:tc>
          <w:tcPr>
            <w:tcW w:w="2551" w:type="dxa"/>
            <w:vAlign w:val="center"/>
          </w:tcPr>
          <w:p>
            <w:pPr>
              <w:pStyle w:val="12"/>
            </w:pPr>
            <w:r>
              <w:t>≤16000元</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可持续性影响</w:t>
            </w:r>
          </w:p>
        </w:tc>
        <w:tc>
          <w:tcPr>
            <w:tcW w:w="2835" w:type="dxa"/>
            <w:vAlign w:val="center"/>
          </w:tcPr>
          <w:p>
            <w:pPr>
              <w:pStyle w:val="12"/>
            </w:pPr>
            <w:r>
              <w:t>推进各项工作任务</w:t>
            </w:r>
          </w:p>
        </w:tc>
        <w:tc>
          <w:tcPr>
            <w:tcW w:w="2551" w:type="dxa"/>
            <w:vAlign w:val="center"/>
          </w:tcPr>
          <w:p>
            <w:pPr>
              <w:pStyle w:val="12"/>
            </w:pPr>
            <w:r>
              <w:t>部门工作正常可持续运转</w:t>
            </w:r>
          </w:p>
        </w:tc>
        <w:tc>
          <w:tcPr>
            <w:tcW w:w="2268"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交易服务水平</w:t>
            </w:r>
          </w:p>
        </w:tc>
        <w:tc>
          <w:tcPr>
            <w:tcW w:w="2835" w:type="dxa"/>
            <w:vAlign w:val="center"/>
          </w:tcPr>
          <w:p>
            <w:pPr>
              <w:pStyle w:val="12"/>
            </w:pPr>
            <w:r>
              <w:t>反映提供交易服务的能力和效果</w:t>
            </w:r>
          </w:p>
        </w:tc>
        <w:tc>
          <w:tcPr>
            <w:tcW w:w="2551" w:type="dxa"/>
            <w:vAlign w:val="center"/>
          </w:tcPr>
          <w:p>
            <w:pPr>
              <w:pStyle w:val="12"/>
            </w:pPr>
            <w:r>
              <w:t>明显提高</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2835" w:type="dxa"/>
            <w:vAlign w:val="center"/>
          </w:tcPr>
          <w:p>
            <w:pPr>
              <w:pStyle w:val="12"/>
            </w:pPr>
            <w:r>
              <w:t>有效保证业务工作顺利开展</w:t>
            </w:r>
          </w:p>
        </w:tc>
        <w:tc>
          <w:tcPr>
            <w:tcW w:w="2551" w:type="dxa"/>
            <w:vAlign w:val="center"/>
          </w:tcPr>
          <w:p>
            <w:pPr>
              <w:pStyle w:val="12"/>
            </w:pPr>
            <w:r>
              <w:t>≥95%</w:t>
            </w:r>
          </w:p>
        </w:tc>
        <w:tc>
          <w:tcPr>
            <w:tcW w:w="2268" w:type="dxa"/>
            <w:vAlign w:val="center"/>
          </w:tcPr>
          <w:p>
            <w:pPr>
              <w:pStyle w:val="12"/>
            </w:pPr>
            <w:r>
              <w:t>依据平政办发[2019]5号《关于印发平乡县农村产权交易管理暂行办法的通知》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2835" w:type="dxa"/>
            <w:vAlign w:val="center"/>
          </w:tcPr>
          <w:p>
            <w:pPr>
              <w:pStyle w:val="12"/>
            </w:pPr>
            <w:r>
              <w:t>调查中满意和较满意的农户数量占全部调查户数比率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5、综合事务管理绩效目标表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1."紧紧围绕机关中心工作，确保各项工作谋划、实施、督导落实到位顺利开展，确保机关信息畅通、工作有序、高效、正常运转。</w:t>
            </w:r>
            <w:r>
              <w:tab/>
            </w:r>
            <w:r>
              <w:tab/>
            </w:r>
            <w:r>
              <w:tab/>
            </w:r>
            <w:r>
              <w:t>"</w:t>
            </w:r>
            <w:r>
              <w:tab/>
            </w:r>
            <w:r>
              <w:tab/>
            </w:r>
            <w:r>
              <w:tab/>
            </w:r>
            <w:r>
              <w:tab/>
            </w:r>
            <w:r>
              <w:tab/>
            </w:r>
          </w:p>
          <w:p>
            <w:pPr>
              <w:pStyle w:val="12"/>
            </w:pP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保障业务运行</w:t>
            </w:r>
          </w:p>
        </w:tc>
        <w:tc>
          <w:tcPr>
            <w:tcW w:w="2835" w:type="dxa"/>
            <w:vAlign w:val="center"/>
          </w:tcPr>
          <w:p>
            <w:pPr>
              <w:pStyle w:val="12"/>
            </w:pPr>
            <w:r>
              <w:t>保障各项业务正常运行的月数</w:t>
            </w:r>
          </w:p>
        </w:tc>
        <w:tc>
          <w:tcPr>
            <w:tcW w:w="2551" w:type="dxa"/>
            <w:vAlign w:val="center"/>
          </w:tcPr>
          <w:p>
            <w:pPr>
              <w:pStyle w:val="12"/>
            </w:pPr>
            <w:r>
              <w:t>12月</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综合行政事务完成率</w:t>
            </w:r>
          </w:p>
        </w:tc>
        <w:tc>
          <w:tcPr>
            <w:tcW w:w="2551" w:type="dxa"/>
            <w:vAlign w:val="center"/>
          </w:tcPr>
          <w:p>
            <w:pPr>
              <w:pStyle w:val="12"/>
            </w:pPr>
            <w:r>
              <w:t>≥95%</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完成工作及时率</w:t>
            </w:r>
          </w:p>
        </w:tc>
        <w:tc>
          <w:tcPr>
            <w:tcW w:w="2835" w:type="dxa"/>
            <w:vAlign w:val="center"/>
          </w:tcPr>
          <w:p>
            <w:pPr>
              <w:pStyle w:val="12"/>
            </w:pPr>
            <w:r>
              <w:t>完成工作及时率</w:t>
            </w:r>
          </w:p>
        </w:tc>
        <w:tc>
          <w:tcPr>
            <w:tcW w:w="2551" w:type="dxa"/>
            <w:vAlign w:val="center"/>
          </w:tcPr>
          <w:p>
            <w:pPr>
              <w:pStyle w:val="12"/>
            </w:pPr>
            <w:r>
              <w:t>≥95%</w:t>
            </w:r>
          </w:p>
        </w:tc>
        <w:tc>
          <w:tcPr>
            <w:tcW w:w="2268" w:type="dxa"/>
            <w:vAlign w:val="center"/>
          </w:tcPr>
          <w:p>
            <w:pPr>
              <w:pStyle w:val="12"/>
            </w:pPr>
            <w:r>
              <w:t>文件登记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合理安排预算，减少不必要开支</w:t>
            </w:r>
          </w:p>
        </w:tc>
        <w:tc>
          <w:tcPr>
            <w:tcW w:w="2551" w:type="dxa"/>
            <w:vAlign w:val="center"/>
          </w:tcPr>
          <w:p>
            <w:pPr>
              <w:pStyle w:val="12"/>
            </w:pPr>
            <w:r>
              <w:t>≤150000元</w:t>
            </w:r>
          </w:p>
        </w:tc>
        <w:tc>
          <w:tcPr>
            <w:tcW w:w="2268" w:type="dxa"/>
            <w:vAlign w:val="center"/>
          </w:tcPr>
          <w:p>
            <w:pPr>
              <w:pStyle w:val="12"/>
            </w:pPr>
            <w:r>
              <w:t>银行回单</w:t>
            </w:r>
          </w:p>
        </w:tc>
      </w:tr>
      <w:tr>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保障相关业务、工作等持续开展</w:t>
            </w:r>
          </w:p>
        </w:tc>
        <w:tc>
          <w:tcPr>
            <w:tcW w:w="2551" w:type="dxa"/>
            <w:vAlign w:val="center"/>
          </w:tcPr>
          <w:p>
            <w:pPr>
              <w:pStyle w:val="12"/>
            </w:pPr>
            <w:r>
              <w:t>正常开展</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保障工作正常运转，提升服务社会能力</w:t>
            </w:r>
          </w:p>
        </w:tc>
        <w:tc>
          <w:tcPr>
            <w:tcW w:w="2551" w:type="dxa"/>
            <w:vAlign w:val="center"/>
          </w:tcPr>
          <w:p>
            <w:pPr>
              <w:pStyle w:val="12"/>
            </w:pPr>
            <w:r>
              <w:t>≥95%</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通过完成综合事务各项工作促进社会稳定水平</w:t>
            </w:r>
          </w:p>
        </w:tc>
        <w:tc>
          <w:tcPr>
            <w:tcW w:w="2551" w:type="dxa"/>
            <w:vAlign w:val="center"/>
          </w:tcPr>
          <w:p>
            <w:pPr>
              <w:pStyle w:val="12"/>
            </w:pPr>
            <w:r>
              <w:t>逐步提高</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单位考核情况</w:t>
            </w:r>
          </w:p>
        </w:tc>
        <w:tc>
          <w:tcPr>
            <w:tcW w:w="2835" w:type="dxa"/>
            <w:vAlign w:val="center"/>
          </w:tcPr>
          <w:p>
            <w:pPr>
              <w:pStyle w:val="12"/>
            </w:pPr>
            <w:r>
              <w:t>单位年终考核结果</w:t>
            </w:r>
          </w:p>
        </w:tc>
        <w:tc>
          <w:tcPr>
            <w:tcW w:w="2551" w:type="dxa"/>
            <w:vAlign w:val="center"/>
          </w:tcPr>
          <w:p>
            <w:pPr>
              <w:pStyle w:val="12"/>
            </w:pPr>
            <w:r>
              <w:t>合格及以上等次</w:t>
            </w:r>
          </w:p>
        </w:tc>
        <w:tc>
          <w:tcPr>
            <w:tcW w:w="2268" w:type="dxa"/>
            <w:vAlign w:val="center"/>
          </w:tcPr>
          <w:p>
            <w:pPr>
              <w:pStyle w:val="12"/>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领导满意度</w:t>
            </w:r>
          </w:p>
        </w:tc>
        <w:tc>
          <w:tcPr>
            <w:tcW w:w="2835" w:type="dxa"/>
            <w:vAlign w:val="center"/>
          </w:tcPr>
          <w:p>
            <w:pPr>
              <w:pStyle w:val="12"/>
            </w:pPr>
            <w:r>
              <w:t>领导对本年度工作的满意度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2023年，平乡县供销合作社联合社安排政府采购预算0.00万元。具体内容见下表。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975平乡县供销合作社联合社</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w:t>
      </w:r>
      <w:r>
        <w:rPr>
          <w:rFonts w:hint="eastAsia" w:ascii="方正书宋_GBK" w:hAnsi="方正书宋_GBK" w:eastAsia="方正书宋_GBK" w:cs="方正书宋_GBK"/>
          <w:color w:val="000000"/>
          <w:sz w:val="21"/>
          <w:lang w:eastAsia="zh-CN"/>
        </w:rPr>
        <w:t>其他</w:t>
      </w:r>
      <w:r>
        <w:rPr>
          <w:rFonts w:ascii="方正书宋_GBK" w:hAnsi="方正书宋_GBK" w:eastAsia="方正书宋_GBK" w:cs="方正书宋_GBK"/>
          <w:color w:val="000000"/>
          <w:sz w:val="21"/>
        </w:rPr>
        <w:t>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平乡县供销合作社联合社（含所属单位）上年末固定资产金额为3.15万元（详见下表）。本年度拟购置固定资产总额为1.50万元，已按要求列入政府采购预算，详见政府采购预算表。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975平乡县供销合作社联合社</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41</w:t>
            </w:r>
          </w:p>
        </w:tc>
        <w:tc>
          <w:tcPr>
            <w:tcW w:w="2835" w:type="dxa"/>
            <w:vAlign w:val="center"/>
          </w:tcPr>
          <w:p>
            <w:pPr>
              <w:pStyle w:val="11"/>
            </w:pPr>
            <w:r>
              <w:t>3.15</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85A55"/>
    <w:rsid w:val="00193288"/>
    <w:rsid w:val="00285A55"/>
    <w:rsid w:val="003407B9"/>
    <w:rsid w:val="009E3E47"/>
    <w:rsid w:val="00F246D0"/>
    <w:rsid w:val="039424ED"/>
    <w:rsid w:val="09F36C82"/>
    <w:rsid w:val="167F711A"/>
    <w:rsid w:val="237C737B"/>
    <w:rsid w:val="31FC3762"/>
    <w:rsid w:val="3D3F0E0A"/>
    <w:rsid w:val="3DB67B4B"/>
    <w:rsid w:val="43F32EC7"/>
    <w:rsid w:val="4B3A4E4E"/>
    <w:rsid w:val="4DAD3501"/>
    <w:rsid w:val="52FB3ABC"/>
    <w:rsid w:val="592D4814"/>
    <w:rsid w:val="5C9238ED"/>
    <w:rsid w:val="5CC84140"/>
    <w:rsid w:val="5FA3016E"/>
    <w:rsid w:val="62790CDC"/>
    <w:rsid w:val="669D4F58"/>
    <w:rsid w:val="681A4654"/>
    <w:rsid w:val="6E9216A3"/>
    <w:rsid w:val="71E315AC"/>
    <w:rsid w:val="759C2CDD"/>
    <w:rsid w:val="75D37348"/>
    <w:rsid w:val="7EA3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3900</Words>
  <Characters>22235</Characters>
  <Lines>185</Lines>
  <Paragraphs>52</Paragraphs>
  <TotalTime>7</TotalTime>
  <ScaleCrop>false</ScaleCrop>
  <LinksUpToDate>false</LinksUpToDate>
  <CharactersWithSpaces>26083</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2023-04-10T17:55:00Z</dcterms:created>
  <dc:creator>lenovo</dc:creator>
  <cp:lastModifiedBy>gxs</cp:lastModifiedBy>
  <cp:lastPrinted>2023-04-18T18:54:00Z</cp:lastPrinted>
  <dcterms:modified xsi:type="dcterms:W3CDTF">2024-02-29T17:33:18Z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09F6684C61F9478980559C308B989339</vt:lpwstr>
  </property>
</Properties>
</file>