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hint="eastAsia" w:ascii="黑体" w:hAnsi="黑体" w:eastAsia="黑体" w:cs="黑体"/>
          <w:b/>
          <w:color w:val="000000"/>
          <w:sz w:val="44"/>
          <w:lang w:eastAsia="zh-CN"/>
        </w:rPr>
      </w:pPr>
      <w:r>
        <w:rPr>
          <w:rFonts w:hint="eastAsia" w:ascii="黑体" w:hAnsi="黑体" w:eastAsia="黑体" w:cs="黑体"/>
          <w:b/>
          <w:color w:val="000000"/>
          <w:sz w:val="44"/>
          <w:lang w:eastAsia="zh-CN"/>
        </w:rPr>
        <w:t>中国人民政治协商会议河北省平乡县委员会</w:t>
      </w:r>
    </w:p>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31</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32</w:t>
      </w:r>
      <w:r>
        <w:fldChar w:fldCharType="end"/>
      </w:r>
      <w:r>
        <w:fldChar w:fldCharType="end"/>
      </w:r>
    </w:p>
    <w:p>
      <w:r>
        <w:fldChar w:fldCharType="end"/>
      </w: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rFonts w:ascii="黑体" w:hAnsi="黑体" w:eastAsia="黑体" w:cs="黑体"/>
          <w:b/>
          <w:color w:val="000000"/>
          <w:sz w:val="30"/>
          <w:lang w:eastAsia="zh-CN"/>
        </w:rPr>
      </w:pPr>
    </w:p>
    <w:p>
      <w:pPr>
        <w:jc w:val="center"/>
        <w:rPr>
          <w:lang w:eastAsia="zh-CN"/>
        </w:r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headerReference r:id="rId5" w:type="first"/>
          <w:footerReference r:id="rId8" w:type="first"/>
          <w:headerReference r:id="rId3" w:type="default"/>
          <w:footerReference r:id="rId6" w:type="default"/>
          <w:headerReference r:id="rId4" w:type="even"/>
          <w:footerReference r:id="rId7"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3"/>
            </w:pPr>
            <w:r>
              <w:rPr>
                <w:rFonts w:hint="eastAsia"/>
                <w:sz w:val="21"/>
                <w:szCs w:val="21"/>
                <w:lang w:eastAsia="zh-CN"/>
              </w:rPr>
              <w:t>131</w:t>
            </w:r>
            <w:r>
              <w:rPr>
                <w:sz w:val="21"/>
                <w:szCs w:val="21"/>
              </w:rPr>
              <w:t>中国人民政治协商会议河北省平乡县委员会</w:t>
            </w:r>
          </w:p>
        </w:tc>
        <w:tc>
          <w:tcPr>
            <w:tcW w:w="2126" w:type="dxa"/>
            <w:tcBorders>
              <w:top w:val="single" w:color="FFFFFF" w:sz="6" w:space="0"/>
              <w:left w:val="single" w:color="FFFFFF" w:sz="6" w:space="0"/>
              <w:right w:val="single" w:color="FFFFFF" w:sz="6" w:space="0"/>
            </w:tcBorders>
            <w:vAlign w:val="center"/>
          </w:tcPr>
          <w:p>
            <w:pPr>
              <w:pStyle w:val="12"/>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6661" w:type="dxa"/>
            <w:gridSpan w:val="2"/>
            <w:vAlign w:val="center"/>
          </w:tcPr>
          <w:p>
            <w:pPr>
              <w:pStyle w:val="14"/>
            </w:pPr>
            <w:r>
              <w:t>收入</w:t>
            </w:r>
          </w:p>
        </w:tc>
        <w:tc>
          <w:tcPr>
            <w:tcW w:w="6661"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4"/>
            </w:pPr>
            <w:r>
              <w:t>项  目</w:t>
            </w:r>
          </w:p>
        </w:tc>
        <w:tc>
          <w:tcPr>
            <w:tcW w:w="2126" w:type="dxa"/>
            <w:vAlign w:val="center"/>
          </w:tcPr>
          <w:p>
            <w:pPr>
              <w:pStyle w:val="14"/>
            </w:pPr>
            <w:r>
              <w:t>预算数</w:t>
            </w:r>
          </w:p>
        </w:tc>
        <w:tc>
          <w:tcPr>
            <w:tcW w:w="4535" w:type="dxa"/>
            <w:vAlign w:val="center"/>
          </w:tcPr>
          <w:p>
            <w:pPr>
              <w:pStyle w:val="14"/>
            </w:pPr>
            <w:r>
              <w:t>项  目</w:t>
            </w:r>
          </w:p>
        </w:tc>
        <w:tc>
          <w:tcPr>
            <w:tcW w:w="2126"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4535" w:type="dxa"/>
            <w:vAlign w:val="center"/>
          </w:tcPr>
          <w:p>
            <w:pPr>
              <w:pStyle w:val="14"/>
            </w:pPr>
            <w:r>
              <w:t>1</w:t>
            </w:r>
          </w:p>
        </w:tc>
        <w:tc>
          <w:tcPr>
            <w:tcW w:w="2126" w:type="dxa"/>
            <w:vAlign w:val="center"/>
          </w:tcPr>
          <w:p>
            <w:pPr>
              <w:pStyle w:val="14"/>
            </w:pPr>
            <w:r>
              <w:t>2</w:t>
            </w:r>
          </w:p>
        </w:tc>
        <w:tc>
          <w:tcPr>
            <w:tcW w:w="4535" w:type="dxa"/>
            <w:vAlign w:val="center"/>
          </w:tcPr>
          <w:p>
            <w:pPr>
              <w:pStyle w:val="14"/>
            </w:pPr>
            <w:r>
              <w:t>3</w:t>
            </w:r>
          </w:p>
        </w:tc>
        <w:tc>
          <w:tcPr>
            <w:tcW w:w="2126"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4535" w:type="dxa"/>
            <w:vAlign w:val="center"/>
          </w:tcPr>
          <w:p>
            <w:pPr>
              <w:pStyle w:val="16"/>
            </w:pPr>
            <w:r>
              <w:t>一、一般公共预算拨款收入</w:t>
            </w:r>
          </w:p>
        </w:tc>
        <w:tc>
          <w:tcPr>
            <w:tcW w:w="2126" w:type="dxa"/>
            <w:vAlign w:val="center"/>
          </w:tcPr>
          <w:p>
            <w:pPr>
              <w:pStyle w:val="15"/>
            </w:pPr>
            <w:r>
              <w:t>545.16</w:t>
            </w:r>
          </w:p>
        </w:tc>
        <w:tc>
          <w:tcPr>
            <w:tcW w:w="4535" w:type="dxa"/>
            <w:vAlign w:val="center"/>
          </w:tcPr>
          <w:p>
            <w:pPr>
              <w:pStyle w:val="16"/>
            </w:pPr>
            <w:r>
              <w:t>一、一般公共服务支出</w:t>
            </w:r>
          </w:p>
        </w:tc>
        <w:tc>
          <w:tcPr>
            <w:tcW w:w="2126" w:type="dxa"/>
            <w:vAlign w:val="center"/>
          </w:tcPr>
          <w:p>
            <w:pPr>
              <w:pStyle w:val="15"/>
            </w:pPr>
            <w:r>
              <w:t>545.16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4535" w:type="dxa"/>
            <w:vAlign w:val="center"/>
          </w:tcPr>
          <w:p>
            <w:pPr>
              <w:pStyle w:val="16"/>
            </w:pPr>
            <w:r>
              <w:t>二、政府性基金预算拨款收入</w:t>
            </w:r>
          </w:p>
        </w:tc>
        <w:tc>
          <w:tcPr>
            <w:tcW w:w="2126" w:type="dxa"/>
            <w:vAlign w:val="center"/>
          </w:tcPr>
          <w:p>
            <w:pPr>
              <w:pStyle w:val="15"/>
            </w:pPr>
          </w:p>
        </w:tc>
        <w:tc>
          <w:tcPr>
            <w:tcW w:w="4535" w:type="dxa"/>
            <w:vAlign w:val="center"/>
          </w:tcPr>
          <w:p>
            <w:pPr>
              <w:pStyle w:val="16"/>
            </w:pPr>
            <w:r>
              <w:t>二、外交支出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4535" w:type="dxa"/>
            <w:vAlign w:val="center"/>
          </w:tcPr>
          <w:p>
            <w:pPr>
              <w:pStyle w:val="16"/>
            </w:pPr>
            <w:r>
              <w:t>三、国有资本经营预算拨款收入</w:t>
            </w:r>
          </w:p>
        </w:tc>
        <w:tc>
          <w:tcPr>
            <w:tcW w:w="2126" w:type="dxa"/>
            <w:vAlign w:val="center"/>
          </w:tcPr>
          <w:p>
            <w:pPr>
              <w:pStyle w:val="15"/>
            </w:pPr>
          </w:p>
        </w:tc>
        <w:tc>
          <w:tcPr>
            <w:tcW w:w="4535" w:type="dxa"/>
            <w:vAlign w:val="center"/>
          </w:tcPr>
          <w:p>
            <w:pPr>
              <w:pStyle w:val="16"/>
            </w:pPr>
            <w:r>
              <w:t>三、国防支出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4535" w:type="dxa"/>
            <w:vAlign w:val="center"/>
          </w:tcPr>
          <w:p>
            <w:pPr>
              <w:pStyle w:val="16"/>
            </w:pPr>
            <w:r>
              <w:t>四、财政专户管理资金收入</w:t>
            </w:r>
          </w:p>
        </w:tc>
        <w:tc>
          <w:tcPr>
            <w:tcW w:w="2126" w:type="dxa"/>
            <w:vAlign w:val="center"/>
          </w:tcPr>
          <w:p>
            <w:pPr>
              <w:pStyle w:val="15"/>
            </w:pPr>
          </w:p>
        </w:tc>
        <w:tc>
          <w:tcPr>
            <w:tcW w:w="4535" w:type="dxa"/>
            <w:vAlign w:val="center"/>
          </w:tcPr>
          <w:p>
            <w:pPr>
              <w:pStyle w:val="16"/>
            </w:pPr>
            <w:r>
              <w:t>四、公共安全支出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4535" w:type="dxa"/>
            <w:vAlign w:val="center"/>
          </w:tcPr>
          <w:p>
            <w:pPr>
              <w:pStyle w:val="16"/>
            </w:pPr>
            <w:r>
              <w:t>五、事业收入</w:t>
            </w:r>
          </w:p>
        </w:tc>
        <w:tc>
          <w:tcPr>
            <w:tcW w:w="2126" w:type="dxa"/>
            <w:vAlign w:val="center"/>
          </w:tcPr>
          <w:p>
            <w:pPr>
              <w:pStyle w:val="15"/>
            </w:pPr>
          </w:p>
        </w:tc>
        <w:tc>
          <w:tcPr>
            <w:tcW w:w="4535" w:type="dxa"/>
            <w:vAlign w:val="center"/>
          </w:tcPr>
          <w:p>
            <w:pPr>
              <w:pStyle w:val="16"/>
            </w:pPr>
            <w:r>
              <w:t>五、教育支出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4535" w:type="dxa"/>
            <w:vAlign w:val="center"/>
          </w:tcPr>
          <w:p>
            <w:pPr>
              <w:pStyle w:val="16"/>
            </w:pPr>
            <w:r>
              <w:t>六、事业单位经营收入</w:t>
            </w:r>
          </w:p>
        </w:tc>
        <w:tc>
          <w:tcPr>
            <w:tcW w:w="2126" w:type="dxa"/>
            <w:vAlign w:val="center"/>
          </w:tcPr>
          <w:p>
            <w:pPr>
              <w:pStyle w:val="15"/>
            </w:pPr>
          </w:p>
        </w:tc>
        <w:tc>
          <w:tcPr>
            <w:tcW w:w="4535" w:type="dxa"/>
            <w:vAlign w:val="center"/>
          </w:tcPr>
          <w:p>
            <w:pPr>
              <w:pStyle w:val="16"/>
            </w:pPr>
            <w:r>
              <w:t>六、科学技术支出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4535" w:type="dxa"/>
            <w:vAlign w:val="center"/>
          </w:tcPr>
          <w:p>
            <w:pPr>
              <w:pStyle w:val="16"/>
            </w:pPr>
            <w:r>
              <w:t>七、上级补助收入</w:t>
            </w:r>
          </w:p>
        </w:tc>
        <w:tc>
          <w:tcPr>
            <w:tcW w:w="2126" w:type="dxa"/>
            <w:vAlign w:val="center"/>
          </w:tcPr>
          <w:p>
            <w:pPr>
              <w:pStyle w:val="15"/>
            </w:pPr>
          </w:p>
        </w:tc>
        <w:tc>
          <w:tcPr>
            <w:tcW w:w="4535" w:type="dxa"/>
            <w:vAlign w:val="center"/>
          </w:tcPr>
          <w:p>
            <w:pPr>
              <w:pStyle w:val="16"/>
            </w:pPr>
            <w:r>
              <w:t>七、文化旅游体育与传媒支出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4535" w:type="dxa"/>
            <w:vAlign w:val="center"/>
          </w:tcPr>
          <w:p>
            <w:pPr>
              <w:pStyle w:val="16"/>
            </w:pPr>
            <w:r>
              <w:t>八、附属单位上缴收入</w:t>
            </w:r>
          </w:p>
        </w:tc>
        <w:tc>
          <w:tcPr>
            <w:tcW w:w="2126" w:type="dxa"/>
            <w:vAlign w:val="center"/>
          </w:tcPr>
          <w:p>
            <w:pPr>
              <w:pStyle w:val="15"/>
            </w:pPr>
          </w:p>
        </w:tc>
        <w:tc>
          <w:tcPr>
            <w:tcW w:w="4535" w:type="dxa"/>
            <w:vAlign w:val="center"/>
          </w:tcPr>
          <w:p>
            <w:pPr>
              <w:pStyle w:val="16"/>
            </w:pPr>
            <w:r>
              <w:t>八、社会保障和就业支出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4535" w:type="dxa"/>
            <w:vAlign w:val="center"/>
          </w:tcPr>
          <w:p>
            <w:pPr>
              <w:pStyle w:val="16"/>
            </w:pPr>
            <w:r>
              <w:t>九、其他收入</w:t>
            </w:r>
          </w:p>
        </w:tc>
        <w:tc>
          <w:tcPr>
            <w:tcW w:w="2126" w:type="dxa"/>
            <w:vAlign w:val="center"/>
          </w:tcPr>
          <w:p>
            <w:pPr>
              <w:pStyle w:val="15"/>
            </w:pPr>
          </w:p>
        </w:tc>
        <w:tc>
          <w:tcPr>
            <w:tcW w:w="4535" w:type="dxa"/>
            <w:vAlign w:val="center"/>
          </w:tcPr>
          <w:p>
            <w:pPr>
              <w:pStyle w:val="16"/>
            </w:pPr>
            <w:r>
              <w:t>九、社会保险基金支出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十、卫生健康支出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十一、节能环保支出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十二、城乡社区支出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十三、农林水支出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十四、交通运输支出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十五、资源勘探工业信息等支出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十六、商业服务业等支出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十七、金融支出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十八、援助其他地区支出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十九、自然资源海洋气象等支出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二十、住房保障支出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二十一、粮油物资储备支出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二十二、国有资本经营预算支出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二十三、灾害防治及应急管理支出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二十四、预备费</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二十五、其他支出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二十六、转移性支出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二十七、债务还本支出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二十八、债务付息支出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二十九、债务发行费用支出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三十、抗疫特别国债安排的支出</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4535" w:type="dxa"/>
            <w:vAlign w:val="center"/>
          </w:tcPr>
          <w:p>
            <w:pPr>
              <w:pStyle w:val="16"/>
            </w:pPr>
          </w:p>
        </w:tc>
        <w:tc>
          <w:tcPr>
            <w:tcW w:w="2126" w:type="dxa"/>
            <w:vAlign w:val="center"/>
          </w:tcPr>
          <w:p>
            <w:pPr>
              <w:pStyle w:val="15"/>
            </w:pPr>
          </w:p>
        </w:tc>
        <w:tc>
          <w:tcPr>
            <w:tcW w:w="4535" w:type="dxa"/>
            <w:vAlign w:val="center"/>
          </w:tcPr>
          <w:p>
            <w:pPr>
              <w:pStyle w:val="16"/>
            </w:pPr>
            <w:r>
              <w:t>三十一、人行科目</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4535" w:type="dxa"/>
            <w:vAlign w:val="center"/>
          </w:tcPr>
          <w:p>
            <w:pPr>
              <w:pStyle w:val="18"/>
            </w:pPr>
            <w:r>
              <w:t>本年收入合计</w:t>
            </w:r>
          </w:p>
        </w:tc>
        <w:tc>
          <w:tcPr>
            <w:tcW w:w="2126" w:type="dxa"/>
            <w:vAlign w:val="center"/>
          </w:tcPr>
          <w:p>
            <w:pPr>
              <w:pStyle w:val="19"/>
            </w:pPr>
            <w:r>
              <w:t>545.16</w:t>
            </w:r>
          </w:p>
        </w:tc>
        <w:tc>
          <w:tcPr>
            <w:tcW w:w="4535" w:type="dxa"/>
            <w:vAlign w:val="center"/>
          </w:tcPr>
          <w:p>
            <w:pPr>
              <w:pStyle w:val="18"/>
            </w:pPr>
            <w:r>
              <w:t>本年支出合计</w:t>
            </w:r>
          </w:p>
        </w:tc>
        <w:tc>
          <w:tcPr>
            <w:tcW w:w="2126" w:type="dxa"/>
            <w:vAlign w:val="center"/>
          </w:tcPr>
          <w:p>
            <w:pPr>
              <w:pStyle w:val="19"/>
            </w:pPr>
            <w:r>
              <w:t>545.16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4535" w:type="dxa"/>
            <w:vAlign w:val="center"/>
          </w:tcPr>
          <w:p>
            <w:pPr>
              <w:pStyle w:val="16"/>
            </w:pPr>
            <w:r>
              <w:t>上年结转结余</w:t>
            </w:r>
          </w:p>
        </w:tc>
        <w:tc>
          <w:tcPr>
            <w:tcW w:w="2126" w:type="dxa"/>
            <w:vAlign w:val="center"/>
          </w:tcPr>
          <w:p>
            <w:pPr>
              <w:pStyle w:val="15"/>
            </w:pPr>
          </w:p>
        </w:tc>
        <w:tc>
          <w:tcPr>
            <w:tcW w:w="4535" w:type="dxa"/>
            <w:vAlign w:val="center"/>
          </w:tcPr>
          <w:p>
            <w:pPr>
              <w:pStyle w:val="16"/>
            </w:pPr>
            <w:r>
              <w:t>年终结转结余</w:t>
            </w:r>
          </w:p>
        </w:tc>
        <w:tc>
          <w:tcPr>
            <w:tcW w:w="2126"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4535" w:type="dxa"/>
            <w:vAlign w:val="center"/>
          </w:tcPr>
          <w:p>
            <w:pPr>
              <w:pStyle w:val="18"/>
            </w:pPr>
            <w:r>
              <w:t>收入总计</w:t>
            </w:r>
          </w:p>
        </w:tc>
        <w:tc>
          <w:tcPr>
            <w:tcW w:w="2126" w:type="dxa"/>
            <w:vAlign w:val="center"/>
          </w:tcPr>
          <w:p>
            <w:pPr>
              <w:pStyle w:val="19"/>
            </w:pPr>
            <w:r>
              <w:t>545.16</w:t>
            </w:r>
          </w:p>
        </w:tc>
        <w:tc>
          <w:tcPr>
            <w:tcW w:w="4535" w:type="dxa"/>
            <w:vAlign w:val="center"/>
          </w:tcPr>
          <w:p>
            <w:pPr>
              <w:pStyle w:val="18"/>
            </w:pPr>
            <w:r>
              <w:t>支出总计</w:t>
            </w:r>
          </w:p>
        </w:tc>
        <w:tc>
          <w:tcPr>
            <w:tcW w:w="2126" w:type="dxa"/>
            <w:vAlign w:val="center"/>
          </w:tcPr>
          <w:p>
            <w:pPr>
              <w:pStyle w:val="19"/>
            </w:pPr>
            <w:r>
              <w:t>545.16</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sz w:val="21"/>
                <w:szCs w:val="21"/>
                <w:lang w:eastAsia="zh-CN"/>
              </w:rPr>
              <w:t>131中国人民政治协商会议河北省平乡县委员会</w:t>
            </w:r>
          </w:p>
        </w:tc>
        <w:tc>
          <w:tcPr>
            <w:tcW w:w="3402"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4"/>
            </w:pPr>
            <w:r>
              <w:t>序号</w:t>
            </w:r>
          </w:p>
        </w:tc>
        <w:tc>
          <w:tcPr>
            <w:tcW w:w="2551" w:type="dxa"/>
            <w:gridSpan w:val="2"/>
            <w:vAlign w:val="center"/>
          </w:tcPr>
          <w:p>
            <w:pPr>
              <w:pStyle w:val="14"/>
            </w:pPr>
            <w:r>
              <w:t>功能分类科目</w:t>
            </w:r>
          </w:p>
        </w:tc>
        <w:tc>
          <w:tcPr>
            <w:tcW w:w="1134" w:type="dxa"/>
            <w:vMerge w:val="restart"/>
            <w:vAlign w:val="center"/>
          </w:tcPr>
          <w:p>
            <w:pPr>
              <w:pStyle w:val="14"/>
            </w:pPr>
            <w:r>
              <w:t>合计</w:t>
            </w:r>
          </w:p>
        </w:tc>
        <w:tc>
          <w:tcPr>
            <w:tcW w:w="9071" w:type="dxa"/>
            <w:gridSpan w:val="8"/>
            <w:vAlign w:val="center"/>
          </w:tcPr>
          <w:p>
            <w:pPr>
              <w:pStyle w:val="14"/>
            </w:pPr>
            <w:r>
              <w:t>本年收入</w:t>
            </w:r>
          </w:p>
        </w:tc>
        <w:tc>
          <w:tcPr>
            <w:tcW w:w="1134"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4"/>
            </w:pPr>
            <w:r>
              <w:t>科目    编码</w:t>
            </w:r>
          </w:p>
        </w:tc>
        <w:tc>
          <w:tcPr>
            <w:tcW w:w="1559" w:type="dxa"/>
            <w:vAlign w:val="center"/>
          </w:tcPr>
          <w:p>
            <w:pPr>
              <w:pStyle w:val="14"/>
            </w:pPr>
            <w:r>
              <w:t>科目名称</w:t>
            </w:r>
          </w:p>
        </w:tc>
        <w:tc>
          <w:tcPr>
            <w:tcW w:w="1134" w:type="dxa"/>
            <w:vMerge w:val="continue"/>
          </w:tcPr>
          <w:p/>
        </w:tc>
        <w:tc>
          <w:tcPr>
            <w:tcW w:w="1134" w:type="dxa"/>
            <w:vAlign w:val="center"/>
          </w:tcPr>
          <w:p>
            <w:pPr>
              <w:pStyle w:val="14"/>
            </w:pPr>
            <w:r>
              <w:t>小计</w:t>
            </w:r>
          </w:p>
        </w:tc>
        <w:tc>
          <w:tcPr>
            <w:tcW w:w="1134" w:type="dxa"/>
            <w:vAlign w:val="center"/>
          </w:tcPr>
          <w:p>
            <w:pPr>
              <w:pStyle w:val="14"/>
            </w:pPr>
            <w:r>
              <w:t>财政拨款 收入</w:t>
            </w:r>
          </w:p>
        </w:tc>
        <w:tc>
          <w:tcPr>
            <w:tcW w:w="1134" w:type="dxa"/>
            <w:vAlign w:val="center"/>
          </w:tcPr>
          <w:p>
            <w:pPr>
              <w:pStyle w:val="14"/>
            </w:pPr>
            <w:r>
              <w:t>财政专户 收入</w:t>
            </w:r>
          </w:p>
        </w:tc>
        <w:tc>
          <w:tcPr>
            <w:tcW w:w="1134" w:type="dxa"/>
            <w:vAlign w:val="center"/>
          </w:tcPr>
          <w:p>
            <w:pPr>
              <w:pStyle w:val="14"/>
            </w:pPr>
            <w:r>
              <w:t>事业收入</w:t>
            </w:r>
          </w:p>
        </w:tc>
        <w:tc>
          <w:tcPr>
            <w:tcW w:w="1134" w:type="dxa"/>
            <w:vAlign w:val="center"/>
          </w:tcPr>
          <w:p>
            <w:pPr>
              <w:pStyle w:val="14"/>
            </w:pPr>
            <w:r>
              <w:t>经营收入</w:t>
            </w:r>
          </w:p>
        </w:tc>
        <w:tc>
          <w:tcPr>
            <w:tcW w:w="1134" w:type="dxa"/>
            <w:vAlign w:val="center"/>
          </w:tcPr>
          <w:p>
            <w:pPr>
              <w:pStyle w:val="14"/>
            </w:pPr>
            <w:r>
              <w:t>上级补助收入</w:t>
            </w:r>
          </w:p>
        </w:tc>
        <w:tc>
          <w:tcPr>
            <w:tcW w:w="1134" w:type="dxa"/>
            <w:vAlign w:val="center"/>
          </w:tcPr>
          <w:p>
            <w:pPr>
              <w:pStyle w:val="14"/>
            </w:pPr>
            <w:r>
              <w:t>附属单位上缴收入</w:t>
            </w:r>
          </w:p>
        </w:tc>
        <w:tc>
          <w:tcPr>
            <w:tcW w:w="1134" w:type="dxa"/>
            <w:vAlign w:val="center"/>
          </w:tcPr>
          <w:p>
            <w:pPr>
              <w:pStyle w:val="14"/>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4"/>
            </w:pPr>
            <w:r>
              <w:t>栏次</w:t>
            </w:r>
          </w:p>
        </w:tc>
        <w:tc>
          <w:tcPr>
            <w:tcW w:w="992" w:type="dxa"/>
            <w:vAlign w:val="center"/>
          </w:tcPr>
          <w:p>
            <w:pPr>
              <w:pStyle w:val="14"/>
            </w:pPr>
            <w:r>
              <w:t>1</w:t>
            </w:r>
          </w:p>
        </w:tc>
        <w:tc>
          <w:tcPr>
            <w:tcW w:w="1559" w:type="dxa"/>
            <w:vAlign w:val="center"/>
          </w:tcPr>
          <w:p>
            <w:pPr>
              <w:pStyle w:val="14"/>
            </w:pPr>
            <w:r>
              <w:t>2</w:t>
            </w:r>
          </w:p>
        </w:tc>
        <w:tc>
          <w:tcPr>
            <w:tcW w:w="1134" w:type="dxa"/>
            <w:vAlign w:val="center"/>
          </w:tcPr>
          <w:p>
            <w:pPr>
              <w:pStyle w:val="14"/>
            </w:pPr>
            <w:r>
              <w:t>3</w:t>
            </w:r>
          </w:p>
        </w:tc>
        <w:tc>
          <w:tcPr>
            <w:tcW w:w="1134" w:type="dxa"/>
            <w:vAlign w:val="center"/>
          </w:tcPr>
          <w:p>
            <w:pPr>
              <w:pStyle w:val="14"/>
            </w:pPr>
            <w:r>
              <w:t>4</w:t>
            </w:r>
          </w:p>
        </w:tc>
        <w:tc>
          <w:tcPr>
            <w:tcW w:w="1134" w:type="dxa"/>
            <w:vAlign w:val="center"/>
          </w:tcPr>
          <w:p>
            <w:pPr>
              <w:pStyle w:val="14"/>
            </w:pPr>
            <w:r>
              <w:t>5</w:t>
            </w:r>
          </w:p>
        </w:tc>
        <w:tc>
          <w:tcPr>
            <w:tcW w:w="1134" w:type="dxa"/>
            <w:vAlign w:val="center"/>
          </w:tcPr>
          <w:p>
            <w:pPr>
              <w:pStyle w:val="14"/>
            </w:pPr>
            <w:r>
              <w:t>6</w:t>
            </w:r>
          </w:p>
        </w:tc>
        <w:tc>
          <w:tcPr>
            <w:tcW w:w="1134" w:type="dxa"/>
            <w:vAlign w:val="center"/>
          </w:tcPr>
          <w:p>
            <w:pPr>
              <w:pStyle w:val="14"/>
            </w:pPr>
            <w:r>
              <w:t>7</w:t>
            </w:r>
          </w:p>
        </w:tc>
        <w:tc>
          <w:tcPr>
            <w:tcW w:w="1134" w:type="dxa"/>
            <w:vAlign w:val="center"/>
          </w:tcPr>
          <w:p>
            <w:pPr>
              <w:pStyle w:val="14"/>
            </w:pPr>
            <w:r>
              <w:t>8</w:t>
            </w:r>
          </w:p>
        </w:tc>
        <w:tc>
          <w:tcPr>
            <w:tcW w:w="1134" w:type="dxa"/>
            <w:vAlign w:val="center"/>
          </w:tcPr>
          <w:p>
            <w:pPr>
              <w:pStyle w:val="14"/>
            </w:pPr>
            <w:r>
              <w:t>9</w:t>
            </w:r>
          </w:p>
        </w:tc>
        <w:tc>
          <w:tcPr>
            <w:tcW w:w="1134" w:type="dxa"/>
            <w:vAlign w:val="center"/>
          </w:tcPr>
          <w:p>
            <w:pPr>
              <w:pStyle w:val="14"/>
            </w:pPr>
            <w:r>
              <w:t>10</w:t>
            </w:r>
          </w:p>
        </w:tc>
        <w:tc>
          <w:tcPr>
            <w:tcW w:w="1134" w:type="dxa"/>
            <w:vAlign w:val="center"/>
          </w:tcPr>
          <w:p>
            <w:pPr>
              <w:pStyle w:val="14"/>
            </w:pPr>
            <w:r>
              <w:t>11</w:t>
            </w:r>
          </w:p>
        </w:tc>
        <w:tc>
          <w:tcPr>
            <w:tcW w:w="1134"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1</w:t>
            </w:r>
          </w:p>
        </w:tc>
        <w:tc>
          <w:tcPr>
            <w:tcW w:w="992" w:type="dxa"/>
            <w:vAlign w:val="center"/>
          </w:tcPr>
          <w:p>
            <w:pPr>
              <w:pStyle w:val="20"/>
            </w:pPr>
          </w:p>
        </w:tc>
        <w:tc>
          <w:tcPr>
            <w:tcW w:w="1559" w:type="dxa"/>
            <w:vAlign w:val="center"/>
          </w:tcPr>
          <w:p>
            <w:pPr>
              <w:pStyle w:val="18"/>
            </w:pPr>
            <w:r>
              <w:t>合计</w:t>
            </w:r>
          </w:p>
        </w:tc>
        <w:tc>
          <w:tcPr>
            <w:tcW w:w="1134" w:type="dxa"/>
            <w:vAlign w:val="center"/>
          </w:tcPr>
          <w:p>
            <w:pPr>
              <w:pStyle w:val="19"/>
            </w:pPr>
            <w:r>
              <w:t>545.16</w:t>
            </w:r>
          </w:p>
        </w:tc>
        <w:tc>
          <w:tcPr>
            <w:tcW w:w="1134" w:type="dxa"/>
            <w:vAlign w:val="center"/>
          </w:tcPr>
          <w:p>
            <w:pPr>
              <w:pStyle w:val="19"/>
            </w:pPr>
            <w:r>
              <w:t>545.16</w:t>
            </w:r>
          </w:p>
        </w:tc>
        <w:tc>
          <w:tcPr>
            <w:tcW w:w="1134" w:type="dxa"/>
            <w:vAlign w:val="center"/>
          </w:tcPr>
          <w:p>
            <w:pPr>
              <w:pStyle w:val="19"/>
            </w:pPr>
            <w:r>
              <w:t>545.16</w:t>
            </w: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c>
          <w:tcPr>
            <w:tcW w:w="113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2</w:t>
            </w:r>
          </w:p>
        </w:tc>
        <w:tc>
          <w:tcPr>
            <w:tcW w:w="992" w:type="dxa"/>
            <w:vAlign w:val="center"/>
          </w:tcPr>
          <w:p>
            <w:pPr>
              <w:pStyle w:val="16"/>
            </w:pPr>
            <w:r>
              <w:t>201</w:t>
            </w:r>
          </w:p>
        </w:tc>
        <w:tc>
          <w:tcPr>
            <w:tcW w:w="1559" w:type="dxa"/>
            <w:vAlign w:val="center"/>
          </w:tcPr>
          <w:p>
            <w:pPr>
              <w:pStyle w:val="16"/>
            </w:pPr>
            <w:r>
              <w:t>一般公共服务支出</w:t>
            </w:r>
          </w:p>
        </w:tc>
        <w:tc>
          <w:tcPr>
            <w:tcW w:w="1134" w:type="dxa"/>
            <w:vAlign w:val="center"/>
          </w:tcPr>
          <w:p>
            <w:pPr>
              <w:pStyle w:val="15"/>
            </w:pPr>
            <w:r>
              <w:t>545.16</w:t>
            </w:r>
          </w:p>
        </w:tc>
        <w:tc>
          <w:tcPr>
            <w:tcW w:w="1134" w:type="dxa"/>
            <w:vAlign w:val="center"/>
          </w:tcPr>
          <w:p>
            <w:pPr>
              <w:pStyle w:val="15"/>
            </w:pPr>
            <w:r>
              <w:t>545.16</w:t>
            </w:r>
          </w:p>
        </w:tc>
        <w:tc>
          <w:tcPr>
            <w:tcW w:w="1134" w:type="dxa"/>
            <w:vAlign w:val="center"/>
          </w:tcPr>
          <w:p>
            <w:pPr>
              <w:pStyle w:val="15"/>
            </w:pPr>
            <w:r>
              <w:t>545.16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3</w:t>
            </w:r>
          </w:p>
        </w:tc>
        <w:tc>
          <w:tcPr>
            <w:tcW w:w="992" w:type="dxa"/>
            <w:vAlign w:val="center"/>
          </w:tcPr>
          <w:p>
            <w:pPr>
              <w:pStyle w:val="16"/>
            </w:pPr>
            <w:r>
              <w:t>20102</w:t>
            </w:r>
          </w:p>
        </w:tc>
        <w:tc>
          <w:tcPr>
            <w:tcW w:w="1559" w:type="dxa"/>
            <w:vAlign w:val="center"/>
          </w:tcPr>
          <w:p>
            <w:pPr>
              <w:pStyle w:val="16"/>
            </w:pPr>
            <w:r>
              <w:t>政协事务</w:t>
            </w:r>
          </w:p>
        </w:tc>
        <w:tc>
          <w:tcPr>
            <w:tcW w:w="1134" w:type="dxa"/>
            <w:vAlign w:val="center"/>
          </w:tcPr>
          <w:p>
            <w:pPr>
              <w:pStyle w:val="15"/>
            </w:pPr>
            <w:r>
              <w:t>545.16</w:t>
            </w:r>
          </w:p>
        </w:tc>
        <w:tc>
          <w:tcPr>
            <w:tcW w:w="1134" w:type="dxa"/>
            <w:vAlign w:val="center"/>
          </w:tcPr>
          <w:p>
            <w:pPr>
              <w:pStyle w:val="15"/>
            </w:pPr>
            <w:r>
              <w:t>545.16</w:t>
            </w:r>
          </w:p>
        </w:tc>
        <w:tc>
          <w:tcPr>
            <w:tcW w:w="1134" w:type="dxa"/>
            <w:vAlign w:val="center"/>
          </w:tcPr>
          <w:p>
            <w:pPr>
              <w:pStyle w:val="15"/>
            </w:pPr>
            <w:r>
              <w:t>545.16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4</w:t>
            </w:r>
          </w:p>
        </w:tc>
        <w:tc>
          <w:tcPr>
            <w:tcW w:w="992" w:type="dxa"/>
            <w:vAlign w:val="center"/>
          </w:tcPr>
          <w:p>
            <w:pPr>
              <w:pStyle w:val="16"/>
            </w:pPr>
            <w:r>
              <w:t>2010201</w:t>
            </w:r>
          </w:p>
        </w:tc>
        <w:tc>
          <w:tcPr>
            <w:tcW w:w="1559" w:type="dxa"/>
            <w:vAlign w:val="center"/>
          </w:tcPr>
          <w:p>
            <w:pPr>
              <w:pStyle w:val="16"/>
            </w:pPr>
            <w:r>
              <w:t>行政运行</w:t>
            </w:r>
          </w:p>
        </w:tc>
        <w:tc>
          <w:tcPr>
            <w:tcW w:w="1134" w:type="dxa"/>
            <w:vAlign w:val="center"/>
          </w:tcPr>
          <w:p>
            <w:pPr>
              <w:pStyle w:val="15"/>
            </w:pPr>
            <w:r>
              <w:t>408.16</w:t>
            </w:r>
          </w:p>
        </w:tc>
        <w:tc>
          <w:tcPr>
            <w:tcW w:w="1134" w:type="dxa"/>
            <w:vAlign w:val="center"/>
          </w:tcPr>
          <w:p>
            <w:pPr>
              <w:pStyle w:val="15"/>
            </w:pPr>
            <w:r>
              <w:t>408.16</w:t>
            </w:r>
          </w:p>
        </w:tc>
        <w:tc>
          <w:tcPr>
            <w:tcW w:w="1134" w:type="dxa"/>
            <w:vAlign w:val="center"/>
          </w:tcPr>
          <w:p>
            <w:pPr>
              <w:pStyle w:val="15"/>
            </w:pPr>
            <w:r>
              <w:t>408.16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5</w:t>
            </w:r>
          </w:p>
        </w:tc>
        <w:tc>
          <w:tcPr>
            <w:tcW w:w="992" w:type="dxa"/>
            <w:vAlign w:val="center"/>
          </w:tcPr>
          <w:p>
            <w:pPr>
              <w:pStyle w:val="16"/>
            </w:pPr>
            <w:r>
              <w:t>2010202</w:t>
            </w:r>
          </w:p>
        </w:tc>
        <w:tc>
          <w:tcPr>
            <w:tcW w:w="1559" w:type="dxa"/>
            <w:vAlign w:val="center"/>
          </w:tcPr>
          <w:p>
            <w:pPr>
              <w:pStyle w:val="16"/>
            </w:pPr>
            <w:r>
              <w:t>一般行政管理事务</w:t>
            </w:r>
          </w:p>
        </w:tc>
        <w:tc>
          <w:tcPr>
            <w:tcW w:w="1134" w:type="dxa"/>
            <w:vAlign w:val="center"/>
          </w:tcPr>
          <w:p>
            <w:pPr>
              <w:pStyle w:val="15"/>
            </w:pPr>
            <w:r>
              <w:t>65.00</w:t>
            </w:r>
          </w:p>
        </w:tc>
        <w:tc>
          <w:tcPr>
            <w:tcW w:w="1134" w:type="dxa"/>
            <w:vAlign w:val="center"/>
          </w:tcPr>
          <w:p>
            <w:pPr>
              <w:pStyle w:val="15"/>
            </w:pPr>
            <w:r>
              <w:t>65.00</w:t>
            </w:r>
          </w:p>
        </w:tc>
        <w:tc>
          <w:tcPr>
            <w:tcW w:w="1134" w:type="dxa"/>
            <w:vAlign w:val="center"/>
          </w:tcPr>
          <w:p>
            <w:pPr>
              <w:pStyle w:val="15"/>
            </w:pPr>
            <w:r>
              <w:t>65.00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6</w:t>
            </w:r>
          </w:p>
        </w:tc>
        <w:tc>
          <w:tcPr>
            <w:tcW w:w="992" w:type="dxa"/>
            <w:vAlign w:val="center"/>
          </w:tcPr>
          <w:p>
            <w:pPr>
              <w:pStyle w:val="16"/>
            </w:pPr>
            <w:r>
              <w:t>2010204</w:t>
            </w:r>
          </w:p>
        </w:tc>
        <w:tc>
          <w:tcPr>
            <w:tcW w:w="1559" w:type="dxa"/>
            <w:vAlign w:val="center"/>
          </w:tcPr>
          <w:p>
            <w:pPr>
              <w:pStyle w:val="16"/>
            </w:pPr>
            <w:r>
              <w:t>政协会议</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r>
              <w:t>25.00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7</w:t>
            </w:r>
          </w:p>
        </w:tc>
        <w:tc>
          <w:tcPr>
            <w:tcW w:w="992" w:type="dxa"/>
            <w:vAlign w:val="center"/>
          </w:tcPr>
          <w:p>
            <w:pPr>
              <w:pStyle w:val="16"/>
            </w:pPr>
            <w:r>
              <w:t>2010205</w:t>
            </w:r>
          </w:p>
        </w:tc>
        <w:tc>
          <w:tcPr>
            <w:tcW w:w="1559" w:type="dxa"/>
            <w:vAlign w:val="center"/>
          </w:tcPr>
          <w:p>
            <w:pPr>
              <w:pStyle w:val="16"/>
            </w:pPr>
            <w:r>
              <w:t>委员视察</w:t>
            </w:r>
          </w:p>
        </w:tc>
        <w:tc>
          <w:tcPr>
            <w:tcW w:w="1134" w:type="dxa"/>
            <w:vAlign w:val="center"/>
          </w:tcPr>
          <w:p>
            <w:pPr>
              <w:pStyle w:val="15"/>
            </w:pPr>
            <w:r>
              <w:t>19.00</w:t>
            </w:r>
          </w:p>
        </w:tc>
        <w:tc>
          <w:tcPr>
            <w:tcW w:w="1134" w:type="dxa"/>
            <w:vAlign w:val="center"/>
          </w:tcPr>
          <w:p>
            <w:pPr>
              <w:pStyle w:val="15"/>
            </w:pPr>
            <w:r>
              <w:t>19.00</w:t>
            </w:r>
          </w:p>
        </w:tc>
        <w:tc>
          <w:tcPr>
            <w:tcW w:w="1134" w:type="dxa"/>
            <w:vAlign w:val="center"/>
          </w:tcPr>
          <w:p>
            <w:pPr>
              <w:pStyle w:val="15"/>
            </w:pPr>
            <w:r>
              <w:t>19.00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7"/>
            </w:pPr>
            <w:r>
              <w:t>8</w:t>
            </w:r>
          </w:p>
        </w:tc>
        <w:tc>
          <w:tcPr>
            <w:tcW w:w="992" w:type="dxa"/>
            <w:vAlign w:val="center"/>
          </w:tcPr>
          <w:p>
            <w:pPr>
              <w:pStyle w:val="16"/>
            </w:pPr>
            <w:r>
              <w:t>2010299</w:t>
            </w:r>
          </w:p>
        </w:tc>
        <w:tc>
          <w:tcPr>
            <w:tcW w:w="1559" w:type="dxa"/>
            <w:vAlign w:val="center"/>
          </w:tcPr>
          <w:p>
            <w:pPr>
              <w:pStyle w:val="16"/>
            </w:pPr>
            <w:r>
              <w:t>其他政协事务支出</w:t>
            </w:r>
          </w:p>
        </w:tc>
        <w:tc>
          <w:tcPr>
            <w:tcW w:w="1134" w:type="dxa"/>
            <w:vAlign w:val="center"/>
          </w:tcPr>
          <w:p>
            <w:pPr>
              <w:pStyle w:val="15"/>
            </w:pPr>
            <w:r>
              <w:t>28.00</w:t>
            </w:r>
          </w:p>
        </w:tc>
        <w:tc>
          <w:tcPr>
            <w:tcW w:w="1134" w:type="dxa"/>
            <w:vAlign w:val="center"/>
          </w:tcPr>
          <w:p>
            <w:pPr>
              <w:pStyle w:val="15"/>
            </w:pPr>
            <w:r>
              <w:t>28.00</w:t>
            </w:r>
          </w:p>
        </w:tc>
        <w:tc>
          <w:tcPr>
            <w:tcW w:w="1134" w:type="dxa"/>
            <w:vAlign w:val="center"/>
          </w:tcPr>
          <w:p>
            <w:pPr>
              <w:pStyle w:val="15"/>
            </w:pPr>
            <w:r>
              <w:t>28.00</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131中国人民政治协商会议河北省平乡县委员会</w:t>
            </w:r>
          </w:p>
        </w:tc>
        <w:tc>
          <w:tcPr>
            <w:tcW w:w="2721"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528" w:type="dxa"/>
            <w:gridSpan w:val="2"/>
            <w:vAlign w:val="center"/>
          </w:tcPr>
          <w:p>
            <w:pPr>
              <w:pStyle w:val="14"/>
            </w:pPr>
            <w:r>
              <w:t>功能分类科目</w:t>
            </w:r>
          </w:p>
        </w:tc>
        <w:tc>
          <w:tcPr>
            <w:tcW w:w="1361" w:type="dxa"/>
            <w:vMerge w:val="restart"/>
            <w:vAlign w:val="center"/>
          </w:tcPr>
          <w:p>
            <w:pPr>
              <w:pStyle w:val="14"/>
            </w:pPr>
            <w:r>
              <w:t>合计</w:t>
            </w:r>
          </w:p>
        </w:tc>
        <w:tc>
          <w:tcPr>
            <w:tcW w:w="1361" w:type="dxa"/>
            <w:vMerge w:val="restart"/>
            <w:vAlign w:val="center"/>
          </w:tcPr>
          <w:p>
            <w:pPr>
              <w:pStyle w:val="14"/>
            </w:pPr>
            <w:r>
              <w:t>基本支出</w:t>
            </w:r>
          </w:p>
        </w:tc>
        <w:tc>
          <w:tcPr>
            <w:tcW w:w="1361" w:type="dxa"/>
            <w:vMerge w:val="restart"/>
            <w:vAlign w:val="center"/>
          </w:tcPr>
          <w:p>
            <w:pPr>
              <w:pStyle w:val="14"/>
            </w:pPr>
            <w:r>
              <w:t>项目支出</w:t>
            </w:r>
          </w:p>
        </w:tc>
        <w:tc>
          <w:tcPr>
            <w:tcW w:w="1361" w:type="dxa"/>
            <w:vMerge w:val="restart"/>
            <w:vAlign w:val="center"/>
          </w:tcPr>
          <w:p>
            <w:pPr>
              <w:pStyle w:val="14"/>
            </w:pPr>
            <w:r>
              <w:t>经营支出</w:t>
            </w:r>
          </w:p>
        </w:tc>
        <w:tc>
          <w:tcPr>
            <w:tcW w:w="1361" w:type="dxa"/>
            <w:vMerge w:val="restart"/>
            <w:vAlign w:val="center"/>
          </w:tcPr>
          <w:p>
            <w:pPr>
              <w:pStyle w:val="14"/>
            </w:pPr>
            <w:r>
              <w:t>上解上级     支出</w:t>
            </w:r>
          </w:p>
        </w:tc>
        <w:tc>
          <w:tcPr>
            <w:tcW w:w="1361"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4"/>
            </w:pPr>
            <w:r>
              <w:t>科目    编码</w:t>
            </w:r>
          </w:p>
        </w:tc>
        <w:tc>
          <w:tcPr>
            <w:tcW w:w="4535" w:type="dxa"/>
            <w:vAlign w:val="center"/>
          </w:tcPr>
          <w:p>
            <w:pPr>
              <w:pStyle w:val="14"/>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992" w:type="dxa"/>
            <w:vAlign w:val="center"/>
          </w:tcPr>
          <w:p>
            <w:pPr>
              <w:pStyle w:val="14"/>
            </w:pPr>
            <w:r>
              <w:t>1</w:t>
            </w:r>
          </w:p>
        </w:tc>
        <w:tc>
          <w:tcPr>
            <w:tcW w:w="4535" w:type="dxa"/>
            <w:vAlign w:val="center"/>
          </w:tcPr>
          <w:p>
            <w:pPr>
              <w:pStyle w:val="14"/>
            </w:pPr>
            <w:r>
              <w:t>2</w:t>
            </w:r>
          </w:p>
        </w:tc>
        <w:tc>
          <w:tcPr>
            <w:tcW w:w="1361" w:type="dxa"/>
            <w:vAlign w:val="center"/>
          </w:tcPr>
          <w:p>
            <w:pPr>
              <w:pStyle w:val="14"/>
            </w:pPr>
            <w:r>
              <w:t>3</w:t>
            </w:r>
          </w:p>
        </w:tc>
        <w:tc>
          <w:tcPr>
            <w:tcW w:w="1361" w:type="dxa"/>
            <w:vAlign w:val="center"/>
          </w:tcPr>
          <w:p>
            <w:pPr>
              <w:pStyle w:val="14"/>
            </w:pPr>
            <w:r>
              <w:t>4</w:t>
            </w:r>
          </w:p>
        </w:tc>
        <w:tc>
          <w:tcPr>
            <w:tcW w:w="1361" w:type="dxa"/>
            <w:vAlign w:val="center"/>
          </w:tcPr>
          <w:p>
            <w:pPr>
              <w:pStyle w:val="14"/>
            </w:pPr>
            <w:r>
              <w:t>5</w:t>
            </w:r>
          </w:p>
        </w:tc>
        <w:tc>
          <w:tcPr>
            <w:tcW w:w="1361" w:type="dxa"/>
            <w:vAlign w:val="center"/>
          </w:tcPr>
          <w:p>
            <w:pPr>
              <w:pStyle w:val="14"/>
            </w:pPr>
            <w:r>
              <w:t>6</w:t>
            </w:r>
          </w:p>
        </w:tc>
        <w:tc>
          <w:tcPr>
            <w:tcW w:w="1361" w:type="dxa"/>
            <w:vAlign w:val="center"/>
          </w:tcPr>
          <w:p>
            <w:pPr>
              <w:pStyle w:val="14"/>
            </w:pPr>
            <w:r>
              <w:t>7</w:t>
            </w:r>
          </w:p>
        </w:tc>
        <w:tc>
          <w:tcPr>
            <w:tcW w:w="1361"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992" w:type="dxa"/>
            <w:vAlign w:val="center"/>
          </w:tcPr>
          <w:p>
            <w:pPr>
              <w:pStyle w:val="20"/>
            </w:pPr>
          </w:p>
        </w:tc>
        <w:tc>
          <w:tcPr>
            <w:tcW w:w="4535" w:type="dxa"/>
            <w:vAlign w:val="center"/>
          </w:tcPr>
          <w:p>
            <w:pPr>
              <w:pStyle w:val="18"/>
            </w:pPr>
            <w:r>
              <w:t>合计</w:t>
            </w:r>
          </w:p>
        </w:tc>
        <w:tc>
          <w:tcPr>
            <w:tcW w:w="1361" w:type="dxa"/>
            <w:vAlign w:val="center"/>
          </w:tcPr>
          <w:p>
            <w:pPr>
              <w:pStyle w:val="19"/>
            </w:pPr>
            <w:r>
              <w:t>545.16</w:t>
            </w:r>
          </w:p>
        </w:tc>
        <w:tc>
          <w:tcPr>
            <w:tcW w:w="1361" w:type="dxa"/>
            <w:vAlign w:val="center"/>
          </w:tcPr>
          <w:p>
            <w:pPr>
              <w:pStyle w:val="19"/>
            </w:pPr>
            <w:r>
              <w:t>408.16</w:t>
            </w:r>
          </w:p>
        </w:tc>
        <w:tc>
          <w:tcPr>
            <w:tcW w:w="1361" w:type="dxa"/>
            <w:vAlign w:val="center"/>
          </w:tcPr>
          <w:p>
            <w:pPr>
              <w:pStyle w:val="19"/>
            </w:pPr>
            <w:r>
              <w:t>137.00</w:t>
            </w:r>
          </w:p>
        </w:tc>
        <w:tc>
          <w:tcPr>
            <w:tcW w:w="1361" w:type="dxa"/>
            <w:vAlign w:val="center"/>
          </w:tcPr>
          <w:p>
            <w:pPr>
              <w:pStyle w:val="19"/>
            </w:pPr>
          </w:p>
        </w:tc>
        <w:tc>
          <w:tcPr>
            <w:tcW w:w="1361" w:type="dxa"/>
            <w:vAlign w:val="center"/>
          </w:tcPr>
          <w:p>
            <w:pPr>
              <w:pStyle w:val="19"/>
            </w:pPr>
          </w:p>
        </w:tc>
        <w:tc>
          <w:tcPr>
            <w:tcW w:w="1361"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992" w:type="dxa"/>
            <w:vAlign w:val="center"/>
          </w:tcPr>
          <w:p>
            <w:pPr>
              <w:pStyle w:val="16"/>
            </w:pPr>
            <w:r>
              <w:t>201</w:t>
            </w:r>
          </w:p>
        </w:tc>
        <w:tc>
          <w:tcPr>
            <w:tcW w:w="4535" w:type="dxa"/>
            <w:vAlign w:val="center"/>
          </w:tcPr>
          <w:p>
            <w:pPr>
              <w:pStyle w:val="16"/>
            </w:pPr>
            <w:r>
              <w:t>一般公共服务支出</w:t>
            </w:r>
          </w:p>
        </w:tc>
        <w:tc>
          <w:tcPr>
            <w:tcW w:w="1361" w:type="dxa"/>
            <w:vAlign w:val="center"/>
          </w:tcPr>
          <w:p>
            <w:pPr>
              <w:pStyle w:val="15"/>
            </w:pPr>
            <w:r>
              <w:t>545.16</w:t>
            </w:r>
          </w:p>
        </w:tc>
        <w:tc>
          <w:tcPr>
            <w:tcW w:w="1361" w:type="dxa"/>
            <w:vAlign w:val="center"/>
          </w:tcPr>
          <w:p>
            <w:pPr>
              <w:pStyle w:val="15"/>
            </w:pPr>
            <w:r>
              <w:t>408.16</w:t>
            </w:r>
          </w:p>
        </w:tc>
        <w:tc>
          <w:tcPr>
            <w:tcW w:w="1361" w:type="dxa"/>
            <w:vAlign w:val="center"/>
          </w:tcPr>
          <w:p>
            <w:pPr>
              <w:pStyle w:val="15"/>
            </w:pPr>
            <w:r>
              <w:t>137.00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992" w:type="dxa"/>
            <w:vAlign w:val="center"/>
          </w:tcPr>
          <w:p>
            <w:pPr>
              <w:pStyle w:val="16"/>
            </w:pPr>
            <w:r>
              <w:t>20102</w:t>
            </w:r>
          </w:p>
        </w:tc>
        <w:tc>
          <w:tcPr>
            <w:tcW w:w="4535" w:type="dxa"/>
            <w:vAlign w:val="center"/>
          </w:tcPr>
          <w:p>
            <w:pPr>
              <w:pStyle w:val="16"/>
            </w:pPr>
            <w:r>
              <w:t>政协事务</w:t>
            </w:r>
          </w:p>
        </w:tc>
        <w:tc>
          <w:tcPr>
            <w:tcW w:w="1361" w:type="dxa"/>
            <w:vAlign w:val="center"/>
          </w:tcPr>
          <w:p>
            <w:pPr>
              <w:pStyle w:val="15"/>
            </w:pPr>
            <w:r>
              <w:t>545.16</w:t>
            </w:r>
          </w:p>
        </w:tc>
        <w:tc>
          <w:tcPr>
            <w:tcW w:w="1361" w:type="dxa"/>
            <w:vAlign w:val="center"/>
          </w:tcPr>
          <w:p>
            <w:pPr>
              <w:pStyle w:val="15"/>
            </w:pPr>
            <w:r>
              <w:t>408.16</w:t>
            </w:r>
          </w:p>
        </w:tc>
        <w:tc>
          <w:tcPr>
            <w:tcW w:w="1361" w:type="dxa"/>
            <w:vAlign w:val="center"/>
          </w:tcPr>
          <w:p>
            <w:pPr>
              <w:pStyle w:val="15"/>
            </w:pPr>
            <w:r>
              <w:t>137.00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992" w:type="dxa"/>
            <w:vAlign w:val="center"/>
          </w:tcPr>
          <w:p>
            <w:pPr>
              <w:pStyle w:val="16"/>
            </w:pPr>
            <w:r>
              <w:t>2010201</w:t>
            </w:r>
          </w:p>
        </w:tc>
        <w:tc>
          <w:tcPr>
            <w:tcW w:w="4535" w:type="dxa"/>
            <w:vAlign w:val="center"/>
          </w:tcPr>
          <w:p>
            <w:pPr>
              <w:pStyle w:val="16"/>
            </w:pPr>
            <w:r>
              <w:t>行政运行</w:t>
            </w:r>
          </w:p>
        </w:tc>
        <w:tc>
          <w:tcPr>
            <w:tcW w:w="1361" w:type="dxa"/>
            <w:vAlign w:val="center"/>
          </w:tcPr>
          <w:p>
            <w:pPr>
              <w:pStyle w:val="15"/>
            </w:pPr>
            <w:r>
              <w:t>408.16</w:t>
            </w:r>
          </w:p>
        </w:tc>
        <w:tc>
          <w:tcPr>
            <w:tcW w:w="1361" w:type="dxa"/>
            <w:vAlign w:val="center"/>
          </w:tcPr>
          <w:p>
            <w:pPr>
              <w:pStyle w:val="15"/>
            </w:pPr>
            <w:r>
              <w:t>408.16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992" w:type="dxa"/>
            <w:vAlign w:val="center"/>
          </w:tcPr>
          <w:p>
            <w:pPr>
              <w:pStyle w:val="16"/>
            </w:pPr>
            <w:r>
              <w:t>2010202</w:t>
            </w:r>
          </w:p>
        </w:tc>
        <w:tc>
          <w:tcPr>
            <w:tcW w:w="4535" w:type="dxa"/>
            <w:vAlign w:val="center"/>
          </w:tcPr>
          <w:p>
            <w:pPr>
              <w:pStyle w:val="16"/>
            </w:pPr>
            <w:r>
              <w:t>一般行政管理事务</w:t>
            </w:r>
          </w:p>
        </w:tc>
        <w:tc>
          <w:tcPr>
            <w:tcW w:w="1361" w:type="dxa"/>
            <w:vAlign w:val="center"/>
          </w:tcPr>
          <w:p>
            <w:pPr>
              <w:pStyle w:val="15"/>
            </w:pPr>
            <w:r>
              <w:t>65.00</w:t>
            </w:r>
          </w:p>
        </w:tc>
        <w:tc>
          <w:tcPr>
            <w:tcW w:w="1361" w:type="dxa"/>
            <w:vAlign w:val="center"/>
          </w:tcPr>
          <w:p>
            <w:pPr>
              <w:pStyle w:val="15"/>
            </w:pPr>
          </w:p>
        </w:tc>
        <w:tc>
          <w:tcPr>
            <w:tcW w:w="1361" w:type="dxa"/>
            <w:vAlign w:val="center"/>
          </w:tcPr>
          <w:p>
            <w:pPr>
              <w:pStyle w:val="15"/>
            </w:pPr>
            <w:r>
              <w:t>65.00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992" w:type="dxa"/>
            <w:vAlign w:val="center"/>
          </w:tcPr>
          <w:p>
            <w:pPr>
              <w:pStyle w:val="16"/>
            </w:pPr>
            <w:r>
              <w:t>2010204</w:t>
            </w:r>
          </w:p>
        </w:tc>
        <w:tc>
          <w:tcPr>
            <w:tcW w:w="4535" w:type="dxa"/>
            <w:vAlign w:val="center"/>
          </w:tcPr>
          <w:p>
            <w:pPr>
              <w:pStyle w:val="16"/>
            </w:pPr>
            <w:r>
              <w:t>政协会议</w:t>
            </w: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r>
              <w:t>25.00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992" w:type="dxa"/>
            <w:vAlign w:val="center"/>
          </w:tcPr>
          <w:p>
            <w:pPr>
              <w:pStyle w:val="16"/>
            </w:pPr>
            <w:r>
              <w:t>2010205</w:t>
            </w:r>
          </w:p>
        </w:tc>
        <w:tc>
          <w:tcPr>
            <w:tcW w:w="4535" w:type="dxa"/>
            <w:vAlign w:val="center"/>
          </w:tcPr>
          <w:p>
            <w:pPr>
              <w:pStyle w:val="16"/>
            </w:pPr>
            <w:r>
              <w:t>委员视察</w:t>
            </w:r>
          </w:p>
        </w:tc>
        <w:tc>
          <w:tcPr>
            <w:tcW w:w="1361" w:type="dxa"/>
            <w:vAlign w:val="center"/>
          </w:tcPr>
          <w:p>
            <w:pPr>
              <w:pStyle w:val="15"/>
            </w:pPr>
            <w:r>
              <w:t>19.00</w:t>
            </w:r>
          </w:p>
        </w:tc>
        <w:tc>
          <w:tcPr>
            <w:tcW w:w="1361" w:type="dxa"/>
            <w:vAlign w:val="center"/>
          </w:tcPr>
          <w:p>
            <w:pPr>
              <w:pStyle w:val="15"/>
            </w:pPr>
          </w:p>
        </w:tc>
        <w:tc>
          <w:tcPr>
            <w:tcW w:w="1361" w:type="dxa"/>
            <w:vAlign w:val="center"/>
          </w:tcPr>
          <w:p>
            <w:pPr>
              <w:pStyle w:val="15"/>
            </w:pPr>
            <w:r>
              <w:t>19.00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992" w:type="dxa"/>
            <w:vAlign w:val="center"/>
          </w:tcPr>
          <w:p>
            <w:pPr>
              <w:pStyle w:val="16"/>
            </w:pPr>
            <w:r>
              <w:t>2010299</w:t>
            </w:r>
          </w:p>
        </w:tc>
        <w:tc>
          <w:tcPr>
            <w:tcW w:w="4535" w:type="dxa"/>
            <w:vAlign w:val="center"/>
          </w:tcPr>
          <w:p>
            <w:pPr>
              <w:pStyle w:val="16"/>
            </w:pPr>
            <w:r>
              <w:t>其他政协事务支出</w:t>
            </w:r>
          </w:p>
        </w:tc>
        <w:tc>
          <w:tcPr>
            <w:tcW w:w="1361" w:type="dxa"/>
            <w:vAlign w:val="center"/>
          </w:tcPr>
          <w:p>
            <w:pPr>
              <w:pStyle w:val="15"/>
            </w:pPr>
            <w:r>
              <w:t>28.00</w:t>
            </w:r>
          </w:p>
        </w:tc>
        <w:tc>
          <w:tcPr>
            <w:tcW w:w="1361" w:type="dxa"/>
            <w:vAlign w:val="center"/>
          </w:tcPr>
          <w:p>
            <w:pPr>
              <w:pStyle w:val="15"/>
            </w:pPr>
          </w:p>
        </w:tc>
        <w:tc>
          <w:tcPr>
            <w:tcW w:w="1361" w:type="dxa"/>
            <w:vAlign w:val="center"/>
          </w:tcPr>
          <w:p>
            <w:pPr>
              <w:pStyle w:val="15"/>
            </w:pPr>
            <w:r>
              <w:t>28.00</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131中国人民政治协商会议河北省平乡县委员会</w:t>
            </w:r>
          </w:p>
        </w:tc>
        <w:tc>
          <w:tcPr>
            <w:tcW w:w="3402" w:type="dxa"/>
            <w:tcBorders>
              <w:top w:val="single" w:color="FFFFFF" w:sz="6" w:space="0"/>
              <w:left w:val="single" w:color="FFFFFF" w:sz="6" w:space="0"/>
              <w:right w:val="single" w:color="FFFFFF" w:sz="6" w:space="0"/>
            </w:tcBorders>
            <w:vAlign w:val="center"/>
          </w:tcPr>
          <w:p>
            <w:pPr>
              <w:pStyle w:val="12"/>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4876" w:type="dxa"/>
            <w:gridSpan w:val="2"/>
            <w:vAlign w:val="center"/>
          </w:tcPr>
          <w:p>
            <w:pPr>
              <w:pStyle w:val="14"/>
            </w:pPr>
            <w:r>
              <w:t>收入</w:t>
            </w:r>
          </w:p>
        </w:tc>
        <w:tc>
          <w:tcPr>
            <w:tcW w:w="9298"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4"/>
            </w:pPr>
            <w:r>
              <w:t>项  目</w:t>
            </w:r>
          </w:p>
        </w:tc>
        <w:tc>
          <w:tcPr>
            <w:tcW w:w="1474" w:type="dxa"/>
            <w:vAlign w:val="center"/>
          </w:tcPr>
          <w:p>
            <w:pPr>
              <w:pStyle w:val="14"/>
            </w:pPr>
            <w:r>
              <w:t>金额</w:t>
            </w:r>
          </w:p>
        </w:tc>
        <w:tc>
          <w:tcPr>
            <w:tcW w:w="3402" w:type="dxa"/>
            <w:vAlign w:val="center"/>
          </w:tcPr>
          <w:p>
            <w:pPr>
              <w:pStyle w:val="14"/>
            </w:pPr>
            <w:r>
              <w:t>项  目</w:t>
            </w:r>
          </w:p>
        </w:tc>
        <w:tc>
          <w:tcPr>
            <w:tcW w:w="1474" w:type="dxa"/>
            <w:vAlign w:val="center"/>
          </w:tcPr>
          <w:p>
            <w:pPr>
              <w:pStyle w:val="14"/>
            </w:pPr>
            <w:r>
              <w:t>合计</w:t>
            </w:r>
          </w:p>
        </w:tc>
        <w:tc>
          <w:tcPr>
            <w:tcW w:w="1474" w:type="dxa"/>
            <w:vAlign w:val="center"/>
          </w:tcPr>
          <w:p>
            <w:pPr>
              <w:pStyle w:val="14"/>
            </w:pPr>
            <w:r>
              <w:t>一般公共预算财政拨款</w:t>
            </w:r>
          </w:p>
        </w:tc>
        <w:tc>
          <w:tcPr>
            <w:tcW w:w="1474" w:type="dxa"/>
            <w:vAlign w:val="center"/>
          </w:tcPr>
          <w:p>
            <w:pPr>
              <w:pStyle w:val="14"/>
            </w:pPr>
            <w:r>
              <w:t>政府性基金预算财政    拨款</w:t>
            </w:r>
          </w:p>
        </w:tc>
        <w:tc>
          <w:tcPr>
            <w:tcW w:w="147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3402" w:type="dxa"/>
            <w:vAlign w:val="center"/>
          </w:tcPr>
          <w:p>
            <w:pPr>
              <w:pStyle w:val="14"/>
            </w:pPr>
            <w:r>
              <w:t>1</w:t>
            </w:r>
          </w:p>
        </w:tc>
        <w:tc>
          <w:tcPr>
            <w:tcW w:w="1474" w:type="dxa"/>
            <w:vAlign w:val="center"/>
          </w:tcPr>
          <w:p>
            <w:pPr>
              <w:pStyle w:val="14"/>
            </w:pPr>
            <w:r>
              <w:t>2</w:t>
            </w:r>
          </w:p>
        </w:tc>
        <w:tc>
          <w:tcPr>
            <w:tcW w:w="3402" w:type="dxa"/>
            <w:vAlign w:val="center"/>
          </w:tcPr>
          <w:p>
            <w:pPr>
              <w:pStyle w:val="14"/>
            </w:pPr>
            <w:r>
              <w:t>3</w:t>
            </w:r>
          </w:p>
        </w:tc>
        <w:tc>
          <w:tcPr>
            <w:tcW w:w="1474" w:type="dxa"/>
            <w:vAlign w:val="center"/>
          </w:tcPr>
          <w:p>
            <w:pPr>
              <w:pStyle w:val="14"/>
            </w:pPr>
            <w:r>
              <w:t>4</w:t>
            </w:r>
          </w:p>
        </w:tc>
        <w:tc>
          <w:tcPr>
            <w:tcW w:w="1474" w:type="dxa"/>
            <w:vAlign w:val="center"/>
          </w:tcPr>
          <w:p>
            <w:pPr>
              <w:pStyle w:val="14"/>
            </w:pPr>
            <w:r>
              <w:t>5</w:t>
            </w:r>
          </w:p>
        </w:tc>
        <w:tc>
          <w:tcPr>
            <w:tcW w:w="1474" w:type="dxa"/>
            <w:vAlign w:val="center"/>
          </w:tcPr>
          <w:p>
            <w:pPr>
              <w:pStyle w:val="14"/>
            </w:pPr>
            <w:r>
              <w:t>6</w:t>
            </w:r>
          </w:p>
        </w:tc>
        <w:tc>
          <w:tcPr>
            <w:tcW w:w="147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3402" w:type="dxa"/>
            <w:vAlign w:val="center"/>
          </w:tcPr>
          <w:p>
            <w:pPr>
              <w:pStyle w:val="16"/>
            </w:pPr>
            <w:r>
              <w:t>一、一般公共预算拨款</w:t>
            </w:r>
          </w:p>
        </w:tc>
        <w:tc>
          <w:tcPr>
            <w:tcW w:w="1474" w:type="dxa"/>
            <w:vAlign w:val="center"/>
          </w:tcPr>
          <w:p>
            <w:pPr>
              <w:pStyle w:val="15"/>
            </w:pPr>
            <w:r>
              <w:t>545.16</w:t>
            </w:r>
          </w:p>
        </w:tc>
        <w:tc>
          <w:tcPr>
            <w:tcW w:w="3402" w:type="dxa"/>
            <w:vAlign w:val="center"/>
          </w:tcPr>
          <w:p>
            <w:pPr>
              <w:pStyle w:val="16"/>
            </w:pPr>
            <w:r>
              <w:t>一、一般公共服务支出</w:t>
            </w:r>
          </w:p>
        </w:tc>
        <w:tc>
          <w:tcPr>
            <w:tcW w:w="1474" w:type="dxa"/>
            <w:vAlign w:val="center"/>
          </w:tcPr>
          <w:p>
            <w:pPr>
              <w:pStyle w:val="15"/>
            </w:pPr>
            <w:r>
              <w:t>545.16</w:t>
            </w:r>
          </w:p>
        </w:tc>
        <w:tc>
          <w:tcPr>
            <w:tcW w:w="1474" w:type="dxa"/>
            <w:vAlign w:val="center"/>
          </w:tcPr>
          <w:p>
            <w:pPr>
              <w:pStyle w:val="15"/>
            </w:pPr>
            <w:r>
              <w:t>545.16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r>
              <w:t>二、外交支出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r>
              <w:t>三、国防支出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四、公共安全支出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五、教育支出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六、科学技术支出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七、文化旅游体育与传媒支出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八、社会保障和就业支出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九、社会保险基金支出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十、卫生健康支出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十一、节能环保支出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十二、城乡社区支出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十三、农林水支出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十四、交通运输支出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十五、资源勘探工业信息等支出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十六、商业服务业等支出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十七、金融支出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十八、援助其他地区支出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十九、自然资源海洋气象等支出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二十、住房保障支出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二十一、粮油物资储备支出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22</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二十二、国有资本经营预算支出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23</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二十三、灾害防治及应急管理支出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24</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二十四、预备费</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25</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二十五、其他支出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26</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二十六、转移性支出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27</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二十七、债务还本支出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28</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二十八、债务付息支出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29</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二十九、债务发行费用支出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30</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三十、抗疫特别国债安排的支出</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31</w:t>
            </w:r>
          </w:p>
        </w:tc>
        <w:tc>
          <w:tcPr>
            <w:tcW w:w="3402" w:type="dxa"/>
            <w:vAlign w:val="center"/>
          </w:tcPr>
          <w:p>
            <w:pPr>
              <w:pStyle w:val="16"/>
            </w:pPr>
          </w:p>
        </w:tc>
        <w:tc>
          <w:tcPr>
            <w:tcW w:w="1474" w:type="dxa"/>
            <w:vAlign w:val="center"/>
          </w:tcPr>
          <w:p>
            <w:pPr>
              <w:pStyle w:val="15"/>
            </w:pPr>
          </w:p>
        </w:tc>
        <w:tc>
          <w:tcPr>
            <w:tcW w:w="3402" w:type="dxa"/>
            <w:vAlign w:val="center"/>
          </w:tcPr>
          <w:p>
            <w:pPr>
              <w:pStyle w:val="16"/>
            </w:pPr>
            <w:r>
              <w:t>三十一、人行科目</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32</w:t>
            </w:r>
          </w:p>
        </w:tc>
        <w:tc>
          <w:tcPr>
            <w:tcW w:w="3402" w:type="dxa"/>
            <w:vAlign w:val="center"/>
          </w:tcPr>
          <w:p>
            <w:pPr>
              <w:pStyle w:val="18"/>
            </w:pPr>
            <w:r>
              <w:t>本年收入合计</w:t>
            </w:r>
          </w:p>
        </w:tc>
        <w:tc>
          <w:tcPr>
            <w:tcW w:w="1474" w:type="dxa"/>
            <w:vAlign w:val="center"/>
          </w:tcPr>
          <w:p>
            <w:pPr>
              <w:pStyle w:val="19"/>
            </w:pPr>
            <w:r>
              <w:t>545.16</w:t>
            </w:r>
          </w:p>
        </w:tc>
        <w:tc>
          <w:tcPr>
            <w:tcW w:w="3402" w:type="dxa"/>
            <w:vAlign w:val="center"/>
          </w:tcPr>
          <w:p>
            <w:pPr>
              <w:pStyle w:val="18"/>
            </w:pPr>
            <w:r>
              <w:t>本年支出合计</w:t>
            </w:r>
          </w:p>
        </w:tc>
        <w:tc>
          <w:tcPr>
            <w:tcW w:w="1474" w:type="dxa"/>
            <w:vAlign w:val="center"/>
          </w:tcPr>
          <w:p>
            <w:pPr>
              <w:pStyle w:val="19"/>
            </w:pPr>
            <w:r>
              <w:t>545.16</w:t>
            </w:r>
          </w:p>
        </w:tc>
        <w:tc>
          <w:tcPr>
            <w:tcW w:w="1474" w:type="dxa"/>
            <w:vAlign w:val="center"/>
          </w:tcPr>
          <w:p>
            <w:pPr>
              <w:pStyle w:val="19"/>
            </w:pPr>
            <w:r>
              <w:t>545.16</w:t>
            </w:r>
          </w:p>
        </w:tc>
        <w:tc>
          <w:tcPr>
            <w:tcW w:w="1474" w:type="dxa"/>
            <w:vAlign w:val="center"/>
          </w:tcPr>
          <w:p>
            <w:pPr>
              <w:pStyle w:val="19"/>
            </w:pPr>
          </w:p>
        </w:tc>
        <w:tc>
          <w:tcPr>
            <w:tcW w:w="147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33</w:t>
            </w:r>
          </w:p>
        </w:tc>
        <w:tc>
          <w:tcPr>
            <w:tcW w:w="3402" w:type="dxa"/>
            <w:vAlign w:val="center"/>
          </w:tcPr>
          <w:p>
            <w:pPr>
              <w:pStyle w:val="16"/>
            </w:pPr>
            <w:r>
              <w:t>年初财政拨款结转和结余</w:t>
            </w:r>
          </w:p>
        </w:tc>
        <w:tc>
          <w:tcPr>
            <w:tcW w:w="1474" w:type="dxa"/>
            <w:vAlign w:val="center"/>
          </w:tcPr>
          <w:p>
            <w:pPr>
              <w:pStyle w:val="15"/>
            </w:pPr>
          </w:p>
        </w:tc>
        <w:tc>
          <w:tcPr>
            <w:tcW w:w="3402" w:type="dxa"/>
            <w:vAlign w:val="center"/>
          </w:tcPr>
          <w:p>
            <w:pPr>
              <w:pStyle w:val="16"/>
            </w:pPr>
            <w:r>
              <w:t>年末财政拨款结转和结余</w:t>
            </w: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34</w:t>
            </w:r>
          </w:p>
        </w:tc>
        <w:tc>
          <w:tcPr>
            <w:tcW w:w="3402" w:type="dxa"/>
            <w:vAlign w:val="center"/>
          </w:tcPr>
          <w:p>
            <w:pPr>
              <w:pStyle w:val="16"/>
            </w:pPr>
            <w:r>
              <w:t>一、一般公共预算拨款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35</w:t>
            </w:r>
          </w:p>
        </w:tc>
        <w:tc>
          <w:tcPr>
            <w:tcW w:w="3402" w:type="dxa"/>
            <w:vAlign w:val="center"/>
          </w:tcPr>
          <w:p>
            <w:pPr>
              <w:pStyle w:val="16"/>
            </w:pPr>
            <w:r>
              <w:t>二、政府性基金预算拨款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36</w:t>
            </w:r>
          </w:p>
        </w:tc>
        <w:tc>
          <w:tcPr>
            <w:tcW w:w="3402" w:type="dxa"/>
            <w:vAlign w:val="center"/>
          </w:tcPr>
          <w:p>
            <w:pPr>
              <w:pStyle w:val="16"/>
            </w:pPr>
            <w:r>
              <w:t>三、国有资本经营预算拨款</w:t>
            </w:r>
          </w:p>
        </w:tc>
        <w:tc>
          <w:tcPr>
            <w:tcW w:w="1474" w:type="dxa"/>
            <w:vAlign w:val="center"/>
          </w:tcPr>
          <w:p>
            <w:pPr>
              <w:pStyle w:val="15"/>
            </w:pPr>
          </w:p>
        </w:tc>
        <w:tc>
          <w:tcPr>
            <w:tcW w:w="3402" w:type="dxa"/>
            <w:vAlign w:val="center"/>
          </w:tcPr>
          <w:p>
            <w:pPr>
              <w:pStyle w:val="16"/>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37</w:t>
            </w:r>
          </w:p>
        </w:tc>
        <w:tc>
          <w:tcPr>
            <w:tcW w:w="3402" w:type="dxa"/>
            <w:vAlign w:val="center"/>
          </w:tcPr>
          <w:p>
            <w:pPr>
              <w:pStyle w:val="18"/>
            </w:pPr>
            <w:r>
              <w:t>收入总计</w:t>
            </w:r>
          </w:p>
        </w:tc>
        <w:tc>
          <w:tcPr>
            <w:tcW w:w="1474" w:type="dxa"/>
            <w:vAlign w:val="center"/>
          </w:tcPr>
          <w:p>
            <w:pPr>
              <w:pStyle w:val="19"/>
            </w:pPr>
            <w:r>
              <w:t>545.16</w:t>
            </w:r>
          </w:p>
        </w:tc>
        <w:tc>
          <w:tcPr>
            <w:tcW w:w="3402" w:type="dxa"/>
            <w:vAlign w:val="center"/>
          </w:tcPr>
          <w:p>
            <w:pPr>
              <w:pStyle w:val="18"/>
            </w:pPr>
            <w:r>
              <w:t>支出总计</w:t>
            </w:r>
          </w:p>
        </w:tc>
        <w:tc>
          <w:tcPr>
            <w:tcW w:w="1474" w:type="dxa"/>
            <w:vAlign w:val="center"/>
          </w:tcPr>
          <w:p>
            <w:pPr>
              <w:pStyle w:val="19"/>
            </w:pPr>
            <w:r>
              <w:t>545.16</w:t>
            </w:r>
          </w:p>
        </w:tc>
        <w:tc>
          <w:tcPr>
            <w:tcW w:w="1474" w:type="dxa"/>
            <w:vAlign w:val="center"/>
          </w:tcPr>
          <w:p>
            <w:pPr>
              <w:pStyle w:val="19"/>
            </w:pPr>
            <w:r>
              <w:t>545.16</w:t>
            </w:r>
          </w:p>
        </w:tc>
        <w:tc>
          <w:tcPr>
            <w:tcW w:w="1474" w:type="dxa"/>
            <w:vAlign w:val="center"/>
          </w:tcPr>
          <w:p>
            <w:pPr>
              <w:pStyle w:val="19"/>
            </w:pPr>
          </w:p>
        </w:tc>
        <w:tc>
          <w:tcPr>
            <w:tcW w:w="1474" w:type="dxa"/>
            <w:vAlign w:val="center"/>
          </w:tcPr>
          <w:p>
            <w:pPr>
              <w:pStyle w:val="19"/>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131中国人民政治协商会议河北省平乡县委员会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545.16</w:t>
            </w:r>
          </w:p>
        </w:tc>
        <w:tc>
          <w:tcPr>
            <w:tcW w:w="2551" w:type="dxa"/>
            <w:vAlign w:val="center"/>
          </w:tcPr>
          <w:p>
            <w:pPr>
              <w:pStyle w:val="19"/>
            </w:pPr>
            <w:r>
              <w:t>408.16</w:t>
            </w:r>
          </w:p>
        </w:tc>
        <w:tc>
          <w:tcPr>
            <w:tcW w:w="2551" w:type="dxa"/>
            <w:vAlign w:val="center"/>
          </w:tcPr>
          <w:p>
            <w:pPr>
              <w:pStyle w:val="19"/>
            </w:pPr>
            <w:r>
              <w:t>137.00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201</w:t>
            </w:r>
          </w:p>
        </w:tc>
        <w:tc>
          <w:tcPr>
            <w:tcW w:w="4535" w:type="dxa"/>
            <w:vAlign w:val="center"/>
          </w:tcPr>
          <w:p>
            <w:pPr>
              <w:pStyle w:val="16"/>
            </w:pPr>
            <w:r>
              <w:t>一般公共服务支出</w:t>
            </w:r>
          </w:p>
        </w:tc>
        <w:tc>
          <w:tcPr>
            <w:tcW w:w="2551" w:type="dxa"/>
            <w:vAlign w:val="center"/>
          </w:tcPr>
          <w:p>
            <w:pPr>
              <w:pStyle w:val="15"/>
            </w:pPr>
            <w:r>
              <w:t>545.16</w:t>
            </w:r>
          </w:p>
        </w:tc>
        <w:tc>
          <w:tcPr>
            <w:tcW w:w="2551" w:type="dxa"/>
            <w:vAlign w:val="center"/>
          </w:tcPr>
          <w:p>
            <w:pPr>
              <w:pStyle w:val="15"/>
            </w:pPr>
            <w:r>
              <w:t>408.16</w:t>
            </w:r>
          </w:p>
        </w:tc>
        <w:tc>
          <w:tcPr>
            <w:tcW w:w="2551" w:type="dxa"/>
            <w:vAlign w:val="center"/>
          </w:tcPr>
          <w:p>
            <w:pPr>
              <w:pStyle w:val="15"/>
            </w:pPr>
            <w:r>
              <w:t>137.00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20102</w:t>
            </w:r>
          </w:p>
        </w:tc>
        <w:tc>
          <w:tcPr>
            <w:tcW w:w="4535" w:type="dxa"/>
            <w:vAlign w:val="center"/>
          </w:tcPr>
          <w:p>
            <w:pPr>
              <w:pStyle w:val="16"/>
            </w:pPr>
            <w:r>
              <w:t>政协事务</w:t>
            </w:r>
          </w:p>
        </w:tc>
        <w:tc>
          <w:tcPr>
            <w:tcW w:w="2551" w:type="dxa"/>
            <w:vAlign w:val="center"/>
          </w:tcPr>
          <w:p>
            <w:pPr>
              <w:pStyle w:val="15"/>
            </w:pPr>
            <w:r>
              <w:t>545.16</w:t>
            </w:r>
          </w:p>
        </w:tc>
        <w:tc>
          <w:tcPr>
            <w:tcW w:w="2551" w:type="dxa"/>
            <w:vAlign w:val="center"/>
          </w:tcPr>
          <w:p>
            <w:pPr>
              <w:pStyle w:val="15"/>
            </w:pPr>
            <w:r>
              <w:t>408.16</w:t>
            </w:r>
          </w:p>
        </w:tc>
        <w:tc>
          <w:tcPr>
            <w:tcW w:w="2551" w:type="dxa"/>
            <w:vAlign w:val="center"/>
          </w:tcPr>
          <w:p>
            <w:pPr>
              <w:pStyle w:val="15"/>
            </w:pPr>
            <w:r>
              <w:t>137.00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2010201</w:t>
            </w:r>
          </w:p>
        </w:tc>
        <w:tc>
          <w:tcPr>
            <w:tcW w:w="4535" w:type="dxa"/>
            <w:vAlign w:val="center"/>
          </w:tcPr>
          <w:p>
            <w:pPr>
              <w:pStyle w:val="16"/>
            </w:pPr>
            <w:r>
              <w:t>行政运行</w:t>
            </w:r>
          </w:p>
        </w:tc>
        <w:tc>
          <w:tcPr>
            <w:tcW w:w="2551" w:type="dxa"/>
            <w:vAlign w:val="center"/>
          </w:tcPr>
          <w:p>
            <w:pPr>
              <w:pStyle w:val="15"/>
            </w:pPr>
            <w:r>
              <w:t>408.16</w:t>
            </w:r>
          </w:p>
        </w:tc>
        <w:tc>
          <w:tcPr>
            <w:tcW w:w="2551" w:type="dxa"/>
            <w:vAlign w:val="center"/>
          </w:tcPr>
          <w:p>
            <w:pPr>
              <w:pStyle w:val="15"/>
            </w:pPr>
            <w:r>
              <w:t>408.16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2010202</w:t>
            </w:r>
          </w:p>
        </w:tc>
        <w:tc>
          <w:tcPr>
            <w:tcW w:w="4535" w:type="dxa"/>
            <w:vAlign w:val="center"/>
          </w:tcPr>
          <w:p>
            <w:pPr>
              <w:pStyle w:val="16"/>
            </w:pPr>
            <w:r>
              <w:t>一般行政管理事务</w:t>
            </w:r>
          </w:p>
        </w:tc>
        <w:tc>
          <w:tcPr>
            <w:tcW w:w="2551" w:type="dxa"/>
            <w:vAlign w:val="center"/>
          </w:tcPr>
          <w:p>
            <w:pPr>
              <w:pStyle w:val="15"/>
            </w:pPr>
            <w:r>
              <w:t>65.00</w:t>
            </w:r>
          </w:p>
        </w:tc>
        <w:tc>
          <w:tcPr>
            <w:tcW w:w="2551" w:type="dxa"/>
            <w:vAlign w:val="center"/>
          </w:tcPr>
          <w:p>
            <w:pPr>
              <w:pStyle w:val="15"/>
            </w:pPr>
          </w:p>
        </w:tc>
        <w:tc>
          <w:tcPr>
            <w:tcW w:w="2551" w:type="dxa"/>
            <w:vAlign w:val="center"/>
          </w:tcPr>
          <w:p>
            <w:pPr>
              <w:pStyle w:val="15"/>
            </w:pPr>
            <w:r>
              <w:t>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2010204</w:t>
            </w:r>
          </w:p>
        </w:tc>
        <w:tc>
          <w:tcPr>
            <w:tcW w:w="4535" w:type="dxa"/>
            <w:vAlign w:val="center"/>
          </w:tcPr>
          <w:p>
            <w:pPr>
              <w:pStyle w:val="16"/>
            </w:pPr>
            <w:r>
              <w:t>政协会议</w:t>
            </w:r>
          </w:p>
        </w:tc>
        <w:tc>
          <w:tcPr>
            <w:tcW w:w="2551" w:type="dxa"/>
            <w:vAlign w:val="center"/>
          </w:tcPr>
          <w:p>
            <w:pPr>
              <w:pStyle w:val="15"/>
            </w:pPr>
            <w:r>
              <w:t>25.00</w:t>
            </w:r>
          </w:p>
        </w:tc>
        <w:tc>
          <w:tcPr>
            <w:tcW w:w="2551" w:type="dxa"/>
            <w:vAlign w:val="center"/>
          </w:tcPr>
          <w:p>
            <w:pPr>
              <w:pStyle w:val="15"/>
            </w:pPr>
          </w:p>
        </w:tc>
        <w:tc>
          <w:tcPr>
            <w:tcW w:w="2551" w:type="dxa"/>
            <w:vAlign w:val="center"/>
          </w:tcPr>
          <w:p>
            <w:pPr>
              <w:pStyle w:val="15"/>
            </w:pPr>
            <w:r>
              <w:t>25.00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2010205</w:t>
            </w:r>
          </w:p>
        </w:tc>
        <w:tc>
          <w:tcPr>
            <w:tcW w:w="4535" w:type="dxa"/>
            <w:vAlign w:val="center"/>
          </w:tcPr>
          <w:p>
            <w:pPr>
              <w:pStyle w:val="16"/>
            </w:pPr>
            <w:r>
              <w:t>委员视察</w:t>
            </w:r>
          </w:p>
        </w:tc>
        <w:tc>
          <w:tcPr>
            <w:tcW w:w="2551" w:type="dxa"/>
            <w:vAlign w:val="center"/>
          </w:tcPr>
          <w:p>
            <w:pPr>
              <w:pStyle w:val="15"/>
            </w:pPr>
            <w:r>
              <w:t>19.00</w:t>
            </w:r>
          </w:p>
        </w:tc>
        <w:tc>
          <w:tcPr>
            <w:tcW w:w="2551" w:type="dxa"/>
            <w:vAlign w:val="center"/>
          </w:tcPr>
          <w:p>
            <w:pPr>
              <w:pStyle w:val="15"/>
            </w:pPr>
          </w:p>
        </w:tc>
        <w:tc>
          <w:tcPr>
            <w:tcW w:w="2551" w:type="dxa"/>
            <w:vAlign w:val="center"/>
          </w:tcPr>
          <w:p>
            <w:pPr>
              <w:pStyle w:val="15"/>
            </w:pPr>
            <w:r>
              <w:t>19.00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2010299</w:t>
            </w:r>
          </w:p>
        </w:tc>
        <w:tc>
          <w:tcPr>
            <w:tcW w:w="4535" w:type="dxa"/>
            <w:vAlign w:val="center"/>
          </w:tcPr>
          <w:p>
            <w:pPr>
              <w:pStyle w:val="16"/>
            </w:pPr>
            <w:r>
              <w:t>其他政协事务支出</w:t>
            </w:r>
          </w:p>
        </w:tc>
        <w:tc>
          <w:tcPr>
            <w:tcW w:w="2551" w:type="dxa"/>
            <w:vAlign w:val="center"/>
          </w:tcPr>
          <w:p>
            <w:pPr>
              <w:pStyle w:val="15"/>
            </w:pPr>
            <w:r>
              <w:t>28.00</w:t>
            </w:r>
          </w:p>
        </w:tc>
        <w:tc>
          <w:tcPr>
            <w:tcW w:w="2551" w:type="dxa"/>
            <w:vAlign w:val="center"/>
          </w:tcPr>
          <w:p>
            <w:pPr>
              <w:pStyle w:val="15"/>
            </w:pPr>
          </w:p>
        </w:tc>
        <w:tc>
          <w:tcPr>
            <w:tcW w:w="2551" w:type="dxa"/>
            <w:vAlign w:val="center"/>
          </w:tcPr>
          <w:p>
            <w:pPr>
              <w:pStyle w:val="15"/>
            </w:pPr>
            <w:r>
              <w:t>28.00</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131中国人民政治协商会议河北省平乡县委员会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支出部门经济分类科目</w:t>
            </w:r>
          </w:p>
        </w:tc>
        <w:tc>
          <w:tcPr>
            <w:tcW w:w="7654"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Align w:val="center"/>
          </w:tcPr>
          <w:p>
            <w:pPr>
              <w:pStyle w:val="14"/>
            </w:pPr>
            <w:r>
              <w:t>合计</w:t>
            </w:r>
          </w:p>
        </w:tc>
        <w:tc>
          <w:tcPr>
            <w:tcW w:w="2551" w:type="dxa"/>
            <w:vAlign w:val="center"/>
          </w:tcPr>
          <w:p>
            <w:pPr>
              <w:pStyle w:val="14"/>
            </w:pPr>
            <w:r>
              <w:t>人员经费</w:t>
            </w:r>
          </w:p>
        </w:tc>
        <w:tc>
          <w:tcPr>
            <w:tcW w:w="2551"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w:t>
            </w:r>
          </w:p>
        </w:tc>
        <w:tc>
          <w:tcPr>
            <w:tcW w:w="1191" w:type="dxa"/>
            <w:vAlign w:val="center"/>
          </w:tcPr>
          <w:p>
            <w:pPr>
              <w:pStyle w:val="20"/>
            </w:pPr>
          </w:p>
        </w:tc>
        <w:tc>
          <w:tcPr>
            <w:tcW w:w="4535" w:type="dxa"/>
            <w:vAlign w:val="center"/>
          </w:tcPr>
          <w:p>
            <w:pPr>
              <w:pStyle w:val="18"/>
            </w:pPr>
            <w:r>
              <w:t>合计</w:t>
            </w:r>
          </w:p>
        </w:tc>
        <w:tc>
          <w:tcPr>
            <w:tcW w:w="2551" w:type="dxa"/>
            <w:vAlign w:val="center"/>
          </w:tcPr>
          <w:p>
            <w:pPr>
              <w:pStyle w:val="19"/>
            </w:pPr>
            <w:r>
              <w:t>408.16</w:t>
            </w:r>
          </w:p>
        </w:tc>
        <w:tc>
          <w:tcPr>
            <w:tcW w:w="2551" w:type="dxa"/>
            <w:vAlign w:val="center"/>
          </w:tcPr>
          <w:p>
            <w:pPr>
              <w:pStyle w:val="19"/>
            </w:pPr>
            <w:r>
              <w:t>384.16</w:t>
            </w:r>
          </w:p>
        </w:tc>
        <w:tc>
          <w:tcPr>
            <w:tcW w:w="2551" w:type="dxa"/>
            <w:vAlign w:val="center"/>
          </w:tcPr>
          <w:p>
            <w:pPr>
              <w:pStyle w:val="19"/>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w:t>
            </w:r>
          </w:p>
        </w:tc>
        <w:tc>
          <w:tcPr>
            <w:tcW w:w="1191" w:type="dxa"/>
            <w:vAlign w:val="center"/>
          </w:tcPr>
          <w:p>
            <w:pPr>
              <w:pStyle w:val="16"/>
            </w:pPr>
            <w:r>
              <w:t>301</w:t>
            </w:r>
          </w:p>
        </w:tc>
        <w:tc>
          <w:tcPr>
            <w:tcW w:w="4535" w:type="dxa"/>
            <w:vAlign w:val="center"/>
          </w:tcPr>
          <w:p>
            <w:pPr>
              <w:pStyle w:val="16"/>
            </w:pPr>
            <w:r>
              <w:t>工资福利支出</w:t>
            </w:r>
          </w:p>
        </w:tc>
        <w:tc>
          <w:tcPr>
            <w:tcW w:w="2551" w:type="dxa"/>
            <w:vAlign w:val="center"/>
          </w:tcPr>
          <w:p>
            <w:pPr>
              <w:pStyle w:val="15"/>
            </w:pPr>
            <w:r>
              <w:t>362.36</w:t>
            </w:r>
          </w:p>
        </w:tc>
        <w:tc>
          <w:tcPr>
            <w:tcW w:w="2551" w:type="dxa"/>
            <w:vAlign w:val="center"/>
          </w:tcPr>
          <w:p>
            <w:pPr>
              <w:pStyle w:val="15"/>
            </w:pPr>
            <w:r>
              <w:t>362.36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3</w:t>
            </w:r>
          </w:p>
        </w:tc>
        <w:tc>
          <w:tcPr>
            <w:tcW w:w="1191" w:type="dxa"/>
            <w:vAlign w:val="center"/>
          </w:tcPr>
          <w:p>
            <w:pPr>
              <w:pStyle w:val="16"/>
            </w:pPr>
            <w:r>
              <w:t>30101</w:t>
            </w:r>
          </w:p>
        </w:tc>
        <w:tc>
          <w:tcPr>
            <w:tcW w:w="4535" w:type="dxa"/>
            <w:vAlign w:val="center"/>
          </w:tcPr>
          <w:p>
            <w:pPr>
              <w:pStyle w:val="16"/>
            </w:pPr>
            <w:r>
              <w:t>基本工资</w:t>
            </w:r>
          </w:p>
        </w:tc>
        <w:tc>
          <w:tcPr>
            <w:tcW w:w="2551" w:type="dxa"/>
            <w:vAlign w:val="center"/>
          </w:tcPr>
          <w:p>
            <w:pPr>
              <w:pStyle w:val="15"/>
            </w:pPr>
            <w:r>
              <w:t>221.00</w:t>
            </w:r>
          </w:p>
        </w:tc>
        <w:tc>
          <w:tcPr>
            <w:tcW w:w="2551" w:type="dxa"/>
            <w:vAlign w:val="center"/>
          </w:tcPr>
          <w:p>
            <w:pPr>
              <w:pStyle w:val="15"/>
            </w:pPr>
            <w:r>
              <w:t>221.00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4</w:t>
            </w:r>
          </w:p>
        </w:tc>
        <w:tc>
          <w:tcPr>
            <w:tcW w:w="1191" w:type="dxa"/>
            <w:vAlign w:val="center"/>
          </w:tcPr>
          <w:p>
            <w:pPr>
              <w:pStyle w:val="16"/>
            </w:pPr>
            <w:r>
              <w:t>30102</w:t>
            </w:r>
          </w:p>
        </w:tc>
        <w:tc>
          <w:tcPr>
            <w:tcW w:w="4535" w:type="dxa"/>
            <w:vAlign w:val="center"/>
          </w:tcPr>
          <w:p>
            <w:pPr>
              <w:pStyle w:val="16"/>
            </w:pPr>
            <w:r>
              <w:t>津贴补贴</w:t>
            </w:r>
          </w:p>
        </w:tc>
        <w:tc>
          <w:tcPr>
            <w:tcW w:w="2551" w:type="dxa"/>
            <w:vAlign w:val="center"/>
          </w:tcPr>
          <w:p>
            <w:pPr>
              <w:pStyle w:val="15"/>
            </w:pPr>
            <w:r>
              <w:t>7.50</w:t>
            </w:r>
          </w:p>
        </w:tc>
        <w:tc>
          <w:tcPr>
            <w:tcW w:w="2551" w:type="dxa"/>
            <w:vAlign w:val="center"/>
          </w:tcPr>
          <w:p>
            <w:pPr>
              <w:pStyle w:val="15"/>
            </w:pPr>
            <w:r>
              <w:t>7.50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5</w:t>
            </w:r>
          </w:p>
        </w:tc>
        <w:tc>
          <w:tcPr>
            <w:tcW w:w="1191" w:type="dxa"/>
            <w:vAlign w:val="center"/>
          </w:tcPr>
          <w:p>
            <w:pPr>
              <w:pStyle w:val="16"/>
            </w:pPr>
            <w:r>
              <w:t>30103</w:t>
            </w:r>
          </w:p>
        </w:tc>
        <w:tc>
          <w:tcPr>
            <w:tcW w:w="4535" w:type="dxa"/>
            <w:vAlign w:val="center"/>
          </w:tcPr>
          <w:p>
            <w:pPr>
              <w:pStyle w:val="16"/>
            </w:pPr>
            <w:r>
              <w:t>奖金</w:t>
            </w:r>
          </w:p>
        </w:tc>
        <w:tc>
          <w:tcPr>
            <w:tcW w:w="2551" w:type="dxa"/>
            <w:vAlign w:val="center"/>
          </w:tcPr>
          <w:p>
            <w:pPr>
              <w:pStyle w:val="15"/>
            </w:pPr>
            <w:r>
              <w:t>23.30</w:t>
            </w:r>
          </w:p>
        </w:tc>
        <w:tc>
          <w:tcPr>
            <w:tcW w:w="2551" w:type="dxa"/>
            <w:vAlign w:val="center"/>
          </w:tcPr>
          <w:p>
            <w:pPr>
              <w:pStyle w:val="15"/>
            </w:pPr>
            <w:r>
              <w:t>23.30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6</w:t>
            </w:r>
          </w:p>
        </w:tc>
        <w:tc>
          <w:tcPr>
            <w:tcW w:w="1191" w:type="dxa"/>
            <w:vAlign w:val="center"/>
          </w:tcPr>
          <w:p>
            <w:pPr>
              <w:pStyle w:val="16"/>
            </w:pPr>
            <w:r>
              <w:t>30107</w:t>
            </w:r>
          </w:p>
        </w:tc>
        <w:tc>
          <w:tcPr>
            <w:tcW w:w="4535" w:type="dxa"/>
            <w:vAlign w:val="center"/>
          </w:tcPr>
          <w:p>
            <w:pPr>
              <w:pStyle w:val="16"/>
            </w:pPr>
            <w:r>
              <w:t>绩效工资</w:t>
            </w:r>
          </w:p>
        </w:tc>
        <w:tc>
          <w:tcPr>
            <w:tcW w:w="2551" w:type="dxa"/>
            <w:vAlign w:val="center"/>
          </w:tcPr>
          <w:p>
            <w:pPr>
              <w:pStyle w:val="15"/>
            </w:pPr>
            <w:r>
              <w:t>7.00</w:t>
            </w:r>
          </w:p>
        </w:tc>
        <w:tc>
          <w:tcPr>
            <w:tcW w:w="2551" w:type="dxa"/>
            <w:vAlign w:val="center"/>
          </w:tcPr>
          <w:p>
            <w:pPr>
              <w:pStyle w:val="15"/>
            </w:pPr>
            <w:r>
              <w:t>7.00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7</w:t>
            </w:r>
          </w:p>
        </w:tc>
        <w:tc>
          <w:tcPr>
            <w:tcW w:w="1191" w:type="dxa"/>
            <w:vAlign w:val="center"/>
          </w:tcPr>
          <w:p>
            <w:pPr>
              <w:pStyle w:val="16"/>
            </w:pPr>
            <w:r>
              <w:t>30108</w:t>
            </w:r>
          </w:p>
        </w:tc>
        <w:tc>
          <w:tcPr>
            <w:tcW w:w="4535" w:type="dxa"/>
            <w:vAlign w:val="center"/>
          </w:tcPr>
          <w:p>
            <w:pPr>
              <w:pStyle w:val="16"/>
            </w:pPr>
            <w:r>
              <w:t>机关事业单位基本养老保险缴费</w:t>
            </w:r>
          </w:p>
        </w:tc>
        <w:tc>
          <w:tcPr>
            <w:tcW w:w="2551" w:type="dxa"/>
            <w:vAlign w:val="center"/>
          </w:tcPr>
          <w:p>
            <w:pPr>
              <w:pStyle w:val="15"/>
            </w:pPr>
            <w:r>
              <w:t>38.90</w:t>
            </w:r>
          </w:p>
        </w:tc>
        <w:tc>
          <w:tcPr>
            <w:tcW w:w="2551" w:type="dxa"/>
            <w:vAlign w:val="center"/>
          </w:tcPr>
          <w:p>
            <w:pPr>
              <w:pStyle w:val="15"/>
            </w:pPr>
            <w:r>
              <w:t>38.90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8</w:t>
            </w:r>
          </w:p>
        </w:tc>
        <w:tc>
          <w:tcPr>
            <w:tcW w:w="1191" w:type="dxa"/>
            <w:vAlign w:val="center"/>
          </w:tcPr>
          <w:p>
            <w:pPr>
              <w:pStyle w:val="16"/>
            </w:pPr>
            <w:r>
              <w:t>30109</w:t>
            </w:r>
          </w:p>
        </w:tc>
        <w:tc>
          <w:tcPr>
            <w:tcW w:w="4535" w:type="dxa"/>
            <w:vAlign w:val="center"/>
          </w:tcPr>
          <w:p>
            <w:pPr>
              <w:pStyle w:val="16"/>
            </w:pPr>
            <w:r>
              <w:t>职业年金缴费</w:t>
            </w:r>
          </w:p>
        </w:tc>
        <w:tc>
          <w:tcPr>
            <w:tcW w:w="2551" w:type="dxa"/>
            <w:vAlign w:val="center"/>
          </w:tcPr>
          <w:p>
            <w:pPr>
              <w:pStyle w:val="15"/>
            </w:pPr>
            <w:r>
              <w:t>3.66</w:t>
            </w:r>
          </w:p>
        </w:tc>
        <w:tc>
          <w:tcPr>
            <w:tcW w:w="2551" w:type="dxa"/>
            <w:vAlign w:val="center"/>
          </w:tcPr>
          <w:p>
            <w:pPr>
              <w:pStyle w:val="15"/>
            </w:pPr>
            <w:r>
              <w:t>3.66</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9</w:t>
            </w:r>
          </w:p>
        </w:tc>
        <w:tc>
          <w:tcPr>
            <w:tcW w:w="1191" w:type="dxa"/>
            <w:vAlign w:val="center"/>
          </w:tcPr>
          <w:p>
            <w:pPr>
              <w:pStyle w:val="16"/>
            </w:pPr>
            <w:r>
              <w:t>30110</w:t>
            </w:r>
          </w:p>
        </w:tc>
        <w:tc>
          <w:tcPr>
            <w:tcW w:w="4535" w:type="dxa"/>
            <w:vAlign w:val="center"/>
          </w:tcPr>
          <w:p>
            <w:pPr>
              <w:pStyle w:val="16"/>
            </w:pPr>
            <w:r>
              <w:t>职工基本医疗保险缴费</w:t>
            </w:r>
          </w:p>
        </w:tc>
        <w:tc>
          <w:tcPr>
            <w:tcW w:w="2551" w:type="dxa"/>
            <w:vAlign w:val="center"/>
          </w:tcPr>
          <w:p>
            <w:pPr>
              <w:pStyle w:val="15"/>
            </w:pPr>
            <w:r>
              <w:t>16.50</w:t>
            </w:r>
          </w:p>
        </w:tc>
        <w:tc>
          <w:tcPr>
            <w:tcW w:w="2551" w:type="dxa"/>
            <w:vAlign w:val="center"/>
          </w:tcPr>
          <w:p>
            <w:pPr>
              <w:pStyle w:val="15"/>
            </w:pPr>
            <w:r>
              <w:t>16.50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10</w:t>
            </w:r>
          </w:p>
        </w:tc>
        <w:tc>
          <w:tcPr>
            <w:tcW w:w="1191" w:type="dxa"/>
            <w:vAlign w:val="center"/>
          </w:tcPr>
          <w:p>
            <w:pPr>
              <w:pStyle w:val="16"/>
            </w:pPr>
            <w:r>
              <w:t>30111</w:t>
            </w:r>
          </w:p>
        </w:tc>
        <w:tc>
          <w:tcPr>
            <w:tcW w:w="4535" w:type="dxa"/>
            <w:vAlign w:val="center"/>
          </w:tcPr>
          <w:p>
            <w:pPr>
              <w:pStyle w:val="16"/>
            </w:pPr>
            <w:r>
              <w:t>公务员医疗补助缴费</w:t>
            </w:r>
          </w:p>
        </w:tc>
        <w:tc>
          <w:tcPr>
            <w:tcW w:w="2551" w:type="dxa"/>
            <w:vAlign w:val="center"/>
          </w:tcPr>
          <w:p>
            <w:pPr>
              <w:pStyle w:val="15"/>
            </w:pPr>
            <w:r>
              <w:t>4.50</w:t>
            </w:r>
          </w:p>
        </w:tc>
        <w:tc>
          <w:tcPr>
            <w:tcW w:w="2551" w:type="dxa"/>
            <w:vAlign w:val="center"/>
          </w:tcPr>
          <w:p>
            <w:pPr>
              <w:pStyle w:val="15"/>
            </w:pPr>
            <w:r>
              <w:t>4.50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11</w:t>
            </w:r>
          </w:p>
        </w:tc>
        <w:tc>
          <w:tcPr>
            <w:tcW w:w="1191" w:type="dxa"/>
            <w:vAlign w:val="center"/>
          </w:tcPr>
          <w:p>
            <w:pPr>
              <w:pStyle w:val="16"/>
            </w:pPr>
            <w:r>
              <w:t>30112</w:t>
            </w:r>
          </w:p>
        </w:tc>
        <w:tc>
          <w:tcPr>
            <w:tcW w:w="4535" w:type="dxa"/>
            <w:vAlign w:val="center"/>
          </w:tcPr>
          <w:p>
            <w:pPr>
              <w:pStyle w:val="16"/>
            </w:pPr>
            <w:r>
              <w:t>其他社会保障缴费</w:t>
            </w:r>
          </w:p>
        </w:tc>
        <w:tc>
          <w:tcPr>
            <w:tcW w:w="2551" w:type="dxa"/>
            <w:vAlign w:val="center"/>
          </w:tcPr>
          <w:p>
            <w:pPr>
              <w:pStyle w:val="15"/>
            </w:pPr>
            <w:r>
              <w:t>1.10</w:t>
            </w:r>
          </w:p>
        </w:tc>
        <w:tc>
          <w:tcPr>
            <w:tcW w:w="2551" w:type="dxa"/>
            <w:vAlign w:val="center"/>
          </w:tcPr>
          <w:p>
            <w:pPr>
              <w:pStyle w:val="15"/>
            </w:pPr>
            <w:r>
              <w:t>1.10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12</w:t>
            </w:r>
          </w:p>
        </w:tc>
        <w:tc>
          <w:tcPr>
            <w:tcW w:w="1191" w:type="dxa"/>
            <w:vAlign w:val="center"/>
          </w:tcPr>
          <w:p>
            <w:pPr>
              <w:pStyle w:val="16"/>
            </w:pPr>
            <w:r>
              <w:t>30113</w:t>
            </w:r>
          </w:p>
        </w:tc>
        <w:tc>
          <w:tcPr>
            <w:tcW w:w="4535" w:type="dxa"/>
            <w:vAlign w:val="center"/>
          </w:tcPr>
          <w:p>
            <w:pPr>
              <w:pStyle w:val="16"/>
            </w:pPr>
            <w:r>
              <w:t>住房公积金</w:t>
            </w:r>
          </w:p>
        </w:tc>
        <w:tc>
          <w:tcPr>
            <w:tcW w:w="2551" w:type="dxa"/>
            <w:vAlign w:val="center"/>
          </w:tcPr>
          <w:p>
            <w:pPr>
              <w:pStyle w:val="15"/>
            </w:pPr>
            <w:r>
              <w:t>38.90</w:t>
            </w:r>
          </w:p>
        </w:tc>
        <w:tc>
          <w:tcPr>
            <w:tcW w:w="2551" w:type="dxa"/>
            <w:vAlign w:val="center"/>
          </w:tcPr>
          <w:p>
            <w:pPr>
              <w:pStyle w:val="15"/>
            </w:pPr>
            <w:r>
              <w:t>38.90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13</w:t>
            </w:r>
          </w:p>
        </w:tc>
        <w:tc>
          <w:tcPr>
            <w:tcW w:w="1191" w:type="dxa"/>
            <w:vAlign w:val="center"/>
          </w:tcPr>
          <w:p>
            <w:pPr>
              <w:pStyle w:val="16"/>
            </w:pPr>
            <w:r>
              <w:t>302</w:t>
            </w:r>
          </w:p>
        </w:tc>
        <w:tc>
          <w:tcPr>
            <w:tcW w:w="4535" w:type="dxa"/>
            <w:vAlign w:val="center"/>
          </w:tcPr>
          <w:p>
            <w:pPr>
              <w:pStyle w:val="16"/>
            </w:pPr>
            <w:r>
              <w:t>商品和服务支出</w:t>
            </w:r>
          </w:p>
        </w:tc>
        <w:tc>
          <w:tcPr>
            <w:tcW w:w="2551" w:type="dxa"/>
            <w:vAlign w:val="center"/>
          </w:tcPr>
          <w:p>
            <w:pPr>
              <w:pStyle w:val="15"/>
            </w:pPr>
            <w:r>
              <w:t>24.00</w:t>
            </w:r>
          </w:p>
        </w:tc>
        <w:tc>
          <w:tcPr>
            <w:tcW w:w="2551" w:type="dxa"/>
            <w:vAlign w:val="center"/>
          </w:tcPr>
          <w:p>
            <w:pPr>
              <w:pStyle w:val="15"/>
            </w:pPr>
          </w:p>
        </w:tc>
        <w:tc>
          <w:tcPr>
            <w:tcW w:w="2551" w:type="dxa"/>
            <w:vAlign w:val="center"/>
          </w:tcPr>
          <w:p>
            <w:pPr>
              <w:pStyle w:val="15"/>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14</w:t>
            </w:r>
          </w:p>
        </w:tc>
        <w:tc>
          <w:tcPr>
            <w:tcW w:w="1191" w:type="dxa"/>
            <w:vAlign w:val="center"/>
          </w:tcPr>
          <w:p>
            <w:pPr>
              <w:pStyle w:val="16"/>
            </w:pPr>
            <w:r>
              <w:t>30201</w:t>
            </w:r>
          </w:p>
        </w:tc>
        <w:tc>
          <w:tcPr>
            <w:tcW w:w="4535" w:type="dxa"/>
            <w:vAlign w:val="center"/>
          </w:tcPr>
          <w:p>
            <w:pPr>
              <w:pStyle w:val="16"/>
            </w:pPr>
            <w:r>
              <w:t>办公费</w:t>
            </w:r>
          </w:p>
        </w:tc>
        <w:tc>
          <w:tcPr>
            <w:tcW w:w="2551" w:type="dxa"/>
            <w:vAlign w:val="center"/>
          </w:tcPr>
          <w:p>
            <w:pPr>
              <w:pStyle w:val="15"/>
            </w:pPr>
            <w:r>
              <w:t>6.00</w:t>
            </w:r>
          </w:p>
        </w:tc>
        <w:tc>
          <w:tcPr>
            <w:tcW w:w="2551" w:type="dxa"/>
            <w:vAlign w:val="center"/>
          </w:tcPr>
          <w:p>
            <w:pPr>
              <w:pStyle w:val="15"/>
            </w:pPr>
          </w:p>
        </w:tc>
        <w:tc>
          <w:tcPr>
            <w:tcW w:w="2551" w:type="dxa"/>
            <w:vAlign w:val="center"/>
          </w:tcPr>
          <w:p>
            <w:pPr>
              <w:pStyle w:val="15"/>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15</w:t>
            </w:r>
          </w:p>
        </w:tc>
        <w:tc>
          <w:tcPr>
            <w:tcW w:w="1191" w:type="dxa"/>
            <w:vAlign w:val="center"/>
          </w:tcPr>
          <w:p>
            <w:pPr>
              <w:pStyle w:val="16"/>
            </w:pPr>
            <w:r>
              <w:t>30228</w:t>
            </w:r>
          </w:p>
        </w:tc>
        <w:tc>
          <w:tcPr>
            <w:tcW w:w="4535" w:type="dxa"/>
            <w:vAlign w:val="center"/>
          </w:tcPr>
          <w:p>
            <w:pPr>
              <w:pStyle w:val="16"/>
            </w:pPr>
            <w:r>
              <w:t>工会经费</w:t>
            </w:r>
          </w:p>
        </w:tc>
        <w:tc>
          <w:tcPr>
            <w:tcW w:w="2551" w:type="dxa"/>
            <w:vAlign w:val="center"/>
          </w:tcPr>
          <w:p>
            <w:pPr>
              <w:pStyle w:val="15"/>
            </w:pPr>
            <w:r>
              <w:t>0.60</w:t>
            </w:r>
          </w:p>
        </w:tc>
        <w:tc>
          <w:tcPr>
            <w:tcW w:w="2551" w:type="dxa"/>
            <w:vAlign w:val="center"/>
          </w:tcPr>
          <w:p>
            <w:pPr>
              <w:pStyle w:val="15"/>
            </w:pPr>
          </w:p>
        </w:tc>
        <w:tc>
          <w:tcPr>
            <w:tcW w:w="2551"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16</w:t>
            </w:r>
          </w:p>
        </w:tc>
        <w:tc>
          <w:tcPr>
            <w:tcW w:w="1191" w:type="dxa"/>
            <w:vAlign w:val="center"/>
          </w:tcPr>
          <w:p>
            <w:pPr>
              <w:pStyle w:val="16"/>
            </w:pPr>
            <w:r>
              <w:t>30229</w:t>
            </w:r>
          </w:p>
        </w:tc>
        <w:tc>
          <w:tcPr>
            <w:tcW w:w="4535" w:type="dxa"/>
            <w:vAlign w:val="center"/>
          </w:tcPr>
          <w:p>
            <w:pPr>
              <w:pStyle w:val="16"/>
            </w:pPr>
            <w:r>
              <w:t>福利费</w:t>
            </w:r>
          </w:p>
        </w:tc>
        <w:tc>
          <w:tcPr>
            <w:tcW w:w="2551" w:type="dxa"/>
            <w:vAlign w:val="center"/>
          </w:tcPr>
          <w:p>
            <w:pPr>
              <w:pStyle w:val="15"/>
            </w:pPr>
            <w:r>
              <w:t>0.60</w:t>
            </w:r>
          </w:p>
        </w:tc>
        <w:tc>
          <w:tcPr>
            <w:tcW w:w="2551" w:type="dxa"/>
            <w:vAlign w:val="center"/>
          </w:tcPr>
          <w:p>
            <w:pPr>
              <w:pStyle w:val="15"/>
            </w:pPr>
          </w:p>
        </w:tc>
        <w:tc>
          <w:tcPr>
            <w:tcW w:w="2551" w:type="dxa"/>
            <w:vAlign w:val="center"/>
          </w:tcPr>
          <w:p>
            <w:pPr>
              <w:pStyle w:val="15"/>
            </w:pPr>
            <w:r>
              <w:t>0.60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17</w:t>
            </w:r>
          </w:p>
        </w:tc>
        <w:tc>
          <w:tcPr>
            <w:tcW w:w="1191" w:type="dxa"/>
            <w:vAlign w:val="center"/>
          </w:tcPr>
          <w:p>
            <w:pPr>
              <w:pStyle w:val="16"/>
            </w:pPr>
            <w:r>
              <w:t>30239</w:t>
            </w:r>
          </w:p>
        </w:tc>
        <w:tc>
          <w:tcPr>
            <w:tcW w:w="4535" w:type="dxa"/>
            <w:vAlign w:val="center"/>
          </w:tcPr>
          <w:p>
            <w:pPr>
              <w:pStyle w:val="16"/>
            </w:pPr>
            <w:r>
              <w:t>其他交通费用</w:t>
            </w:r>
          </w:p>
        </w:tc>
        <w:tc>
          <w:tcPr>
            <w:tcW w:w="2551" w:type="dxa"/>
            <w:vAlign w:val="center"/>
          </w:tcPr>
          <w:p>
            <w:pPr>
              <w:pStyle w:val="15"/>
            </w:pPr>
            <w:r>
              <w:t>16.50</w:t>
            </w:r>
          </w:p>
        </w:tc>
        <w:tc>
          <w:tcPr>
            <w:tcW w:w="2551" w:type="dxa"/>
            <w:vAlign w:val="center"/>
          </w:tcPr>
          <w:p>
            <w:pPr>
              <w:pStyle w:val="15"/>
            </w:pPr>
          </w:p>
        </w:tc>
        <w:tc>
          <w:tcPr>
            <w:tcW w:w="2551" w:type="dxa"/>
            <w:vAlign w:val="center"/>
          </w:tcPr>
          <w:p>
            <w:pPr>
              <w:pStyle w:val="15"/>
            </w:pPr>
            <w:r>
              <w:t>16.50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18</w:t>
            </w:r>
          </w:p>
        </w:tc>
        <w:tc>
          <w:tcPr>
            <w:tcW w:w="1191" w:type="dxa"/>
            <w:vAlign w:val="center"/>
          </w:tcPr>
          <w:p>
            <w:pPr>
              <w:pStyle w:val="16"/>
            </w:pPr>
            <w:r>
              <w:t>30299</w:t>
            </w:r>
          </w:p>
        </w:tc>
        <w:tc>
          <w:tcPr>
            <w:tcW w:w="4535" w:type="dxa"/>
            <w:vAlign w:val="center"/>
          </w:tcPr>
          <w:p>
            <w:pPr>
              <w:pStyle w:val="16"/>
            </w:pPr>
            <w:r>
              <w:t>其他商品和服务支出</w:t>
            </w:r>
          </w:p>
        </w:tc>
        <w:tc>
          <w:tcPr>
            <w:tcW w:w="2551" w:type="dxa"/>
            <w:vAlign w:val="center"/>
          </w:tcPr>
          <w:p>
            <w:pPr>
              <w:pStyle w:val="15"/>
            </w:pPr>
            <w:r>
              <w:t>0.30</w:t>
            </w:r>
          </w:p>
        </w:tc>
        <w:tc>
          <w:tcPr>
            <w:tcW w:w="2551" w:type="dxa"/>
            <w:vAlign w:val="center"/>
          </w:tcPr>
          <w:p>
            <w:pPr>
              <w:pStyle w:val="15"/>
            </w:pPr>
          </w:p>
        </w:tc>
        <w:tc>
          <w:tcPr>
            <w:tcW w:w="2551" w:type="dxa"/>
            <w:vAlign w:val="center"/>
          </w:tcPr>
          <w:p>
            <w:pPr>
              <w:pStyle w:val="15"/>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19</w:t>
            </w:r>
          </w:p>
        </w:tc>
        <w:tc>
          <w:tcPr>
            <w:tcW w:w="1191" w:type="dxa"/>
            <w:vAlign w:val="center"/>
          </w:tcPr>
          <w:p>
            <w:pPr>
              <w:pStyle w:val="16"/>
            </w:pPr>
            <w:r>
              <w:t>303</w:t>
            </w:r>
          </w:p>
        </w:tc>
        <w:tc>
          <w:tcPr>
            <w:tcW w:w="4535" w:type="dxa"/>
            <w:vAlign w:val="center"/>
          </w:tcPr>
          <w:p>
            <w:pPr>
              <w:pStyle w:val="16"/>
            </w:pPr>
            <w:r>
              <w:t>对个人和家庭的补助</w:t>
            </w:r>
          </w:p>
        </w:tc>
        <w:tc>
          <w:tcPr>
            <w:tcW w:w="2551" w:type="dxa"/>
            <w:vAlign w:val="center"/>
          </w:tcPr>
          <w:p>
            <w:pPr>
              <w:pStyle w:val="15"/>
            </w:pPr>
            <w:r>
              <w:t>21.80</w:t>
            </w:r>
          </w:p>
        </w:tc>
        <w:tc>
          <w:tcPr>
            <w:tcW w:w="2551" w:type="dxa"/>
            <w:vAlign w:val="center"/>
          </w:tcPr>
          <w:p>
            <w:pPr>
              <w:pStyle w:val="15"/>
            </w:pPr>
            <w:r>
              <w:t>21.80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20</w:t>
            </w:r>
          </w:p>
        </w:tc>
        <w:tc>
          <w:tcPr>
            <w:tcW w:w="1191" w:type="dxa"/>
            <w:vAlign w:val="center"/>
          </w:tcPr>
          <w:p>
            <w:pPr>
              <w:pStyle w:val="16"/>
            </w:pPr>
            <w:r>
              <w:t>30302</w:t>
            </w:r>
          </w:p>
        </w:tc>
        <w:tc>
          <w:tcPr>
            <w:tcW w:w="4535" w:type="dxa"/>
            <w:vAlign w:val="center"/>
          </w:tcPr>
          <w:p>
            <w:pPr>
              <w:pStyle w:val="16"/>
            </w:pPr>
            <w:r>
              <w:t>退休费</w:t>
            </w:r>
          </w:p>
        </w:tc>
        <w:tc>
          <w:tcPr>
            <w:tcW w:w="2551" w:type="dxa"/>
            <w:vAlign w:val="center"/>
          </w:tcPr>
          <w:p>
            <w:pPr>
              <w:pStyle w:val="15"/>
            </w:pPr>
            <w:r>
              <w:t>20.50</w:t>
            </w:r>
          </w:p>
        </w:tc>
        <w:tc>
          <w:tcPr>
            <w:tcW w:w="2551" w:type="dxa"/>
            <w:vAlign w:val="center"/>
          </w:tcPr>
          <w:p>
            <w:pPr>
              <w:pStyle w:val="15"/>
            </w:pPr>
            <w:r>
              <w:t>20.50</w:t>
            </w:r>
          </w:p>
        </w:tc>
        <w:tc>
          <w:tcPr>
            <w:tcW w:w="255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r>
              <w:t>21</w:t>
            </w:r>
          </w:p>
        </w:tc>
        <w:tc>
          <w:tcPr>
            <w:tcW w:w="1191" w:type="dxa"/>
            <w:vAlign w:val="center"/>
          </w:tcPr>
          <w:p>
            <w:pPr>
              <w:pStyle w:val="16"/>
            </w:pPr>
            <w:r>
              <w:t>30305</w:t>
            </w:r>
          </w:p>
        </w:tc>
        <w:tc>
          <w:tcPr>
            <w:tcW w:w="4535" w:type="dxa"/>
            <w:vAlign w:val="center"/>
          </w:tcPr>
          <w:p>
            <w:pPr>
              <w:pStyle w:val="16"/>
            </w:pPr>
            <w:r>
              <w:t>生活补助</w:t>
            </w:r>
          </w:p>
        </w:tc>
        <w:tc>
          <w:tcPr>
            <w:tcW w:w="2551" w:type="dxa"/>
            <w:vAlign w:val="center"/>
          </w:tcPr>
          <w:p>
            <w:pPr>
              <w:pStyle w:val="15"/>
            </w:pPr>
            <w:r>
              <w:t>1.30</w:t>
            </w:r>
          </w:p>
        </w:tc>
        <w:tc>
          <w:tcPr>
            <w:tcW w:w="2551" w:type="dxa"/>
            <w:vAlign w:val="center"/>
          </w:tcPr>
          <w:p>
            <w:pPr>
              <w:pStyle w:val="15"/>
            </w:pPr>
            <w:r>
              <w:t>1.30</w:t>
            </w:r>
          </w:p>
        </w:tc>
        <w:tc>
          <w:tcPr>
            <w:tcW w:w="2551"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131中国人民政治协商会议河北省平乡县委员会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131中国人民政治协商会议河北省平乡县委员会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131中国人民政治协商会议河北省平乡县委员会</w:t>
            </w:r>
          </w:p>
        </w:tc>
        <w:tc>
          <w:tcPr>
            <w:tcW w:w="2381" w:type="dxa"/>
            <w:tcBorders>
              <w:top w:val="single" w:color="FFFFFF" w:sz="6" w:space="0"/>
              <w:left w:val="single" w:color="FFFFFF" w:sz="6" w:space="0"/>
              <w:right w:val="single" w:color="FFFFFF" w:sz="6" w:space="0"/>
            </w:tcBorders>
            <w:vAlign w:val="center"/>
          </w:tcPr>
          <w:p>
            <w:pPr>
              <w:pStyle w:val="12"/>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3798" w:type="dxa"/>
            <w:vMerge w:val="restart"/>
            <w:vAlign w:val="center"/>
          </w:tcPr>
          <w:p>
            <w:pPr>
              <w:pStyle w:val="14"/>
            </w:pPr>
            <w:r>
              <w:t>项  目</w:t>
            </w:r>
          </w:p>
        </w:tc>
        <w:tc>
          <w:tcPr>
            <w:tcW w:w="9524"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4"/>
            </w:pPr>
            <w:r>
              <w:t>合计</w:t>
            </w:r>
          </w:p>
        </w:tc>
        <w:tc>
          <w:tcPr>
            <w:tcW w:w="2381" w:type="dxa"/>
            <w:vAlign w:val="center"/>
          </w:tcPr>
          <w:p>
            <w:pPr>
              <w:pStyle w:val="14"/>
            </w:pPr>
            <w:r>
              <w:t>一般公共预算              财政拨款</w:t>
            </w:r>
          </w:p>
        </w:tc>
        <w:tc>
          <w:tcPr>
            <w:tcW w:w="2381" w:type="dxa"/>
            <w:vAlign w:val="center"/>
          </w:tcPr>
          <w:p>
            <w:pPr>
              <w:pStyle w:val="14"/>
            </w:pPr>
            <w:r>
              <w:t>政府性基金                  预算拨款</w:t>
            </w:r>
          </w:p>
        </w:tc>
        <w:tc>
          <w:tcPr>
            <w:tcW w:w="2381"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4"/>
            </w:pPr>
            <w:r>
              <w:t>栏次</w:t>
            </w:r>
          </w:p>
        </w:tc>
        <w:tc>
          <w:tcPr>
            <w:tcW w:w="3798" w:type="dxa"/>
            <w:vAlign w:val="center"/>
          </w:tcPr>
          <w:p>
            <w:pPr>
              <w:pStyle w:val="14"/>
            </w:pPr>
            <w:r>
              <w:t>1</w:t>
            </w:r>
          </w:p>
        </w:tc>
        <w:tc>
          <w:tcPr>
            <w:tcW w:w="2381" w:type="dxa"/>
            <w:vAlign w:val="center"/>
          </w:tcPr>
          <w:p>
            <w:pPr>
              <w:pStyle w:val="14"/>
            </w:pPr>
            <w:r>
              <w:t>2</w:t>
            </w:r>
          </w:p>
        </w:tc>
        <w:tc>
          <w:tcPr>
            <w:tcW w:w="2381" w:type="dxa"/>
            <w:vAlign w:val="center"/>
          </w:tcPr>
          <w:p>
            <w:pPr>
              <w:pStyle w:val="14"/>
            </w:pPr>
            <w:r>
              <w:t>3</w:t>
            </w:r>
          </w:p>
        </w:tc>
        <w:tc>
          <w:tcPr>
            <w:tcW w:w="2381" w:type="dxa"/>
            <w:vAlign w:val="center"/>
          </w:tcPr>
          <w:p>
            <w:pPr>
              <w:pStyle w:val="14"/>
            </w:pPr>
            <w:r>
              <w:t>4</w:t>
            </w:r>
          </w:p>
        </w:tc>
        <w:tc>
          <w:tcPr>
            <w:tcW w:w="238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7"/>
            </w:pPr>
          </w:p>
        </w:tc>
        <w:tc>
          <w:tcPr>
            <w:tcW w:w="3798" w:type="dxa"/>
            <w:vAlign w:val="center"/>
          </w:tcPr>
          <w:p>
            <w:pPr>
              <w:pStyle w:val="16"/>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c>
          <w:tcPr>
            <w:tcW w:w="2381" w:type="dxa"/>
            <w:vAlign w:val="center"/>
          </w:tcPr>
          <w:p>
            <w:pPr>
              <w:pStyle w:val="15"/>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中国人民政治协商会议河北省平乡县委员会2023年部门预算信息公开情况说明</w:t>
      </w:r>
    </w:p>
    <w:p>
      <w:pPr>
        <w:jc w:val="center"/>
      </w:pPr>
      <w:r>
        <w:rPr>
          <w:rFonts w:ascii="方正小标宋_GBK" w:hAnsi="方正小标宋_GBK" w:eastAsia="方正小标宋_GBK" w:cs="方正小标宋_GBK"/>
          <w:color w:val="000000"/>
          <w:sz w:val="44"/>
        </w:rPr>
        <w:t>中国人民政治协商会议河北省平乡县委员会2023年部门预算信息公开情况说明</w:t>
      </w:r>
    </w:p>
    <w:p>
      <w:pPr>
        <w:spacing w:line="500" w:lineRule="exact"/>
        <w:ind w:firstLine="560"/>
      </w:pPr>
      <w:r>
        <w:rPr>
          <w:rFonts w:eastAsia="方正仿宋_GBK"/>
          <w:color w:val="000000"/>
          <w:sz w:val="28"/>
        </w:rPr>
        <w:t>按照《预算法》、《地方预决算公开操作规程》和《关于进一步推进预算公开工作的实施意见》规定，现将中国人民政治协商会议河北省平乡县委员会2023年部门预算公开如下：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1"/>
      </w:pPr>
      <w:r>
        <w:t>1、负责县政协全体会议、常务委员会会议、主席会议、党组会议、秘书长会议以及重大调研视察、政治协商活动的组织和服务工作。</w:t>
      </w:r>
    </w:p>
    <w:p>
      <w:pPr>
        <w:pStyle w:val="21"/>
      </w:pPr>
      <w:r>
        <w:t>2、负责以县政协常务委员会、主席会议名义组织的涉及全局工作的</w:t>
      </w:r>
      <w:r>
        <w:rPr>
          <w:rFonts w:hint="eastAsia"/>
          <w:lang w:val="en-US" w:eastAsia="zh-CN"/>
        </w:rPr>
        <w:t>协商、</w:t>
      </w:r>
      <w:r>
        <w:t>调研、视察、考察、座谈、参观、访问等活动的组织协调和服务工作；负责为各专门委员会实施专题调研、视察计划提供保障。</w:t>
      </w:r>
    </w:p>
    <w:p>
      <w:pPr>
        <w:pStyle w:val="21"/>
      </w:pPr>
      <w:r>
        <w:t>3、负责协调安排县政协领导的活动；负责县政协领导指示及其它重要问题的查办、催办和落实工作。</w:t>
      </w:r>
    </w:p>
    <w:p>
      <w:pPr>
        <w:pStyle w:val="21"/>
        <w:rPr>
          <w:rFonts w:hint="eastAsia" w:ascii="方正仿宋_GBK" w:hAnsi="方正仿宋_GBK" w:eastAsia="方正仿宋_GBK" w:cs="方正仿宋_GBK"/>
        </w:rPr>
      </w:pPr>
      <w:r>
        <w:t>4、</w:t>
      </w:r>
      <w:r>
        <w:rPr>
          <w:rFonts w:hint="eastAsia" w:ascii="方正仿宋_GBK" w:hAnsi="方正仿宋_GBK" w:eastAsia="方正仿宋_GBK" w:cs="方正仿宋_GBK"/>
          <w:b w:val="0"/>
          <w:bCs w:val="0"/>
          <w:sz w:val="28"/>
          <w:szCs w:val="28"/>
        </w:rPr>
        <w:t>负责县政协委员进行视察、参观、调查、座谈、学习、研讨等日常活动的服务和具体组织工作</w:t>
      </w:r>
      <w:r>
        <w:t>等活动的后勤保障工作</w:t>
      </w:r>
      <w:r>
        <w:rPr>
          <w:rFonts w:hint="eastAsia" w:ascii="方正仿宋_GBK" w:hAnsi="方正仿宋_GBK" w:eastAsia="方正仿宋_GBK" w:cs="方正仿宋_GBK"/>
          <w:b w:val="0"/>
          <w:bCs w:val="0"/>
          <w:sz w:val="28"/>
          <w:szCs w:val="28"/>
        </w:rPr>
        <w:t>；受市政协的委托，组织驻县政协委员活动</w:t>
      </w:r>
      <w:r>
        <w:t>。</w:t>
      </w:r>
    </w:p>
    <w:p>
      <w:pPr>
        <w:pStyle w:val="21"/>
      </w:pPr>
      <w:r>
        <w:t>5、研究和提出人民政协履行职能的工作建议，牵头起草县政协全体会议、常务委员会会议、有关政协工作会议和其他重要会议、活动的文稿。</w:t>
      </w:r>
    </w:p>
    <w:p>
      <w:pPr>
        <w:pStyle w:val="21"/>
      </w:pPr>
      <w:r>
        <w:t>6、负责县政协全体会议、常务委员会会议、主席会议决议和决定事项的组织实施工作。</w:t>
      </w:r>
    </w:p>
    <w:p>
      <w:pPr>
        <w:pStyle w:val="21"/>
      </w:pPr>
      <w:r>
        <w:t>7、负责报送县政协调研报告、视察报告、大会发言、经验总结，编发平乡政协通讯</w:t>
      </w:r>
      <w:r>
        <w:rPr>
          <w:rFonts w:hint="eastAsia"/>
          <w:lang w:val="en-US" w:eastAsia="zh-CN"/>
        </w:rPr>
        <w:t>报道</w:t>
      </w:r>
      <w:r>
        <w:t>。</w:t>
      </w:r>
    </w:p>
    <w:p>
      <w:pPr>
        <w:pStyle w:val="21"/>
      </w:pPr>
      <w:r>
        <w:t>8、承担县政协对内对外宣传的策划、协调、联络和新闻报道工作；负责主办平乡政协微博、微信公众号。</w:t>
      </w:r>
    </w:p>
    <w:p>
      <w:pPr>
        <w:pStyle w:val="21"/>
      </w:pPr>
      <w:r>
        <w:t>9、收集整理、综合分析和报送反馈反映社情民意信息及各界人士的意见、建议，负责编发《政协专报》、《情况反映》、《政协参阅件》。</w:t>
      </w:r>
    </w:p>
    <w:p>
      <w:pPr>
        <w:pStyle w:val="21"/>
      </w:pPr>
      <w:r>
        <w:t>10、负责人民政协理论的研究，承担县人民政协理论研究会的日常工作。</w:t>
      </w:r>
    </w:p>
    <w:p>
      <w:pPr>
        <w:pStyle w:val="21"/>
      </w:pPr>
      <w:r>
        <w:t>11、负责联系市政协办公室，县政协各参加单位；负责与县委办公室、县府办公室、县人大</w:t>
      </w:r>
      <w:r>
        <w:rPr>
          <w:rFonts w:hint="eastAsia"/>
          <w:lang w:eastAsia="zh-CN"/>
        </w:rPr>
        <w:t>常委会</w:t>
      </w:r>
      <w:bookmarkStart w:id="18" w:name="_GoBack"/>
      <w:bookmarkEnd w:id="18"/>
      <w:r>
        <w:t>办公室和有关部门的工作联系、协调。</w:t>
      </w:r>
    </w:p>
    <w:p>
      <w:pPr>
        <w:pStyle w:val="21"/>
      </w:pPr>
      <w:r>
        <w:t>12、负责机关及所属事业单位机构编制、干部人事管理工作。</w:t>
      </w:r>
    </w:p>
    <w:p>
      <w:pPr>
        <w:pStyle w:val="21"/>
      </w:pPr>
      <w:r>
        <w:t>13、负责县政协机关的文秘档案、保密信访、财务后勤、行政接待、安全保卫以及离退休人员的服务和管理工作，负责管理</w:t>
      </w:r>
      <w:r>
        <w:rPr>
          <w:rFonts w:hint="eastAsia"/>
          <w:lang w:val="en-US" w:eastAsia="zh-CN"/>
        </w:rPr>
        <w:t>县</w:t>
      </w:r>
      <w:r>
        <w:t>政协</w:t>
      </w:r>
      <w:r>
        <w:rPr>
          <w:rFonts w:hint="eastAsia"/>
          <w:lang w:val="en-US" w:eastAsia="zh-CN"/>
        </w:rPr>
        <w:t>委员履职服务</w:t>
      </w:r>
      <w:r>
        <w:t>中心。</w:t>
      </w:r>
    </w:p>
    <w:p>
      <w:pPr>
        <w:pStyle w:val="21"/>
      </w:pPr>
      <w:r>
        <w:t>14、完成县政协常务委员会、主席会议以及县政协领导交办的其他工作。</w:t>
      </w:r>
    </w:p>
    <w:p>
      <w:pPr>
        <w:pStyle w:val="21"/>
      </w:pPr>
      <w:r>
        <w:t>二、县政协提案委员会工作职责</w:t>
      </w:r>
    </w:p>
    <w:p>
      <w:pPr>
        <w:pStyle w:val="21"/>
      </w:pPr>
      <w:r>
        <w:t>1、起草县政协常务委员会关于提案工作情况的报告，向</w:t>
      </w:r>
      <w:r>
        <w:rPr>
          <w:rFonts w:hint="eastAsia"/>
          <w:lang w:val="en-US" w:eastAsia="zh-CN"/>
        </w:rPr>
        <w:t>县</w:t>
      </w:r>
      <w:r>
        <w:t>政协全体会议报告提案审查情况，向</w:t>
      </w:r>
      <w:r>
        <w:rPr>
          <w:rFonts w:hint="eastAsia"/>
          <w:lang w:val="en-US" w:eastAsia="zh-CN"/>
        </w:rPr>
        <w:t>县</w:t>
      </w:r>
      <w:r>
        <w:t>政协常务委员会会议、主席会议报告工作。</w:t>
      </w:r>
    </w:p>
    <w:p>
      <w:pPr>
        <w:pStyle w:val="21"/>
      </w:pPr>
      <w:r>
        <w:t>2、制定和实施县政协提案委员会年度工作计划和</w:t>
      </w:r>
      <w:r>
        <w:rPr>
          <w:rFonts w:hint="eastAsia"/>
          <w:lang w:val="en-US" w:eastAsia="zh-CN"/>
        </w:rPr>
        <w:t>县</w:t>
      </w:r>
      <w:r>
        <w:t>政协全体会议期间提案工作方案。</w:t>
      </w:r>
    </w:p>
    <w:p>
      <w:pPr>
        <w:pStyle w:val="21"/>
      </w:pPr>
      <w:r>
        <w:t>3、组织、征集提案，对收到的提案进行审查立案，协商确定承办单位。</w:t>
      </w:r>
    </w:p>
    <w:p>
      <w:pPr>
        <w:pStyle w:val="21"/>
      </w:pPr>
      <w:r>
        <w:t>4、在县政协主席会议领导下，会同县政协办公室组织重点提案遴选和督办工作；对提案办理工作进行检查和督促，对办理不符合要求的，及时商请承办单位按要求办理。</w:t>
      </w:r>
    </w:p>
    <w:p>
      <w:pPr>
        <w:pStyle w:val="21"/>
      </w:pPr>
      <w:r>
        <w:t>5、对提案进行综合分析，采取多种形式反映重要意见、建议；协同县政协办公室管理县政协委员提案管理系统平台；组织提案工作的宣传报道，逐步推进提案工作公开化。</w:t>
      </w:r>
    </w:p>
    <w:p>
      <w:pPr>
        <w:pStyle w:val="21"/>
      </w:pPr>
      <w:r>
        <w:t>6、组织评选优秀提案和提案优秀承办件。</w:t>
      </w:r>
    </w:p>
    <w:p>
      <w:pPr>
        <w:pStyle w:val="21"/>
      </w:pPr>
      <w:r>
        <w:t>7、组织开展提案工作学习与理论研讨。</w:t>
      </w:r>
    </w:p>
    <w:p>
      <w:pPr>
        <w:pStyle w:val="21"/>
      </w:pPr>
      <w:r>
        <w:t>8、负责与县委办、县府办以及各提案承办单位的联系和协商；负责与政协委员和各民主党派、工商联、有关人民团体以及政协其他专门委员会、界别的联系与协作。</w:t>
      </w:r>
    </w:p>
    <w:p>
      <w:pPr>
        <w:pStyle w:val="21"/>
      </w:pPr>
      <w:r>
        <w:t>9、负责与兄弟</w:t>
      </w:r>
      <w:r>
        <w:rPr>
          <w:rFonts w:hint="eastAsia"/>
          <w:lang w:val="en-US" w:eastAsia="zh-CN"/>
        </w:rPr>
        <w:t>县</w:t>
      </w:r>
      <w:r>
        <w:t>政协提案委员会的联系与交流，负责对本市各县（区）政协提案委员会的工作联系和指导。</w:t>
      </w:r>
    </w:p>
    <w:p>
      <w:pPr>
        <w:pStyle w:val="21"/>
      </w:pPr>
      <w:r>
        <w:t>10、完成县政协常务委员会和主席会议以及</w:t>
      </w:r>
      <w:r>
        <w:rPr>
          <w:rFonts w:hint="eastAsia"/>
          <w:lang w:val="en-US" w:eastAsia="zh-CN"/>
        </w:rPr>
        <w:t>县</w:t>
      </w:r>
      <w:r>
        <w:t>政协领导交办的其他工作。</w:t>
      </w:r>
    </w:p>
    <w:p>
      <w:pPr>
        <w:pStyle w:val="21"/>
      </w:pPr>
      <w:r>
        <w:t>三、县政协经济科技委员会工作职责</w:t>
      </w:r>
    </w:p>
    <w:p>
      <w:pPr>
        <w:pStyle w:val="21"/>
      </w:pPr>
      <w:r>
        <w:t>1、制订和实施本委年度工作计划，总结好年度工作，向县政协常务委员会和主席会议报告工作。</w:t>
      </w:r>
    </w:p>
    <w:p>
      <w:pPr>
        <w:pStyle w:val="21"/>
      </w:pPr>
      <w:r>
        <w:t>2、组织委员认真学习、宣传、贯彻国家和省、市、县关于经济建设和科学技术方面的方针政策及有关法律法规，帮助委员了解我</w:t>
      </w:r>
      <w:r>
        <w:rPr>
          <w:rFonts w:hint="eastAsia"/>
          <w:lang w:val="en-US" w:eastAsia="zh-CN"/>
        </w:rPr>
        <w:t>县</w:t>
      </w:r>
      <w:r>
        <w:t>经济科技等方面的最新情况，为委员知情明政、履行职责创造条件。</w:t>
      </w:r>
    </w:p>
    <w:p>
      <w:pPr>
        <w:pStyle w:val="21"/>
      </w:pPr>
      <w:r>
        <w:t>3、做好县政协常务委员会、主席会议安排的调研视察工作，起草调研视察报告。</w:t>
      </w:r>
    </w:p>
    <w:p>
      <w:pPr>
        <w:pStyle w:val="21"/>
      </w:pPr>
      <w:r>
        <w:t>4、就我县经济建设、交通和科技工作中的重要问题开展专题调研、视察和协商，组织召开委员约谈会，收集、反映本委所联系委员的意见和建议，反映社情民意信息，指导撰写提案，参与督办提案。</w:t>
      </w:r>
    </w:p>
    <w:p>
      <w:pPr>
        <w:pStyle w:val="21"/>
      </w:pPr>
      <w:r>
        <w:t>5、发挥联系界别政协委员智力密集和信息资源丰富的优势，组织委员联系企业，开展经济、科技咨询服务；组织开展横向联络活动，为内引外联、招商引资牵线搭桥。</w:t>
      </w:r>
    </w:p>
    <w:p>
      <w:pPr>
        <w:pStyle w:val="21"/>
      </w:pPr>
      <w:r>
        <w:t>6、做好科技下乡等为民服务活动。</w:t>
      </w:r>
    </w:p>
    <w:p>
      <w:pPr>
        <w:pStyle w:val="21"/>
      </w:pPr>
      <w:r>
        <w:t>7、负责与县属对口部门以及有关民主党派、工商联、人民团体的工作联系与协作，沟通情况，积极配合，相互支持。</w:t>
      </w:r>
    </w:p>
    <w:p>
      <w:pPr>
        <w:pStyle w:val="21"/>
      </w:pPr>
      <w:r>
        <w:t>8、负责与市政协和</w:t>
      </w:r>
      <w:r>
        <w:rPr>
          <w:rFonts w:hint="eastAsia"/>
          <w:lang w:val="en-US" w:eastAsia="zh-CN"/>
        </w:rPr>
        <w:t>各县（区）</w:t>
      </w:r>
      <w:r>
        <w:t>政协对口专门委员会的联系、交流、合作。</w:t>
      </w:r>
    </w:p>
    <w:p>
      <w:pPr>
        <w:pStyle w:val="21"/>
      </w:pPr>
      <w:r>
        <w:t>9、负责与联系界别政协委员的联系，指导和协助联系的界别开展活动，做好有关服务工作。</w:t>
      </w:r>
    </w:p>
    <w:p>
      <w:pPr>
        <w:pStyle w:val="21"/>
      </w:pPr>
      <w:r>
        <w:t>10、完成县政协常务委员会和主席会议以及县政协领导交办的其他工作。</w:t>
      </w:r>
    </w:p>
    <w:p>
      <w:pPr>
        <w:pStyle w:val="21"/>
      </w:pPr>
      <w:r>
        <w:t>四、县政协文化教育体育卫生委员会工作职责</w:t>
      </w:r>
    </w:p>
    <w:p>
      <w:pPr>
        <w:pStyle w:val="21"/>
      </w:pPr>
      <w:r>
        <w:t>1、制订和实施本委年度工作计划，总结好年度工作，向县政协常务委员会和主席会议报告工作。</w:t>
      </w:r>
    </w:p>
    <w:p>
      <w:pPr>
        <w:pStyle w:val="21"/>
      </w:pPr>
      <w:r>
        <w:t>2、组织委员学习、宣传、贯彻国家和省、市、县关于教育、卫计、文化、体育等方面的方针政策及有关法律法规，帮助委员了解我县教育、文化、卫计、体育事业发展方面的最新情况，为委员知情明政、履行职责创造条件。</w:t>
      </w:r>
    </w:p>
    <w:p>
      <w:pPr>
        <w:pStyle w:val="21"/>
      </w:pPr>
      <w:r>
        <w:t>3、做好县政协常务委员会、主席会议安排的调研视察工作，起草调研视察报告。</w:t>
      </w:r>
    </w:p>
    <w:p>
      <w:pPr>
        <w:pStyle w:val="21"/>
      </w:pPr>
      <w:r>
        <w:t>4、就我县教育、文化、卫计、体育等方面的重要问题，组织有关委员开展专题调研、视察，组织召开委员约谈会，收集、反映本委所联系委员提出的意见、建议，反映社情民意信息，指导撰写提案，参与督办相关提案。</w:t>
      </w:r>
    </w:p>
    <w:p>
      <w:pPr>
        <w:pStyle w:val="21"/>
      </w:pPr>
      <w:r>
        <w:t>5、负责县政协专家服务团工作，开展教育、文化、卫生、体育等下乡为民服务活动。</w:t>
      </w:r>
    </w:p>
    <w:p>
      <w:pPr>
        <w:pStyle w:val="21"/>
      </w:pPr>
      <w:r>
        <w:t>6、负责与县属对口部门以及县有关民主党派、工商联、人民团体的工作联系与协作，沟通情况，积极配合，相互支持。</w:t>
      </w:r>
    </w:p>
    <w:p>
      <w:pPr>
        <w:pStyle w:val="21"/>
      </w:pPr>
      <w:r>
        <w:t>7、负责与市政协和对口专门委员会的联系、交流、合作。</w:t>
      </w:r>
    </w:p>
    <w:p>
      <w:pPr>
        <w:pStyle w:val="21"/>
      </w:pPr>
      <w:r>
        <w:t>8、负责与联系界别政协委员的联系，指导和协助联系的界别开展活动，做好有关服务工作。</w:t>
      </w:r>
    </w:p>
    <w:p>
      <w:pPr>
        <w:pStyle w:val="21"/>
      </w:pPr>
      <w:r>
        <w:t>9、完成县政协常务委员会和主席会议以及市政协领导交办的其他工作。</w:t>
      </w:r>
    </w:p>
    <w:p>
      <w:pPr>
        <w:pStyle w:val="21"/>
      </w:pPr>
      <w:r>
        <w:t>五、县政协农业农村委员会工作职责</w:t>
      </w:r>
    </w:p>
    <w:p>
      <w:pPr>
        <w:pStyle w:val="21"/>
      </w:pPr>
      <w:r>
        <w:t>1、制订和实施本委年度工作计划，总结好年度工作，向县政协常务委员会和主席会议报告工作。</w:t>
      </w:r>
    </w:p>
    <w:p>
      <w:pPr>
        <w:pStyle w:val="21"/>
      </w:pPr>
      <w:r>
        <w:t>2、组织委员学习、宣传、贯彻国家和省、市、县关于农业农村等方面的方针政策及有关法律法规，帮助委员了解我县农业农村发展方面的最新情况，为委员知情明政、履行职责创造条件。</w:t>
      </w:r>
    </w:p>
    <w:p>
      <w:pPr>
        <w:pStyle w:val="21"/>
      </w:pPr>
      <w:r>
        <w:t>3、做好县政协常务委员会、主席会议安排的调研视察工作，起草调研视察报告。</w:t>
      </w:r>
    </w:p>
    <w:p>
      <w:pPr>
        <w:pStyle w:val="21"/>
      </w:pPr>
      <w:r>
        <w:t>4、就我县农业农村方面的重要问题，组织有关委员开展专题调研、视察，组织召开委员约谈会，收集、反映本委所联系委员提出的意见、建议，反映社情民意信息，指导撰写提案，参与督办相关提案。</w:t>
      </w:r>
    </w:p>
    <w:p>
      <w:pPr>
        <w:pStyle w:val="21"/>
      </w:pPr>
      <w:r>
        <w:t>5、做好法律下乡等为民服务活动。</w:t>
      </w:r>
    </w:p>
    <w:p>
      <w:pPr>
        <w:pStyle w:val="21"/>
      </w:pPr>
      <w:r>
        <w:t>6、负责与县对口联系单位以及县有关民主党派、工商联、人民团体的工作联系与协作，沟通情况，积极配合，相互支持。</w:t>
      </w:r>
    </w:p>
    <w:p>
      <w:pPr>
        <w:pStyle w:val="21"/>
      </w:pPr>
      <w:r>
        <w:t>7、负责与市政协和对口专门委员会的联系、交流、合作。</w:t>
      </w:r>
    </w:p>
    <w:p>
      <w:pPr>
        <w:pStyle w:val="21"/>
      </w:pPr>
      <w:r>
        <w:t>8、负责与联系界别政协委员的联系，指导和协助联系的界别开展活动，做好有关服务工作。</w:t>
      </w:r>
    </w:p>
    <w:p>
      <w:pPr>
        <w:pStyle w:val="21"/>
      </w:pPr>
      <w:r>
        <w:t>9、完成县政协常务委员会和主席会议以及市政协领导交办的其他工作。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中国人民政治协商会议河北省平乡县委员会本级</w:t>
            </w:r>
          </w:p>
        </w:tc>
        <w:tc>
          <w:tcPr>
            <w:tcW w:w="1843" w:type="dxa"/>
            <w:vAlign w:val="center"/>
          </w:tcPr>
          <w:p>
            <w:pPr>
              <w:pStyle w:val="17"/>
            </w:pPr>
            <w:r>
              <w:t>行政</w:t>
            </w:r>
          </w:p>
        </w:tc>
        <w:tc>
          <w:tcPr>
            <w:tcW w:w="2126" w:type="dxa"/>
            <w:vAlign w:val="center"/>
          </w:tcPr>
          <w:p>
            <w:pPr>
              <w:pStyle w:val="17"/>
            </w:pPr>
            <w:r>
              <w:t>正处（县）级</w:t>
            </w:r>
          </w:p>
        </w:tc>
        <w:tc>
          <w:tcPr>
            <w:tcW w:w="3827" w:type="dxa"/>
            <w:vAlign w:val="center"/>
          </w:tcPr>
          <w:p>
            <w:pPr>
              <w:pStyle w:val="17"/>
            </w:pPr>
            <w:r>
              <w:t>财政拨款</w:t>
            </w:r>
          </w:p>
        </w:tc>
      </w:tr>
    </w:tbl>
    <w:p>
      <w:pPr>
        <w:spacing w:before="10" w:after="10" w:line="360" w:lineRule="auto"/>
        <w:ind w:firstLine="640"/>
        <w:outlineLvl w:val="2"/>
        <w:rPr>
          <w:rFonts w:hint="eastAsia" w:eastAsiaTheme="minorEastAsia"/>
          <w:lang w:eastAsia="zh-CN"/>
        </w:rPr>
      </w:pPr>
      <w:bookmarkStart w:id="10" w:name="_Toc_3_3_0000000011"/>
      <w:r>
        <w:rPr>
          <w:rFonts w:ascii="黑体" w:hAnsi="黑体" w:eastAsia="黑体" w:cs="黑体"/>
          <w:color w:val="000000"/>
          <w:sz w:val="32"/>
        </w:rPr>
        <w:t>二、部门预算安排的总体情况</w:t>
      </w:r>
      <w:bookmarkEnd w:id="10"/>
    </w:p>
    <w:p>
      <w:pPr>
        <w:spacing w:before="10" w:after="10" w:line="360" w:lineRule="auto"/>
        <w:ind w:firstLine="640"/>
        <w:outlineLvl w:val="2"/>
      </w:pPr>
      <w:r>
        <w:rPr>
          <w:rFonts w:eastAsia="方正仿宋_GBK"/>
          <w:color w:val="000000"/>
          <w:sz w:val="28"/>
        </w:rPr>
        <w:t>按照预算管理有关规定，目前我</w:t>
      </w:r>
      <w:r>
        <w:rPr>
          <w:rFonts w:hint="eastAsia" w:eastAsia="方正仿宋_GBK"/>
          <w:color w:val="000000"/>
          <w:sz w:val="28"/>
          <w:lang w:val="en-US" w:eastAsia="zh-CN"/>
        </w:rPr>
        <w:t>县</w:t>
      </w:r>
      <w:r>
        <w:rPr>
          <w:rFonts w:eastAsia="方正仿宋_GBK"/>
          <w:color w:val="000000"/>
          <w:sz w:val="28"/>
        </w:rPr>
        <w:t>部门预算的编制实行综合预算管理，即全部收入和支出都反映在预算中。中国人民政治协商会议河北省平乡县委员会机关及所属事业单位的收支包含在部门预算中。</w:t>
      </w:r>
    </w:p>
    <w:p>
      <w:pPr>
        <w:pStyle w:val="22"/>
      </w:pPr>
      <w:r>
        <w:t>1、收入说明</w:t>
      </w:r>
    </w:p>
    <w:p>
      <w:pPr>
        <w:pStyle w:val="22"/>
      </w:pPr>
      <w:r>
        <w:t>反映本部门当年全部收入。2023年预算收入545万元，其中：一般公共预算收入545万元，基金预算收入0万元，财政专户核拨收入0万元，其他来源收入0万元，上年结转0万元。</w:t>
      </w:r>
    </w:p>
    <w:p>
      <w:pPr>
        <w:pStyle w:val="22"/>
      </w:pPr>
      <w:r>
        <w:t>2、支出说明</w:t>
      </w:r>
    </w:p>
    <w:p>
      <w:pPr>
        <w:pStyle w:val="22"/>
      </w:pPr>
      <w:r>
        <w:t>收支预算总表支出栏、基本支出表、项目支出表按经济分类和支出功能分类科目编制，反映中国人民政治协商会议河北省平乡县委员会年度部门预算中支出预算的总体情况。2023年部门支出预算为545万元，其中基本支出408万元，包括人员经费384万元和日常公用经费24万元；项目支出137万元，主要为组织委员学习培训、提案办理督办，推动书画产业发展，政协常委会，政协十届三次委员会，政协综合事务，视察调研，综合业务等。</w:t>
      </w:r>
    </w:p>
    <w:p>
      <w:pPr>
        <w:pStyle w:val="22"/>
      </w:pPr>
      <w:r>
        <w:t>3、比上年增减情况</w:t>
      </w:r>
    </w:p>
    <w:p>
      <w:pPr>
        <w:pStyle w:val="22"/>
      </w:pPr>
      <w:r>
        <w:t>2023年部门预算收支安排545万元，较2022年减少25.</w:t>
      </w:r>
      <w:r>
        <w:rPr>
          <w:rFonts w:hint="eastAsia"/>
          <w:lang w:val="en-US" w:eastAsia="zh-CN"/>
        </w:rPr>
        <w:t>74</w:t>
      </w:r>
      <w:r>
        <w:t>万元，其中：基本支出</w:t>
      </w:r>
      <w:r>
        <w:rPr>
          <w:rFonts w:hint="eastAsia"/>
          <w:lang w:val="en-US" w:eastAsia="zh-CN"/>
        </w:rPr>
        <w:t>增加0.56</w:t>
      </w:r>
      <w:r>
        <w:t xml:space="preserve">万元，主要是增加了人员经费；项目支出减少26.3万元，主要是项目资金安排减少。 </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3"/>
      </w:pPr>
      <w:r>
        <w:t>2023年我部门机关运行经费共计安排24万元，主要用于保证机关正常运转的办公费、邮电费、公务车运行维护费、车补等支出。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我部门财政拨款“三公”经费预算安排0万元，其中：因公出国（境）费0万元；公务用车购置及运维费0万元（其中：公务用车购置费0万元，公务用车运行维护费0万元)；公务接待费0万元。认真落实中央八项规定精神和厉行节约要求，管理制度不断完善，“三公”经费支出得到了有效控制。</w:t>
      </w: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5"/>
        <w:rPr>
          <w:rFonts w:eastAsiaTheme="minorEastAsia"/>
          <w:lang w:val="uk-UA" w:eastAsia="zh-CN"/>
        </w:rPr>
      </w:pPr>
      <w:r>
        <w:t>以习近平新时代中国特色社会主义思想为指导，围绕全县中心工作，认真履行</w:t>
      </w:r>
      <w:r>
        <w:rPr>
          <w:rFonts w:hint="eastAsia"/>
          <w:lang w:val="en-US" w:eastAsia="zh-CN"/>
        </w:rPr>
        <w:t>政协章程</w:t>
      </w:r>
      <w:r>
        <w:t>赋予的职责。2023年开展监督检查不少于20次，问题整改率达到90%以上，确保法律法规执行到位、县委决策落实到位、民生改善推进到位。充分发挥“县政协委员之家”的作用，全年开展活动次数不少于8次，活动完成率达到100%，进一步提高对政协委员的服务水平。至少召开一次政协全体会议，政协第十届委员会第三会议，力争会议筹备和会务工作完成率达到100%。保证县委意图顺利实现。抓好常委会自身建设，保障机关正常运转天数不少于365天，表决系统完好率达到100%，提高政协提案交办率达到100%，服务对象满意度达到90%以上，努力开创政协工作新局面。</w:t>
      </w:r>
    </w:p>
    <w:p>
      <w:pPr>
        <w:spacing w:line="500" w:lineRule="exact"/>
        <w:ind w:firstLine="560"/>
      </w:pPr>
      <w:r>
        <w:rPr>
          <w:rFonts w:eastAsia="方正仿宋_GBK"/>
          <w:color w:val="000000"/>
          <w:sz w:val="28"/>
        </w:rPr>
        <w:t>（二）分项绩效目标</w:t>
      </w:r>
    </w:p>
    <w:p>
      <w:pPr>
        <w:pStyle w:val="26"/>
      </w:pPr>
      <w:r>
        <w:t>1、提高工作水平，增强监督实效</w:t>
      </w:r>
    </w:p>
    <w:p>
      <w:pPr>
        <w:pStyle w:val="26"/>
      </w:pPr>
      <w:r>
        <w:t>绩效目标：政治协商、民主监督、参政议政、凝聚共识，进行视察调研和</w:t>
      </w:r>
      <w:r>
        <w:rPr>
          <w:rFonts w:hint="eastAsia"/>
          <w:lang w:val="en-US" w:eastAsia="zh-CN"/>
        </w:rPr>
        <w:t>组织</w:t>
      </w:r>
      <w:r>
        <w:t>委员学习。发挥常委及委员的作用，集中反映民意，促进依</w:t>
      </w:r>
      <w:r>
        <w:rPr>
          <w:rFonts w:hint="eastAsia"/>
          <w:lang w:val="en-US" w:eastAsia="zh-CN"/>
        </w:rPr>
        <w:t>章</w:t>
      </w:r>
      <w:r>
        <w:t>履职。</w:t>
      </w:r>
    </w:p>
    <w:p>
      <w:pPr>
        <w:pStyle w:val="26"/>
      </w:pPr>
      <w:r>
        <w:t>绩效指标：集中视察工作完成率达到90%，监督检查覆盖率达到90%，开展监督次数在20次以上，意见建议采纳率到达90%以上，问题整改率达到90%以上，活动参与者满意度达到90%以上。</w:t>
      </w:r>
    </w:p>
    <w:p>
      <w:pPr>
        <w:pStyle w:val="26"/>
      </w:pPr>
      <w:r>
        <w:t>2、发挥</w:t>
      </w:r>
      <w:r>
        <w:rPr>
          <w:rFonts w:hint="eastAsia"/>
          <w:lang w:eastAsia="zh-CN"/>
        </w:rPr>
        <w:t>“</w:t>
      </w:r>
      <w:r>
        <w:t>家</w:t>
      </w:r>
      <w:r>
        <w:rPr>
          <w:rFonts w:hint="eastAsia"/>
          <w:lang w:eastAsia="zh-CN"/>
        </w:rPr>
        <w:t>”“</w:t>
      </w:r>
      <w:r>
        <w:t>站</w:t>
      </w:r>
      <w:r>
        <w:rPr>
          <w:rFonts w:hint="eastAsia"/>
          <w:lang w:eastAsia="zh-CN"/>
        </w:rPr>
        <w:t>”</w:t>
      </w:r>
      <w:r>
        <w:t>作用，提升履职水平</w:t>
      </w:r>
    </w:p>
    <w:p>
      <w:pPr>
        <w:pStyle w:val="26"/>
      </w:pPr>
      <w:r>
        <w:t>绩效目标：充分发挥委员之家和联络站的作用，多措并举、优化服务，完善规章制度，建立健全省市县乡四级政协委员梯形联系网络，借助委员威望和影响力，广泛开展政策解读宣传，切实为委员依法履职提供强有力保障。</w:t>
      </w:r>
    </w:p>
    <w:p>
      <w:pPr>
        <w:pStyle w:val="26"/>
      </w:pPr>
      <w:r>
        <w:t>绩效指标：委员之家</w:t>
      </w:r>
      <w:r>
        <w:rPr>
          <w:rFonts w:hint="eastAsia"/>
          <w:lang w:eastAsia="zh-CN"/>
        </w:rPr>
        <w:t>、</w:t>
      </w:r>
      <w:r>
        <w:rPr>
          <w:rFonts w:hint="eastAsia"/>
          <w:lang w:val="en-US" w:eastAsia="zh-CN"/>
        </w:rPr>
        <w:t>委员工作站</w:t>
      </w:r>
      <w:r>
        <w:t>全年开展活动8次以上，活动完成率达到100%，每年最少两次检查各乡镇委员“家、站”运行情况，开展活动覆盖率达到90%以上，收集意见建议不少于20条，活动参与者满意度达到90%。</w:t>
      </w:r>
    </w:p>
    <w:p>
      <w:pPr>
        <w:pStyle w:val="26"/>
      </w:pPr>
      <w:r>
        <w:t>3、规范会议程序，提高会议质量</w:t>
      </w:r>
    </w:p>
    <w:p>
      <w:pPr>
        <w:pStyle w:val="26"/>
      </w:pPr>
      <w:r>
        <w:t>绩效目标：保障会议顺利召开，完成会议各项议程，保证县委意图顺利实现。</w:t>
      </w:r>
    </w:p>
    <w:p>
      <w:pPr>
        <w:pStyle w:val="26"/>
      </w:pPr>
      <w:r>
        <w:t>绩效指标：会议筹备及会务工作完成率达到100%，政治任务实现率达到100%，收集意见建议50条以上，全年会议议题个数不少于25个，进行满意度测评不少于12次，意见建议采纳率达到90%以上，政协委员满意度达到90%以上。</w:t>
      </w:r>
    </w:p>
    <w:p>
      <w:pPr>
        <w:pStyle w:val="26"/>
      </w:pPr>
      <w:r>
        <w:t>4、加强自身建设，完善事务管理</w:t>
      </w:r>
    </w:p>
    <w:p>
      <w:pPr>
        <w:pStyle w:val="26"/>
      </w:pPr>
      <w:r>
        <w:t>绩效目标：做好机关文书档案印信管理和保密工作，做好机关人事、离退休人员服务，确保新闻宣传工作正常开展，机关基础设施运转良好，做好扶贫帮扶工作，提高群众满意度,促进社会和谐稳定。</w:t>
      </w:r>
    </w:p>
    <w:p>
      <w:pPr>
        <w:pStyle w:val="26"/>
      </w:pPr>
      <w:r>
        <w:t>绩效指标：政协事务管理工作完成率达到100%，维修（护）工作完成率达到100%，在全国、省、市级刊物发表信息数量不少于25篇，表决系统完好率达到100%，服务对象满意度达到90%。</w:t>
      </w:r>
    </w:p>
    <w:p>
      <w:pPr>
        <w:pStyle w:val="26"/>
      </w:pPr>
      <w:r>
        <w:t>5、智慧政协运行，履职水平提高。</w:t>
      </w:r>
    </w:p>
    <w:p>
      <w:pPr>
        <w:pStyle w:val="26"/>
      </w:pPr>
      <w:r>
        <w:t>绩效目标：完成“智慧政协”建设，提高闭会期间委员收集民情民意的解决率和联系群众的实效性。</w:t>
      </w:r>
    </w:p>
    <w:p>
      <w:pPr>
        <w:pStyle w:val="26"/>
      </w:pPr>
      <w:r>
        <w:t>绩效指标：2023年6月底前投入使用，设备运行稳定时间占总运行实际的比率大于90%，进一步提高</w:t>
      </w:r>
      <w:r>
        <w:rPr>
          <w:rFonts w:hint="eastAsia"/>
          <w:lang w:val="en-US" w:eastAsia="zh-CN"/>
        </w:rPr>
        <w:t>委员</w:t>
      </w:r>
      <w:r>
        <w:t>的履职质量和水平。</w:t>
      </w:r>
    </w:p>
    <w:p>
      <w:pPr>
        <w:spacing w:line="500" w:lineRule="exact"/>
        <w:ind w:firstLine="560"/>
      </w:pPr>
      <w:r>
        <w:rPr>
          <w:rFonts w:eastAsia="方正仿宋_GBK"/>
          <w:color w:val="000000"/>
          <w:sz w:val="28"/>
        </w:rPr>
        <w:t>（三）工作保障措施</w:t>
      </w:r>
    </w:p>
    <w:p>
      <w:pPr>
        <w:pStyle w:val="27"/>
      </w:pPr>
      <w:r>
        <w:t>1、加强制度建设。建立健全机关预算绩效管理制度，为全年预算绩效目标的实现奠定制度基础。</w:t>
      </w:r>
    </w:p>
    <w:p>
      <w:pPr>
        <w:pStyle w:val="27"/>
      </w:pPr>
      <w:r>
        <w:t>2、规范财务管理。进一步完善财务管理制度，通过科学编制预算、优化支出结构、加快政府采购、加快项目建设、及时拨付资金，确保经费支出进度达到规定标准。</w:t>
      </w:r>
    </w:p>
    <w:p>
      <w:pPr>
        <w:pStyle w:val="27"/>
      </w:pPr>
      <w:r>
        <w:t>3、加强内部控制。加强内部控制建设，对重大事项、资产处置及其他重要经济业务事项决策和执行进行监督，定期开展财务内部审计，确保财政资金使用安全有效。</w:t>
      </w:r>
    </w:p>
    <w:p>
      <w:pPr>
        <w:pStyle w:val="27"/>
      </w:pPr>
      <w:r>
        <w:t>4、加强绩效监控。积极开展绩效运行监控，发现问题及时采取措施，确保绩效目标如期保质实现。</w:t>
      </w:r>
    </w:p>
    <w:p>
      <w:pPr>
        <w:pStyle w:val="27"/>
      </w:pPr>
      <w:r>
        <w:t>5、做好绩效自评。按要求开展部门预算绩效自评和重点评价工作，对评价中发现的问题及时整改。</w:t>
      </w:r>
    </w:p>
    <w:p>
      <w:pPr>
        <w:pStyle w:val="27"/>
      </w:pPr>
      <w:r>
        <w:t>6、加强宣传培训。加强人员培训，加大宣传力度，强化预算绩效管理意识，促进预算绩效管理水平提升。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w:t>
      </w:r>
      <w:r>
        <w:rPr>
          <w:rFonts w:hint="eastAsia" w:cs="方正楷体_GBK" w:asciiTheme="minorEastAsia" w:hAnsiTheme="minorEastAsia" w:eastAsiaTheme="minorEastAsia"/>
          <w:b/>
          <w:color w:val="000000"/>
          <w:sz w:val="32"/>
          <w:lang w:eastAsia="zh-CN"/>
        </w:rPr>
        <w:t>二</w:t>
      </w:r>
      <w:r>
        <w:rPr>
          <w:rFonts w:ascii="方正楷体_GBK" w:hAnsi="方正楷体_GBK" w:eastAsia="方正楷体_GBK" w:cs="方正楷体_GBK"/>
          <w:b/>
          <w:color w:val="000000"/>
          <w:sz w:val="32"/>
        </w:rPr>
        <w:t>部分  预算项目绩效目标</w:t>
      </w:r>
    </w:p>
    <w:p>
      <w:pPr>
        <w:ind w:firstLine="560"/>
      </w:pPr>
      <w:r>
        <w:rPr>
          <w:rFonts w:ascii="方正仿宋_GBK" w:hAnsi="方正仿宋_GBK" w:eastAsia="方正仿宋_GBK" w:cs="方正仿宋_GBK"/>
          <w:b/>
          <w:color w:val="000000"/>
          <w:sz w:val="28"/>
        </w:rPr>
        <w:t>1、常委会绩效目标表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1.完善各项会议制度，规范会议程序，提高会议质量，提高政治协商水平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会议次数</w:t>
            </w:r>
          </w:p>
        </w:tc>
        <w:tc>
          <w:tcPr>
            <w:tcW w:w="2835" w:type="dxa"/>
            <w:vAlign w:val="center"/>
          </w:tcPr>
          <w:p>
            <w:pPr>
              <w:pStyle w:val="16"/>
            </w:pPr>
            <w:r>
              <w:t>召开政协常委会的次数</w:t>
            </w:r>
          </w:p>
        </w:tc>
        <w:tc>
          <w:tcPr>
            <w:tcW w:w="2551" w:type="dxa"/>
            <w:vAlign w:val="center"/>
          </w:tcPr>
          <w:p>
            <w:pPr>
              <w:pStyle w:val="16"/>
            </w:pPr>
            <w:r>
              <w:t>≥4次</w:t>
            </w:r>
          </w:p>
        </w:tc>
        <w:tc>
          <w:tcPr>
            <w:tcW w:w="2268" w:type="dxa"/>
            <w:vAlign w:val="center"/>
          </w:tcPr>
          <w:p>
            <w:pPr>
              <w:pStyle w:val="16"/>
            </w:pPr>
            <w:r>
              <w:t>根据政协章程和年初工作计划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签到率</w:t>
            </w:r>
          </w:p>
        </w:tc>
        <w:tc>
          <w:tcPr>
            <w:tcW w:w="2835" w:type="dxa"/>
            <w:vAlign w:val="center"/>
          </w:tcPr>
          <w:p>
            <w:pPr>
              <w:pStyle w:val="16"/>
            </w:pPr>
            <w:r>
              <w:t>每次召开会议常委参会人员的签到情况</w:t>
            </w:r>
          </w:p>
        </w:tc>
        <w:tc>
          <w:tcPr>
            <w:tcW w:w="2551" w:type="dxa"/>
            <w:vAlign w:val="center"/>
          </w:tcPr>
          <w:p>
            <w:pPr>
              <w:pStyle w:val="16"/>
            </w:pPr>
            <w:r>
              <w:t>≥98%</w:t>
            </w:r>
          </w:p>
        </w:tc>
        <w:tc>
          <w:tcPr>
            <w:tcW w:w="2268" w:type="dxa"/>
            <w:vAlign w:val="center"/>
          </w:tcPr>
          <w:p>
            <w:pPr>
              <w:pStyle w:val="16"/>
            </w:pPr>
            <w:r>
              <w:t>根据政协章程和年初工作计划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任务完成时间</w:t>
            </w:r>
          </w:p>
        </w:tc>
        <w:tc>
          <w:tcPr>
            <w:tcW w:w="2835" w:type="dxa"/>
            <w:vAlign w:val="center"/>
          </w:tcPr>
          <w:p>
            <w:pPr>
              <w:pStyle w:val="16"/>
            </w:pPr>
            <w:r>
              <w:t>每次</w:t>
            </w:r>
            <w:r>
              <w:rPr>
                <w:rFonts w:hint="eastAsia"/>
                <w:lang w:val="en-US" w:eastAsia="zh-CN"/>
              </w:rPr>
              <w:t>常委会</w:t>
            </w:r>
            <w:r>
              <w:t>召开的时间</w:t>
            </w:r>
          </w:p>
        </w:tc>
        <w:tc>
          <w:tcPr>
            <w:tcW w:w="2551" w:type="dxa"/>
            <w:vAlign w:val="center"/>
          </w:tcPr>
          <w:p>
            <w:pPr>
              <w:pStyle w:val="16"/>
            </w:pPr>
            <w:r>
              <w:t>每个季度末前</w:t>
            </w:r>
          </w:p>
        </w:tc>
        <w:tc>
          <w:tcPr>
            <w:tcW w:w="2268" w:type="dxa"/>
            <w:vAlign w:val="center"/>
          </w:tcPr>
          <w:p>
            <w:pPr>
              <w:pStyle w:val="16"/>
            </w:pPr>
            <w:r>
              <w:t>根据政协章程和年初工作计划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资金控制数</w:t>
            </w:r>
          </w:p>
        </w:tc>
        <w:tc>
          <w:tcPr>
            <w:tcW w:w="2835" w:type="dxa"/>
            <w:vAlign w:val="center"/>
          </w:tcPr>
          <w:p>
            <w:pPr>
              <w:pStyle w:val="16"/>
            </w:pPr>
            <w:r>
              <w:t>财政预算资金控制数</w:t>
            </w:r>
          </w:p>
        </w:tc>
        <w:tc>
          <w:tcPr>
            <w:tcW w:w="2551" w:type="dxa"/>
            <w:vAlign w:val="center"/>
          </w:tcPr>
          <w:p>
            <w:pPr>
              <w:pStyle w:val="16"/>
            </w:pPr>
            <w:r>
              <w:t>≤17万元</w:t>
            </w:r>
          </w:p>
        </w:tc>
        <w:tc>
          <w:tcPr>
            <w:tcW w:w="2268" w:type="dxa"/>
            <w:vAlign w:val="center"/>
          </w:tcPr>
          <w:p>
            <w:pPr>
              <w:pStyle w:val="16"/>
            </w:pPr>
            <w:r>
              <w:t>根据政协章程和年初工作计划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意见建议采纳率</w:t>
            </w:r>
          </w:p>
        </w:tc>
        <w:tc>
          <w:tcPr>
            <w:tcW w:w="2835" w:type="dxa"/>
            <w:vAlign w:val="center"/>
          </w:tcPr>
          <w:p>
            <w:pPr>
              <w:pStyle w:val="16"/>
            </w:pPr>
            <w:r>
              <w:t>常委会形成的意见建议被政府采纳情况</w:t>
            </w:r>
          </w:p>
        </w:tc>
        <w:tc>
          <w:tcPr>
            <w:tcW w:w="2551" w:type="dxa"/>
            <w:vAlign w:val="center"/>
          </w:tcPr>
          <w:p>
            <w:pPr>
              <w:pStyle w:val="16"/>
            </w:pPr>
            <w:r>
              <w:t>≥92%</w:t>
            </w:r>
          </w:p>
        </w:tc>
        <w:tc>
          <w:tcPr>
            <w:tcW w:w="2268" w:type="dxa"/>
            <w:vAlign w:val="center"/>
          </w:tcPr>
          <w:p>
            <w:pPr>
              <w:pStyle w:val="16"/>
            </w:pPr>
            <w:r>
              <w:t>根据政协章程和年初工作计划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社会影响力</w:t>
            </w:r>
          </w:p>
        </w:tc>
        <w:tc>
          <w:tcPr>
            <w:tcW w:w="2835" w:type="dxa"/>
            <w:vAlign w:val="center"/>
          </w:tcPr>
          <w:p>
            <w:pPr>
              <w:pStyle w:val="16"/>
            </w:pPr>
            <w:r>
              <w:t>保障政协工作正常运转，提升公共服务能力</w:t>
            </w:r>
          </w:p>
        </w:tc>
        <w:tc>
          <w:tcPr>
            <w:tcW w:w="2551" w:type="dxa"/>
            <w:vAlign w:val="center"/>
          </w:tcPr>
          <w:p>
            <w:pPr>
              <w:pStyle w:val="16"/>
            </w:pPr>
            <w:r>
              <w:t>有效提升</w:t>
            </w:r>
          </w:p>
        </w:tc>
        <w:tc>
          <w:tcPr>
            <w:tcW w:w="2268" w:type="dxa"/>
            <w:vAlign w:val="center"/>
          </w:tcPr>
          <w:p>
            <w:pPr>
              <w:pStyle w:val="16"/>
            </w:pPr>
            <w:r>
              <w:t>根据政协章程和年初工作计划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收益人口满意率</w:t>
            </w:r>
          </w:p>
        </w:tc>
        <w:tc>
          <w:tcPr>
            <w:tcW w:w="2835" w:type="dxa"/>
            <w:vAlign w:val="center"/>
          </w:tcPr>
          <w:p>
            <w:pPr>
              <w:pStyle w:val="16"/>
            </w:pPr>
            <w:r>
              <w:t>政协常委会形成的意见建议对人民群众生活提升满意比率</w:t>
            </w:r>
          </w:p>
        </w:tc>
        <w:tc>
          <w:tcPr>
            <w:tcW w:w="2551" w:type="dxa"/>
            <w:vAlign w:val="center"/>
          </w:tcPr>
          <w:p>
            <w:pPr>
              <w:pStyle w:val="16"/>
            </w:pPr>
            <w:r>
              <w:t>≥92%</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持续提高受益群众对政协工作的认知度</w:t>
            </w:r>
          </w:p>
        </w:tc>
        <w:tc>
          <w:tcPr>
            <w:tcW w:w="2835" w:type="dxa"/>
            <w:vAlign w:val="center"/>
          </w:tcPr>
          <w:p>
            <w:pPr>
              <w:pStyle w:val="16"/>
            </w:pPr>
            <w:r>
              <w:t>受益群体对政协工作的认知程度</w:t>
            </w:r>
          </w:p>
        </w:tc>
        <w:tc>
          <w:tcPr>
            <w:tcW w:w="2551" w:type="dxa"/>
            <w:vAlign w:val="center"/>
          </w:tcPr>
          <w:p>
            <w:pPr>
              <w:pStyle w:val="16"/>
            </w:pPr>
            <w:r>
              <w:t>≥91%</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政协常务委员满意程度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2、视察调研绩效目标表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1.对国家宪法、法律法规的实施以及国家重大方针政策的贯彻落实情况，在经济、文化、社会、生态文明建设中的重大问题人民群众普遍关心的问题进行视察调研</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视察调研场次</w:t>
            </w:r>
          </w:p>
        </w:tc>
        <w:tc>
          <w:tcPr>
            <w:tcW w:w="2835" w:type="dxa"/>
            <w:vAlign w:val="center"/>
          </w:tcPr>
          <w:p>
            <w:pPr>
              <w:pStyle w:val="16"/>
            </w:pPr>
            <w:r>
              <w:t>组织委员视察调研场次</w:t>
            </w:r>
          </w:p>
        </w:tc>
        <w:tc>
          <w:tcPr>
            <w:tcW w:w="2551" w:type="dxa"/>
            <w:vAlign w:val="center"/>
          </w:tcPr>
          <w:p>
            <w:pPr>
              <w:pStyle w:val="16"/>
            </w:pPr>
            <w:r>
              <w:t>≥12次</w:t>
            </w:r>
          </w:p>
        </w:tc>
        <w:tc>
          <w:tcPr>
            <w:tcW w:w="2268" w:type="dxa"/>
            <w:vAlign w:val="center"/>
          </w:tcPr>
          <w:p>
            <w:pPr>
              <w:pStyle w:val="16"/>
            </w:pPr>
            <w:r>
              <w:t>政协章程和中央省市文件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签到率</w:t>
            </w:r>
          </w:p>
        </w:tc>
        <w:tc>
          <w:tcPr>
            <w:tcW w:w="2835" w:type="dxa"/>
            <w:vAlign w:val="center"/>
          </w:tcPr>
          <w:p>
            <w:pPr>
              <w:pStyle w:val="16"/>
            </w:pPr>
            <w:r>
              <w:t>参加视察调研委员的签到情况</w:t>
            </w:r>
          </w:p>
        </w:tc>
        <w:tc>
          <w:tcPr>
            <w:tcW w:w="2551" w:type="dxa"/>
            <w:vAlign w:val="center"/>
          </w:tcPr>
          <w:p>
            <w:pPr>
              <w:pStyle w:val="16"/>
            </w:pPr>
            <w:r>
              <w:t>≥98%</w:t>
            </w:r>
          </w:p>
        </w:tc>
        <w:tc>
          <w:tcPr>
            <w:tcW w:w="2268" w:type="dxa"/>
            <w:vAlign w:val="center"/>
          </w:tcPr>
          <w:p>
            <w:pPr>
              <w:pStyle w:val="16"/>
            </w:pPr>
            <w:r>
              <w:t>政协章程和中央省市文件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视察调研完成时间</w:t>
            </w:r>
          </w:p>
        </w:tc>
        <w:tc>
          <w:tcPr>
            <w:tcW w:w="2835" w:type="dxa"/>
            <w:vAlign w:val="center"/>
          </w:tcPr>
          <w:p>
            <w:pPr>
              <w:pStyle w:val="16"/>
            </w:pPr>
            <w:r>
              <w:t>根据年初工作安排视察调研完成时间</w:t>
            </w:r>
          </w:p>
        </w:tc>
        <w:tc>
          <w:tcPr>
            <w:tcW w:w="2551" w:type="dxa"/>
            <w:vAlign w:val="center"/>
          </w:tcPr>
          <w:p>
            <w:pPr>
              <w:pStyle w:val="16"/>
            </w:pPr>
            <w:r>
              <w:t>每月月末前</w:t>
            </w:r>
          </w:p>
        </w:tc>
        <w:tc>
          <w:tcPr>
            <w:tcW w:w="2268" w:type="dxa"/>
            <w:vAlign w:val="center"/>
          </w:tcPr>
          <w:p>
            <w:pPr>
              <w:pStyle w:val="16"/>
            </w:pPr>
            <w:r>
              <w:t>政协章程和中央省市文件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资金控制数</w:t>
            </w:r>
          </w:p>
        </w:tc>
        <w:tc>
          <w:tcPr>
            <w:tcW w:w="2835" w:type="dxa"/>
            <w:vAlign w:val="center"/>
          </w:tcPr>
          <w:p>
            <w:pPr>
              <w:pStyle w:val="16"/>
            </w:pPr>
            <w:r>
              <w:t>本年度财政预算控制数</w:t>
            </w:r>
          </w:p>
        </w:tc>
        <w:tc>
          <w:tcPr>
            <w:tcW w:w="2551" w:type="dxa"/>
            <w:vAlign w:val="center"/>
          </w:tcPr>
          <w:p>
            <w:pPr>
              <w:pStyle w:val="16"/>
            </w:pPr>
            <w:r>
              <w:t>≤19万元</w:t>
            </w:r>
          </w:p>
        </w:tc>
        <w:tc>
          <w:tcPr>
            <w:tcW w:w="2268" w:type="dxa"/>
            <w:vAlign w:val="center"/>
          </w:tcPr>
          <w:p>
            <w:pPr>
              <w:pStyle w:val="16"/>
            </w:pPr>
            <w:r>
              <w:t>政协章程和中央省市文件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意见建议采纳率</w:t>
            </w:r>
          </w:p>
        </w:tc>
        <w:tc>
          <w:tcPr>
            <w:tcW w:w="2835" w:type="dxa"/>
            <w:vAlign w:val="center"/>
          </w:tcPr>
          <w:p>
            <w:pPr>
              <w:pStyle w:val="16"/>
            </w:pPr>
            <w:r>
              <w:t>当地政府对视察调研报告意见建议采纳情况</w:t>
            </w:r>
          </w:p>
        </w:tc>
        <w:tc>
          <w:tcPr>
            <w:tcW w:w="2551" w:type="dxa"/>
            <w:vAlign w:val="center"/>
          </w:tcPr>
          <w:p>
            <w:pPr>
              <w:pStyle w:val="16"/>
            </w:pPr>
            <w:r>
              <w:t>≥92%</w:t>
            </w:r>
          </w:p>
        </w:tc>
        <w:tc>
          <w:tcPr>
            <w:tcW w:w="2268" w:type="dxa"/>
            <w:vAlign w:val="center"/>
          </w:tcPr>
          <w:p>
            <w:pPr>
              <w:pStyle w:val="16"/>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成果应用率</w:t>
            </w:r>
          </w:p>
        </w:tc>
        <w:tc>
          <w:tcPr>
            <w:tcW w:w="2835" w:type="dxa"/>
            <w:vAlign w:val="center"/>
          </w:tcPr>
          <w:p>
            <w:pPr>
              <w:pStyle w:val="16"/>
            </w:pPr>
            <w:r>
              <w:t>当地政府对视察调研报告应用情况</w:t>
            </w:r>
          </w:p>
        </w:tc>
        <w:tc>
          <w:tcPr>
            <w:tcW w:w="2551" w:type="dxa"/>
            <w:vAlign w:val="center"/>
          </w:tcPr>
          <w:p>
            <w:pPr>
              <w:pStyle w:val="16"/>
            </w:pPr>
            <w:r>
              <w:t>≥92%</w:t>
            </w:r>
          </w:p>
        </w:tc>
        <w:tc>
          <w:tcPr>
            <w:tcW w:w="2268" w:type="dxa"/>
            <w:vAlign w:val="center"/>
          </w:tcPr>
          <w:p>
            <w:pPr>
              <w:pStyle w:val="16"/>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问题解决率</w:t>
            </w:r>
          </w:p>
        </w:tc>
        <w:tc>
          <w:tcPr>
            <w:tcW w:w="2835" w:type="dxa"/>
            <w:vAlign w:val="center"/>
          </w:tcPr>
          <w:p>
            <w:pPr>
              <w:pStyle w:val="16"/>
            </w:pPr>
            <w:r>
              <w:t>视察调研报告反映的民生问题解决情况</w:t>
            </w:r>
          </w:p>
        </w:tc>
        <w:tc>
          <w:tcPr>
            <w:tcW w:w="2551" w:type="dxa"/>
            <w:vAlign w:val="center"/>
          </w:tcPr>
          <w:p>
            <w:pPr>
              <w:pStyle w:val="16"/>
            </w:pPr>
            <w:r>
              <w:t>≥93%</w:t>
            </w:r>
          </w:p>
        </w:tc>
        <w:tc>
          <w:tcPr>
            <w:tcW w:w="2268" w:type="dxa"/>
            <w:vAlign w:val="center"/>
          </w:tcPr>
          <w:p>
            <w:pPr>
              <w:pStyle w:val="16"/>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民生发展关注率</w:t>
            </w:r>
          </w:p>
        </w:tc>
        <w:tc>
          <w:tcPr>
            <w:tcW w:w="2835" w:type="dxa"/>
            <w:vAlign w:val="center"/>
          </w:tcPr>
          <w:p>
            <w:pPr>
              <w:pStyle w:val="16"/>
            </w:pPr>
            <w:r>
              <w:t>视察调研报告反映的民生发展难题解决情况</w:t>
            </w:r>
          </w:p>
        </w:tc>
        <w:tc>
          <w:tcPr>
            <w:tcW w:w="2551" w:type="dxa"/>
            <w:vAlign w:val="center"/>
          </w:tcPr>
          <w:p>
            <w:pPr>
              <w:pStyle w:val="16"/>
            </w:pPr>
            <w:r>
              <w:t>≥92%</w:t>
            </w:r>
          </w:p>
        </w:tc>
        <w:tc>
          <w:tcPr>
            <w:tcW w:w="2268" w:type="dxa"/>
            <w:vAlign w:val="center"/>
          </w:tcPr>
          <w:p>
            <w:pPr>
              <w:pStyle w:val="16"/>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政协委员对视察调研的满意度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3、推动书画产业升级绩效目标表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1.传承和弘扬中华优秀传统文化，继承革命文化，方针社会主义先进文化，弘扬民主精神和时代精神，结合我县实际情况，推进发展书画产业发</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参加人数</w:t>
            </w:r>
          </w:p>
        </w:tc>
        <w:tc>
          <w:tcPr>
            <w:tcW w:w="2835" w:type="dxa"/>
            <w:vAlign w:val="center"/>
          </w:tcPr>
          <w:p>
            <w:pPr>
              <w:pStyle w:val="16"/>
            </w:pPr>
            <w:r>
              <w:t>参加书画研讨活动的人数</w:t>
            </w:r>
          </w:p>
        </w:tc>
        <w:tc>
          <w:tcPr>
            <w:tcW w:w="2551" w:type="dxa"/>
            <w:vAlign w:val="center"/>
          </w:tcPr>
          <w:p>
            <w:pPr>
              <w:pStyle w:val="16"/>
            </w:pPr>
            <w:r>
              <w:t>≥80人</w:t>
            </w:r>
          </w:p>
        </w:tc>
        <w:tc>
          <w:tcPr>
            <w:tcW w:w="2268" w:type="dxa"/>
            <w:vAlign w:val="center"/>
          </w:tcPr>
          <w:p>
            <w:pPr>
              <w:pStyle w:val="16"/>
            </w:pPr>
            <w:r>
              <w:t>政协章程和中央省委有关要求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出勤率</w:t>
            </w:r>
          </w:p>
        </w:tc>
        <w:tc>
          <w:tcPr>
            <w:tcW w:w="2835" w:type="dxa"/>
            <w:vAlign w:val="center"/>
          </w:tcPr>
          <w:p>
            <w:pPr>
              <w:pStyle w:val="16"/>
            </w:pPr>
            <w:r>
              <w:t>参加书画研讨活动的人员出勤情况</w:t>
            </w:r>
          </w:p>
        </w:tc>
        <w:tc>
          <w:tcPr>
            <w:tcW w:w="2551" w:type="dxa"/>
            <w:vAlign w:val="center"/>
          </w:tcPr>
          <w:p>
            <w:pPr>
              <w:pStyle w:val="16"/>
            </w:pPr>
            <w:r>
              <w:t>≥98%</w:t>
            </w:r>
          </w:p>
        </w:tc>
        <w:tc>
          <w:tcPr>
            <w:tcW w:w="2268" w:type="dxa"/>
            <w:vAlign w:val="center"/>
          </w:tcPr>
          <w:p>
            <w:pPr>
              <w:pStyle w:val="16"/>
            </w:pPr>
            <w:r>
              <w:t>政协章程和中央省委有关要求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年初制定研讨活动按期完成情况</w:t>
            </w:r>
          </w:p>
        </w:tc>
        <w:tc>
          <w:tcPr>
            <w:tcW w:w="2551" w:type="dxa"/>
            <w:vAlign w:val="center"/>
          </w:tcPr>
          <w:p>
            <w:pPr>
              <w:pStyle w:val="16"/>
            </w:pPr>
            <w:r>
              <w:t>100%</w:t>
            </w:r>
          </w:p>
        </w:tc>
        <w:tc>
          <w:tcPr>
            <w:tcW w:w="2268" w:type="dxa"/>
            <w:vAlign w:val="center"/>
          </w:tcPr>
          <w:p>
            <w:pPr>
              <w:pStyle w:val="16"/>
            </w:pPr>
            <w:r>
              <w:t>政协章程和中央省委有关要求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资金控制数</w:t>
            </w:r>
          </w:p>
        </w:tc>
        <w:tc>
          <w:tcPr>
            <w:tcW w:w="2835" w:type="dxa"/>
            <w:vAlign w:val="center"/>
          </w:tcPr>
          <w:p>
            <w:pPr>
              <w:pStyle w:val="16"/>
            </w:pPr>
            <w:r>
              <w:t>年初财政预算资金控制数</w:t>
            </w:r>
          </w:p>
        </w:tc>
        <w:tc>
          <w:tcPr>
            <w:tcW w:w="2551" w:type="dxa"/>
            <w:vAlign w:val="center"/>
          </w:tcPr>
          <w:p>
            <w:pPr>
              <w:pStyle w:val="16"/>
            </w:pPr>
            <w:r>
              <w:t>≤9万元</w:t>
            </w:r>
          </w:p>
        </w:tc>
        <w:tc>
          <w:tcPr>
            <w:tcW w:w="2268" w:type="dxa"/>
            <w:vAlign w:val="center"/>
          </w:tcPr>
          <w:p>
            <w:pPr>
              <w:pStyle w:val="16"/>
            </w:pPr>
            <w:r>
              <w:t>政协章程和中央省委有关要求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新增从业人员率</w:t>
            </w:r>
          </w:p>
        </w:tc>
        <w:tc>
          <w:tcPr>
            <w:tcW w:w="2835" w:type="dxa"/>
            <w:vAlign w:val="center"/>
          </w:tcPr>
          <w:p>
            <w:pPr>
              <w:pStyle w:val="16"/>
            </w:pPr>
            <w:r>
              <w:t>新增文化产业产业人员数量</w:t>
            </w:r>
          </w:p>
        </w:tc>
        <w:tc>
          <w:tcPr>
            <w:tcW w:w="2551" w:type="dxa"/>
            <w:vAlign w:val="center"/>
          </w:tcPr>
          <w:p>
            <w:pPr>
              <w:pStyle w:val="16"/>
            </w:pPr>
            <w:r>
              <w:t>≥50人</w:t>
            </w:r>
          </w:p>
        </w:tc>
        <w:tc>
          <w:tcPr>
            <w:tcW w:w="2268" w:type="dxa"/>
            <w:vAlign w:val="center"/>
          </w:tcPr>
          <w:p>
            <w:pPr>
              <w:pStyle w:val="16"/>
            </w:pPr>
            <w:r>
              <w:t>政协章程和中央省委有关要求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文化生活率</w:t>
            </w:r>
          </w:p>
        </w:tc>
        <w:tc>
          <w:tcPr>
            <w:tcW w:w="2835" w:type="dxa"/>
            <w:vAlign w:val="center"/>
          </w:tcPr>
          <w:p>
            <w:pPr>
              <w:pStyle w:val="16"/>
            </w:pPr>
            <w:r>
              <w:t>丰富群众文化生活率</w:t>
            </w:r>
          </w:p>
        </w:tc>
        <w:tc>
          <w:tcPr>
            <w:tcW w:w="2551" w:type="dxa"/>
            <w:vAlign w:val="center"/>
          </w:tcPr>
          <w:p>
            <w:pPr>
              <w:pStyle w:val="16"/>
            </w:pPr>
            <w:r>
              <w:t>≥96%</w:t>
            </w:r>
          </w:p>
        </w:tc>
        <w:tc>
          <w:tcPr>
            <w:tcW w:w="2268" w:type="dxa"/>
            <w:vAlign w:val="center"/>
          </w:tcPr>
          <w:p>
            <w:pPr>
              <w:pStyle w:val="16"/>
            </w:pPr>
            <w:r>
              <w:t>政协章程和中央省委有关要求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提高受益人口数量</w:t>
            </w:r>
          </w:p>
        </w:tc>
        <w:tc>
          <w:tcPr>
            <w:tcW w:w="2835" w:type="dxa"/>
            <w:vAlign w:val="center"/>
          </w:tcPr>
          <w:p>
            <w:pPr>
              <w:pStyle w:val="16"/>
            </w:pPr>
            <w:r>
              <w:t>受益人口达标率</w:t>
            </w:r>
          </w:p>
        </w:tc>
        <w:tc>
          <w:tcPr>
            <w:tcW w:w="2551" w:type="dxa"/>
            <w:vAlign w:val="center"/>
          </w:tcPr>
          <w:p>
            <w:pPr>
              <w:pStyle w:val="16"/>
            </w:pPr>
            <w:r>
              <w:t>显著提高</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获奖增长率</w:t>
            </w:r>
          </w:p>
        </w:tc>
        <w:tc>
          <w:tcPr>
            <w:tcW w:w="2835" w:type="dxa"/>
            <w:vAlign w:val="center"/>
          </w:tcPr>
          <w:p>
            <w:pPr>
              <w:pStyle w:val="16"/>
            </w:pPr>
            <w:r>
              <w:t>参加书画比赛获奖人数增长情况</w:t>
            </w:r>
          </w:p>
        </w:tc>
        <w:tc>
          <w:tcPr>
            <w:tcW w:w="2551" w:type="dxa"/>
            <w:vAlign w:val="center"/>
          </w:tcPr>
          <w:p>
            <w:pPr>
              <w:pStyle w:val="16"/>
            </w:pPr>
            <w:r>
              <w:t>≥10%</w:t>
            </w:r>
          </w:p>
        </w:tc>
        <w:tc>
          <w:tcPr>
            <w:tcW w:w="2268" w:type="dxa"/>
            <w:vAlign w:val="center"/>
          </w:tcPr>
          <w:p>
            <w:pPr>
              <w:pStyle w:val="16"/>
            </w:pPr>
            <w:r>
              <w:t>与上年获奖人数比率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满意率</w:t>
            </w:r>
          </w:p>
        </w:tc>
        <w:tc>
          <w:tcPr>
            <w:tcW w:w="2835" w:type="dxa"/>
            <w:vAlign w:val="center"/>
          </w:tcPr>
          <w:p>
            <w:pPr>
              <w:pStyle w:val="16"/>
            </w:pPr>
            <w:r>
              <w:t>受益群众满意率</w:t>
            </w:r>
          </w:p>
        </w:tc>
        <w:tc>
          <w:tcPr>
            <w:tcW w:w="2551" w:type="dxa"/>
            <w:vAlign w:val="center"/>
          </w:tcPr>
          <w:p>
            <w:pPr>
              <w:pStyle w:val="16"/>
            </w:pPr>
            <w:r>
              <w:t>≥95%</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4、委员学习、提案办理绩效目标表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1.组织委员学习，提高能力素质增强委员意识，做到懂政协、会协商、善议政</w:t>
            </w:r>
          </w:p>
          <w:p>
            <w:pPr>
              <w:pStyle w:val="16"/>
            </w:pPr>
            <w:r>
              <w:t>2.完善提案审查、办理和反馈机制，做到政协提案更加规范，制度更加完善，提案质量和办理质量不断提高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参加学习认识</w:t>
            </w:r>
          </w:p>
        </w:tc>
        <w:tc>
          <w:tcPr>
            <w:tcW w:w="2835" w:type="dxa"/>
            <w:vAlign w:val="center"/>
          </w:tcPr>
          <w:p>
            <w:pPr>
              <w:pStyle w:val="16"/>
            </w:pPr>
            <w:r>
              <w:t>参加培训学习的委员人数</w:t>
            </w:r>
          </w:p>
        </w:tc>
        <w:tc>
          <w:tcPr>
            <w:tcW w:w="2551" w:type="dxa"/>
            <w:vAlign w:val="center"/>
          </w:tcPr>
          <w:p>
            <w:pPr>
              <w:pStyle w:val="16"/>
            </w:pPr>
            <w:r>
              <w:t>≥800人次</w:t>
            </w:r>
          </w:p>
        </w:tc>
        <w:tc>
          <w:tcPr>
            <w:tcW w:w="2268" w:type="dxa"/>
            <w:vAlign w:val="center"/>
          </w:tcPr>
          <w:p>
            <w:pPr>
              <w:pStyle w:val="16"/>
            </w:pPr>
            <w:r>
              <w:t>政协章程和中央省委有关文件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签到率</w:t>
            </w:r>
          </w:p>
        </w:tc>
        <w:tc>
          <w:tcPr>
            <w:tcW w:w="2835" w:type="dxa"/>
            <w:vAlign w:val="center"/>
          </w:tcPr>
          <w:p>
            <w:pPr>
              <w:pStyle w:val="16"/>
            </w:pPr>
            <w:r>
              <w:t>参加培训学习的委员签到情况</w:t>
            </w:r>
          </w:p>
        </w:tc>
        <w:tc>
          <w:tcPr>
            <w:tcW w:w="2551" w:type="dxa"/>
            <w:vAlign w:val="center"/>
          </w:tcPr>
          <w:p>
            <w:pPr>
              <w:pStyle w:val="16"/>
            </w:pPr>
            <w:r>
              <w:t>≥98%</w:t>
            </w:r>
          </w:p>
        </w:tc>
        <w:tc>
          <w:tcPr>
            <w:tcW w:w="2268" w:type="dxa"/>
            <w:vAlign w:val="center"/>
          </w:tcPr>
          <w:p>
            <w:pPr>
              <w:pStyle w:val="16"/>
            </w:pPr>
            <w:r>
              <w:t>政协章程和中央省委有关文件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任务完成时间</w:t>
            </w:r>
          </w:p>
        </w:tc>
        <w:tc>
          <w:tcPr>
            <w:tcW w:w="2835" w:type="dxa"/>
            <w:vAlign w:val="center"/>
          </w:tcPr>
          <w:p>
            <w:pPr>
              <w:pStyle w:val="16"/>
            </w:pPr>
            <w:r>
              <w:t>培训学习的完成时间</w:t>
            </w:r>
          </w:p>
        </w:tc>
        <w:tc>
          <w:tcPr>
            <w:tcW w:w="2551" w:type="dxa"/>
            <w:vAlign w:val="center"/>
          </w:tcPr>
          <w:p>
            <w:pPr>
              <w:pStyle w:val="16"/>
            </w:pPr>
            <w:r>
              <w:t>每季度末前</w:t>
            </w:r>
          </w:p>
        </w:tc>
        <w:tc>
          <w:tcPr>
            <w:tcW w:w="2268" w:type="dxa"/>
            <w:vAlign w:val="center"/>
          </w:tcPr>
          <w:p>
            <w:pPr>
              <w:pStyle w:val="16"/>
            </w:pPr>
            <w:r>
              <w:t>政协章程和中央省委有关文件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资金控制数</w:t>
            </w:r>
          </w:p>
        </w:tc>
        <w:tc>
          <w:tcPr>
            <w:tcW w:w="2835" w:type="dxa"/>
            <w:vAlign w:val="center"/>
          </w:tcPr>
          <w:p>
            <w:pPr>
              <w:pStyle w:val="16"/>
            </w:pPr>
            <w:r>
              <w:t>财政预算资金控制数</w:t>
            </w:r>
          </w:p>
        </w:tc>
        <w:tc>
          <w:tcPr>
            <w:tcW w:w="2551" w:type="dxa"/>
            <w:vAlign w:val="center"/>
          </w:tcPr>
          <w:p>
            <w:pPr>
              <w:pStyle w:val="16"/>
            </w:pPr>
            <w:r>
              <w:t>≤19万元</w:t>
            </w:r>
          </w:p>
        </w:tc>
        <w:tc>
          <w:tcPr>
            <w:tcW w:w="2268" w:type="dxa"/>
            <w:vAlign w:val="center"/>
          </w:tcPr>
          <w:p>
            <w:pPr>
              <w:pStyle w:val="16"/>
            </w:pPr>
            <w:r>
              <w:t>政协章程和中央省委有关文件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民生发展关注率</w:t>
            </w:r>
          </w:p>
        </w:tc>
        <w:tc>
          <w:tcPr>
            <w:tcW w:w="2835" w:type="dxa"/>
            <w:vAlign w:val="center"/>
          </w:tcPr>
          <w:p>
            <w:pPr>
              <w:pStyle w:val="16"/>
            </w:pPr>
            <w:r>
              <w:t>提案办理对民生事业发展的关注情况</w:t>
            </w:r>
          </w:p>
        </w:tc>
        <w:tc>
          <w:tcPr>
            <w:tcW w:w="2551" w:type="dxa"/>
            <w:vAlign w:val="center"/>
          </w:tcPr>
          <w:p>
            <w:pPr>
              <w:pStyle w:val="16"/>
            </w:pPr>
            <w:r>
              <w:t>≥95%</w:t>
            </w:r>
          </w:p>
        </w:tc>
        <w:tc>
          <w:tcPr>
            <w:tcW w:w="2268" w:type="dxa"/>
            <w:vAlign w:val="center"/>
          </w:tcPr>
          <w:p>
            <w:pPr>
              <w:pStyle w:val="16"/>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覆盖率</w:t>
            </w:r>
          </w:p>
        </w:tc>
        <w:tc>
          <w:tcPr>
            <w:tcW w:w="2835" w:type="dxa"/>
            <w:vAlign w:val="center"/>
          </w:tcPr>
          <w:p>
            <w:pPr>
              <w:pStyle w:val="16"/>
            </w:pPr>
            <w:r>
              <w:t>参加培训学习的委员人数占总人数的比率</w:t>
            </w:r>
          </w:p>
        </w:tc>
        <w:tc>
          <w:tcPr>
            <w:tcW w:w="2551" w:type="dxa"/>
            <w:vAlign w:val="center"/>
          </w:tcPr>
          <w:p>
            <w:pPr>
              <w:pStyle w:val="16"/>
            </w:pPr>
            <w:r>
              <w:t>≥99%</w:t>
            </w:r>
          </w:p>
        </w:tc>
        <w:tc>
          <w:tcPr>
            <w:tcW w:w="2268" w:type="dxa"/>
            <w:vAlign w:val="center"/>
          </w:tcPr>
          <w:p>
            <w:pPr>
              <w:pStyle w:val="16"/>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公共服务水平提升情况</w:t>
            </w:r>
          </w:p>
        </w:tc>
        <w:tc>
          <w:tcPr>
            <w:tcW w:w="2835" w:type="dxa"/>
            <w:vAlign w:val="center"/>
          </w:tcPr>
          <w:p>
            <w:pPr>
              <w:pStyle w:val="16"/>
            </w:pPr>
            <w:r>
              <w:t>政协提案对当前公共服务水平提升情况</w:t>
            </w:r>
          </w:p>
        </w:tc>
        <w:tc>
          <w:tcPr>
            <w:tcW w:w="2551" w:type="dxa"/>
            <w:vAlign w:val="center"/>
          </w:tcPr>
          <w:p>
            <w:pPr>
              <w:pStyle w:val="16"/>
            </w:pPr>
            <w:r>
              <w:t>有效提升</w:t>
            </w:r>
          </w:p>
        </w:tc>
        <w:tc>
          <w:tcPr>
            <w:tcW w:w="2268" w:type="dxa"/>
            <w:vAlign w:val="center"/>
          </w:tcPr>
          <w:p>
            <w:pPr>
              <w:pStyle w:val="16"/>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政协委员履职能力</w:t>
            </w:r>
          </w:p>
        </w:tc>
        <w:tc>
          <w:tcPr>
            <w:tcW w:w="2835" w:type="dxa"/>
            <w:vAlign w:val="center"/>
          </w:tcPr>
          <w:p>
            <w:pPr>
              <w:pStyle w:val="16"/>
            </w:pPr>
            <w:r>
              <w:t>通过培训学习提案办理委员履职能力提升情况</w:t>
            </w:r>
          </w:p>
        </w:tc>
        <w:tc>
          <w:tcPr>
            <w:tcW w:w="2551" w:type="dxa"/>
            <w:vAlign w:val="center"/>
          </w:tcPr>
          <w:p>
            <w:pPr>
              <w:pStyle w:val="16"/>
            </w:pPr>
            <w:r>
              <w:t>有效提升</w:t>
            </w:r>
          </w:p>
        </w:tc>
        <w:tc>
          <w:tcPr>
            <w:tcW w:w="2268" w:type="dxa"/>
            <w:vAlign w:val="center"/>
          </w:tcPr>
          <w:p>
            <w:pPr>
              <w:pStyle w:val="16"/>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提案办理委员满意度</w:t>
            </w:r>
          </w:p>
        </w:tc>
        <w:tc>
          <w:tcPr>
            <w:tcW w:w="2551" w:type="dxa"/>
            <w:vAlign w:val="center"/>
          </w:tcPr>
          <w:p>
            <w:pPr>
              <w:pStyle w:val="16"/>
            </w:pPr>
            <w:r>
              <w:t>≥98%</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5、政协全会经费绩效目标表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1.成立工作机构。设立会务、组织、议案、保卫等等工作组，工作明确到组，细化到人</w:t>
            </w:r>
          </w:p>
          <w:p>
            <w:pPr>
              <w:pStyle w:val="16"/>
            </w:pPr>
            <w:r>
              <w:t>2.制度详细的工作方案和计划，抓好会前、会中、会后三个环节</w:t>
            </w:r>
          </w:p>
          <w:p>
            <w:pPr>
              <w:pStyle w:val="16"/>
            </w:pPr>
            <w:r>
              <w:t>3.做好各项服务保障工作，圆满完成会议各项议程</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参会委员人数</w:t>
            </w:r>
          </w:p>
        </w:tc>
        <w:tc>
          <w:tcPr>
            <w:tcW w:w="2835" w:type="dxa"/>
            <w:vAlign w:val="center"/>
          </w:tcPr>
          <w:p>
            <w:pPr>
              <w:pStyle w:val="16"/>
            </w:pPr>
            <w:r>
              <w:t>参加会议的委员人数</w:t>
            </w:r>
          </w:p>
        </w:tc>
        <w:tc>
          <w:tcPr>
            <w:tcW w:w="2551" w:type="dxa"/>
            <w:vAlign w:val="center"/>
          </w:tcPr>
          <w:p>
            <w:pPr>
              <w:pStyle w:val="16"/>
            </w:pPr>
            <w:r>
              <w:t>≥160人</w:t>
            </w:r>
          </w:p>
        </w:tc>
        <w:tc>
          <w:tcPr>
            <w:tcW w:w="2268" w:type="dxa"/>
            <w:vAlign w:val="center"/>
          </w:tcPr>
          <w:p>
            <w:pPr>
              <w:pStyle w:val="16"/>
            </w:pPr>
            <w: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会议议程完成率</w:t>
            </w:r>
          </w:p>
        </w:tc>
        <w:tc>
          <w:tcPr>
            <w:tcW w:w="2835" w:type="dxa"/>
            <w:vAlign w:val="center"/>
          </w:tcPr>
          <w:p>
            <w:pPr>
              <w:pStyle w:val="16"/>
            </w:pPr>
            <w:r>
              <w:t>圆满完成会议各项议程</w:t>
            </w:r>
          </w:p>
        </w:tc>
        <w:tc>
          <w:tcPr>
            <w:tcW w:w="2551" w:type="dxa"/>
            <w:vAlign w:val="center"/>
          </w:tcPr>
          <w:p>
            <w:pPr>
              <w:pStyle w:val="16"/>
            </w:pPr>
            <w:r>
              <w:t>100%</w:t>
            </w:r>
          </w:p>
        </w:tc>
        <w:tc>
          <w:tcPr>
            <w:tcW w:w="2268" w:type="dxa"/>
            <w:vAlign w:val="center"/>
          </w:tcPr>
          <w:p>
            <w:pPr>
              <w:pStyle w:val="16"/>
            </w:pPr>
            <w: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召开会议时间</w:t>
            </w:r>
          </w:p>
        </w:tc>
        <w:tc>
          <w:tcPr>
            <w:tcW w:w="2835" w:type="dxa"/>
            <w:vAlign w:val="center"/>
          </w:tcPr>
          <w:p>
            <w:pPr>
              <w:pStyle w:val="16"/>
            </w:pPr>
            <w:r>
              <w:t>召开政协会议的时间</w:t>
            </w:r>
          </w:p>
        </w:tc>
        <w:tc>
          <w:tcPr>
            <w:tcW w:w="2551" w:type="dxa"/>
            <w:vAlign w:val="center"/>
          </w:tcPr>
          <w:p>
            <w:pPr>
              <w:pStyle w:val="16"/>
            </w:pPr>
            <w:r>
              <w:t>按照政协章程规定时间</w:t>
            </w:r>
          </w:p>
        </w:tc>
        <w:tc>
          <w:tcPr>
            <w:tcW w:w="2268" w:type="dxa"/>
            <w:vAlign w:val="center"/>
          </w:tcPr>
          <w:p>
            <w:pPr>
              <w:pStyle w:val="16"/>
            </w:pPr>
            <w: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召开会议总成本</w:t>
            </w:r>
          </w:p>
        </w:tc>
        <w:tc>
          <w:tcPr>
            <w:tcW w:w="2835" w:type="dxa"/>
            <w:vAlign w:val="center"/>
          </w:tcPr>
          <w:p>
            <w:pPr>
              <w:pStyle w:val="16"/>
            </w:pPr>
            <w:r>
              <w:t>会议费用总支出金额</w:t>
            </w:r>
          </w:p>
        </w:tc>
        <w:tc>
          <w:tcPr>
            <w:tcW w:w="2551" w:type="dxa"/>
            <w:vAlign w:val="center"/>
          </w:tcPr>
          <w:p>
            <w:pPr>
              <w:pStyle w:val="16"/>
            </w:pPr>
            <w:r>
              <w:t>≤25万</w:t>
            </w:r>
          </w:p>
        </w:tc>
        <w:tc>
          <w:tcPr>
            <w:tcW w:w="2268" w:type="dxa"/>
            <w:vAlign w:val="center"/>
          </w:tcPr>
          <w:p>
            <w:pPr>
              <w:pStyle w:val="16"/>
            </w:pPr>
            <w: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提案立案率</w:t>
            </w:r>
          </w:p>
        </w:tc>
        <w:tc>
          <w:tcPr>
            <w:tcW w:w="2835" w:type="dxa"/>
            <w:vAlign w:val="center"/>
          </w:tcPr>
          <w:p>
            <w:pPr>
              <w:pStyle w:val="16"/>
            </w:pPr>
            <w:r>
              <w:t>立案提案占提交提案的比率</w:t>
            </w:r>
          </w:p>
        </w:tc>
        <w:tc>
          <w:tcPr>
            <w:tcW w:w="2551" w:type="dxa"/>
            <w:vAlign w:val="center"/>
          </w:tcPr>
          <w:p>
            <w:pPr>
              <w:pStyle w:val="16"/>
            </w:pPr>
            <w:r>
              <w:t>≥92%</w:t>
            </w:r>
          </w:p>
        </w:tc>
        <w:tc>
          <w:tcPr>
            <w:tcW w:w="2268" w:type="dxa"/>
            <w:vAlign w:val="center"/>
          </w:tcPr>
          <w:p>
            <w:pPr>
              <w:pStyle w:val="16"/>
            </w:pPr>
            <w:r>
              <w:t>政协章程和年初工作计划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委员满意率</w:t>
            </w:r>
          </w:p>
        </w:tc>
        <w:tc>
          <w:tcPr>
            <w:tcW w:w="2835" w:type="dxa"/>
            <w:vAlign w:val="center"/>
          </w:tcPr>
          <w:p>
            <w:pPr>
              <w:pStyle w:val="16"/>
            </w:pPr>
            <w:r>
              <w:t>委员对立案提案办理和答复的满意率</w:t>
            </w:r>
          </w:p>
        </w:tc>
        <w:tc>
          <w:tcPr>
            <w:tcW w:w="2551" w:type="dxa"/>
            <w:vAlign w:val="center"/>
          </w:tcPr>
          <w:p>
            <w:pPr>
              <w:pStyle w:val="16"/>
            </w:pPr>
            <w:r>
              <w:t>≥92%</w:t>
            </w:r>
          </w:p>
        </w:tc>
        <w:tc>
          <w:tcPr>
            <w:tcW w:w="2268" w:type="dxa"/>
            <w:vAlign w:val="center"/>
          </w:tcPr>
          <w:p>
            <w:pPr>
              <w:pStyle w:val="16"/>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受益人口满意率</w:t>
            </w:r>
            <w:r>
              <w:tab/>
            </w:r>
          </w:p>
          <w:p>
            <w:pPr>
              <w:pStyle w:val="16"/>
            </w:pPr>
          </w:p>
        </w:tc>
        <w:tc>
          <w:tcPr>
            <w:tcW w:w="2835" w:type="dxa"/>
            <w:vAlign w:val="center"/>
          </w:tcPr>
          <w:p>
            <w:pPr>
              <w:pStyle w:val="16"/>
            </w:pPr>
            <w:r>
              <w:t>映对良好推进政协工作的可持续性影响</w:t>
            </w:r>
          </w:p>
        </w:tc>
        <w:tc>
          <w:tcPr>
            <w:tcW w:w="2551" w:type="dxa"/>
            <w:vAlign w:val="center"/>
          </w:tcPr>
          <w:p>
            <w:pPr>
              <w:pStyle w:val="16"/>
            </w:pPr>
            <w:r>
              <w:t>影响程度较高</w:t>
            </w:r>
          </w:p>
        </w:tc>
        <w:tc>
          <w:tcPr>
            <w:tcW w:w="2268" w:type="dxa"/>
            <w:vAlign w:val="center"/>
          </w:tcPr>
          <w:p>
            <w:pPr>
              <w:pStyle w:val="16"/>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政协提案满意度</w:t>
            </w:r>
          </w:p>
        </w:tc>
        <w:tc>
          <w:tcPr>
            <w:tcW w:w="2835" w:type="dxa"/>
            <w:vAlign w:val="center"/>
          </w:tcPr>
          <w:p>
            <w:pPr>
              <w:pStyle w:val="16"/>
            </w:pPr>
            <w:r>
              <w:t>调查中满意人数占调查总人数的比率</w:t>
            </w:r>
          </w:p>
        </w:tc>
        <w:tc>
          <w:tcPr>
            <w:tcW w:w="2551" w:type="dxa"/>
            <w:vAlign w:val="center"/>
          </w:tcPr>
          <w:p>
            <w:pPr>
              <w:pStyle w:val="16"/>
            </w:pPr>
            <w:r>
              <w:t>≥92%</w:t>
            </w:r>
          </w:p>
        </w:tc>
        <w:tc>
          <w:tcPr>
            <w:tcW w:w="2268" w:type="dxa"/>
            <w:vAlign w:val="center"/>
          </w:tcPr>
          <w:p>
            <w:pPr>
              <w:pStyle w:val="16"/>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公众满意度</w:t>
            </w:r>
          </w:p>
        </w:tc>
        <w:tc>
          <w:tcPr>
            <w:tcW w:w="2835" w:type="dxa"/>
            <w:vAlign w:val="center"/>
          </w:tcPr>
          <w:p>
            <w:pPr>
              <w:pStyle w:val="16"/>
            </w:pPr>
            <w:r>
              <w:t>调查中满意人数占调查总人数的比率</w:t>
            </w:r>
          </w:p>
        </w:tc>
        <w:tc>
          <w:tcPr>
            <w:tcW w:w="2551" w:type="dxa"/>
            <w:vAlign w:val="center"/>
          </w:tcPr>
          <w:p>
            <w:pPr>
              <w:pStyle w:val="16"/>
            </w:pPr>
            <w:r>
              <w:t>≥92%</w:t>
            </w:r>
          </w:p>
        </w:tc>
        <w:tc>
          <w:tcPr>
            <w:tcW w:w="2268" w:type="dxa"/>
            <w:vAlign w:val="center"/>
          </w:tcPr>
          <w:p>
            <w:pPr>
              <w:pStyle w:val="16"/>
            </w:pPr>
            <w:r>
              <w:t>问询调查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服务对象满意度指标</w:t>
            </w:r>
          </w:p>
        </w:tc>
        <w:tc>
          <w:tcPr>
            <w:tcW w:w="2835" w:type="dxa"/>
            <w:vAlign w:val="center"/>
          </w:tcPr>
          <w:p>
            <w:pPr>
              <w:pStyle w:val="16"/>
            </w:pPr>
            <w:r>
              <w:t>参会委员满意度</w:t>
            </w:r>
          </w:p>
        </w:tc>
        <w:tc>
          <w:tcPr>
            <w:tcW w:w="2835" w:type="dxa"/>
            <w:vAlign w:val="center"/>
          </w:tcPr>
          <w:p>
            <w:pPr>
              <w:pStyle w:val="16"/>
            </w:pPr>
            <w:r>
              <w:t>参会委员对会议议程、会议质量等的满意比率</w:t>
            </w:r>
          </w:p>
        </w:tc>
        <w:tc>
          <w:tcPr>
            <w:tcW w:w="2551" w:type="dxa"/>
            <w:vAlign w:val="center"/>
          </w:tcPr>
          <w:p>
            <w:pPr>
              <w:pStyle w:val="16"/>
            </w:pPr>
            <w:r>
              <w:t>≥95%</w:t>
            </w:r>
          </w:p>
        </w:tc>
        <w:tc>
          <w:tcPr>
            <w:tcW w:w="2268" w:type="dxa"/>
            <w:vAlign w:val="center"/>
          </w:tcPr>
          <w:p>
            <w:pPr>
              <w:pStyle w:val="16"/>
            </w:pPr>
            <w:r>
              <w:t>问询调查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6、综合事务绩效目标表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1.保障县政协履职开展活动的后勤保障工作和机关各种会议、活动、办公的服务工作</w:t>
            </w:r>
          </w:p>
          <w:p>
            <w:pPr>
              <w:pStyle w:val="16"/>
            </w:pPr>
            <w:r>
              <w:t>2.保障机关办公设备的管理、运行和维护和机关接待、离退休人员服务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采购次数</w:t>
            </w:r>
          </w:p>
        </w:tc>
        <w:tc>
          <w:tcPr>
            <w:tcW w:w="2835" w:type="dxa"/>
            <w:vAlign w:val="center"/>
          </w:tcPr>
          <w:p>
            <w:pPr>
              <w:pStyle w:val="16"/>
            </w:pPr>
            <w:r>
              <w:t>政府采购办公用品次数</w:t>
            </w:r>
          </w:p>
        </w:tc>
        <w:tc>
          <w:tcPr>
            <w:tcW w:w="2551" w:type="dxa"/>
            <w:vAlign w:val="center"/>
          </w:tcPr>
          <w:p>
            <w:pPr>
              <w:pStyle w:val="16"/>
            </w:pPr>
            <w:r>
              <w:t>≥18次</w:t>
            </w:r>
          </w:p>
        </w:tc>
        <w:tc>
          <w:tcPr>
            <w:tcW w:w="2268" w:type="dxa"/>
            <w:vAlign w:val="center"/>
          </w:tcPr>
          <w:p>
            <w:pPr>
              <w:pStyle w:val="16"/>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执行率</w:t>
            </w:r>
          </w:p>
        </w:tc>
        <w:tc>
          <w:tcPr>
            <w:tcW w:w="2835" w:type="dxa"/>
            <w:vAlign w:val="center"/>
          </w:tcPr>
          <w:p>
            <w:pPr>
              <w:pStyle w:val="16"/>
            </w:pPr>
            <w:r>
              <w:t>政府采购执行率</w:t>
            </w:r>
          </w:p>
        </w:tc>
        <w:tc>
          <w:tcPr>
            <w:tcW w:w="2551" w:type="dxa"/>
            <w:vAlign w:val="center"/>
          </w:tcPr>
          <w:p>
            <w:pPr>
              <w:pStyle w:val="16"/>
            </w:pPr>
            <w:r>
              <w:t>100%</w:t>
            </w:r>
          </w:p>
        </w:tc>
        <w:tc>
          <w:tcPr>
            <w:tcW w:w="2268" w:type="dxa"/>
            <w:vAlign w:val="center"/>
          </w:tcPr>
          <w:p>
            <w:pPr>
              <w:pStyle w:val="16"/>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综合事务管理工作完成情况占年度工作的比率</w:t>
            </w:r>
          </w:p>
        </w:tc>
        <w:tc>
          <w:tcPr>
            <w:tcW w:w="2551" w:type="dxa"/>
            <w:vAlign w:val="center"/>
          </w:tcPr>
          <w:p>
            <w:pPr>
              <w:pStyle w:val="16"/>
            </w:pPr>
            <w:r>
              <w:t>≥100%</w:t>
            </w:r>
          </w:p>
        </w:tc>
        <w:tc>
          <w:tcPr>
            <w:tcW w:w="2268" w:type="dxa"/>
            <w:vAlign w:val="center"/>
          </w:tcPr>
          <w:p>
            <w:pPr>
              <w:pStyle w:val="16"/>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年度预算数</w:t>
            </w:r>
          </w:p>
        </w:tc>
        <w:tc>
          <w:tcPr>
            <w:tcW w:w="2835" w:type="dxa"/>
            <w:vAlign w:val="center"/>
          </w:tcPr>
          <w:p>
            <w:pPr>
              <w:pStyle w:val="16"/>
            </w:pPr>
            <w:r>
              <w:t>本年度财政预算数</w:t>
            </w:r>
          </w:p>
        </w:tc>
        <w:tc>
          <w:tcPr>
            <w:tcW w:w="2551" w:type="dxa"/>
            <w:vAlign w:val="center"/>
          </w:tcPr>
          <w:p>
            <w:pPr>
              <w:pStyle w:val="16"/>
            </w:pPr>
            <w:r>
              <w:t>≤24万元</w:t>
            </w:r>
          </w:p>
        </w:tc>
        <w:tc>
          <w:tcPr>
            <w:tcW w:w="2268" w:type="dxa"/>
            <w:vAlign w:val="center"/>
          </w:tcPr>
          <w:p>
            <w:pPr>
              <w:pStyle w:val="16"/>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完成率</w:t>
            </w:r>
          </w:p>
        </w:tc>
        <w:tc>
          <w:tcPr>
            <w:tcW w:w="2835" w:type="dxa"/>
            <w:vAlign w:val="center"/>
          </w:tcPr>
          <w:p>
            <w:pPr>
              <w:pStyle w:val="16"/>
            </w:pPr>
            <w:r>
              <w:t>本年度机关重点工作完成情况</w:t>
            </w:r>
          </w:p>
        </w:tc>
        <w:tc>
          <w:tcPr>
            <w:tcW w:w="2551" w:type="dxa"/>
            <w:vAlign w:val="center"/>
          </w:tcPr>
          <w:p>
            <w:pPr>
              <w:pStyle w:val="16"/>
            </w:pPr>
            <w:r>
              <w:t>100%</w:t>
            </w:r>
          </w:p>
        </w:tc>
        <w:tc>
          <w:tcPr>
            <w:tcW w:w="2268" w:type="dxa"/>
            <w:vAlign w:val="center"/>
          </w:tcPr>
          <w:p>
            <w:pPr>
              <w:pStyle w:val="16"/>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政协机关业务保障能力提升情况</w:t>
            </w:r>
          </w:p>
        </w:tc>
        <w:tc>
          <w:tcPr>
            <w:tcW w:w="2551" w:type="dxa"/>
            <w:vAlign w:val="center"/>
          </w:tcPr>
          <w:p>
            <w:pPr>
              <w:pStyle w:val="16"/>
            </w:pPr>
            <w:r>
              <w:t>有效提升</w:t>
            </w:r>
          </w:p>
        </w:tc>
        <w:tc>
          <w:tcPr>
            <w:tcW w:w="2268" w:type="dxa"/>
            <w:vAlign w:val="center"/>
          </w:tcPr>
          <w:p>
            <w:pPr>
              <w:pStyle w:val="16"/>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公共服务水平</w:t>
            </w:r>
          </w:p>
        </w:tc>
        <w:tc>
          <w:tcPr>
            <w:tcW w:w="2835" w:type="dxa"/>
            <w:vAlign w:val="center"/>
          </w:tcPr>
          <w:p>
            <w:pPr>
              <w:pStyle w:val="16"/>
            </w:pPr>
            <w:r>
              <w:t>政协机关公共服务水平提升情况</w:t>
            </w:r>
          </w:p>
        </w:tc>
        <w:tc>
          <w:tcPr>
            <w:tcW w:w="2551" w:type="dxa"/>
            <w:vAlign w:val="center"/>
          </w:tcPr>
          <w:p>
            <w:pPr>
              <w:pStyle w:val="16"/>
            </w:pPr>
            <w:r>
              <w:t>有效提升</w:t>
            </w:r>
          </w:p>
        </w:tc>
        <w:tc>
          <w:tcPr>
            <w:tcW w:w="2268" w:type="dxa"/>
            <w:vAlign w:val="center"/>
          </w:tcPr>
          <w:p>
            <w:pPr>
              <w:pStyle w:val="16"/>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可持续影响力</w:t>
            </w:r>
          </w:p>
        </w:tc>
        <w:tc>
          <w:tcPr>
            <w:tcW w:w="2835" w:type="dxa"/>
            <w:vAlign w:val="center"/>
          </w:tcPr>
          <w:p>
            <w:pPr>
              <w:pStyle w:val="16"/>
            </w:pPr>
            <w:r>
              <w:t>常态化推进机关各项工作任务完成情况</w:t>
            </w:r>
          </w:p>
        </w:tc>
        <w:tc>
          <w:tcPr>
            <w:tcW w:w="2551" w:type="dxa"/>
            <w:vAlign w:val="center"/>
          </w:tcPr>
          <w:p>
            <w:pPr>
              <w:pStyle w:val="16"/>
            </w:pPr>
            <w:r>
              <w:t>部门工作正常可持续运转</w:t>
            </w:r>
          </w:p>
        </w:tc>
        <w:tc>
          <w:tcPr>
            <w:tcW w:w="2268" w:type="dxa"/>
            <w:vAlign w:val="center"/>
          </w:tcPr>
          <w:p>
            <w:pPr>
              <w:pStyle w:val="16"/>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政协机关干部职工满意度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7、综合业务绩效目标表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1.综合业务的工作要求是为政协中心服务，为政协委员服务，为业务工作和机关干部职工服务，充分运用经费、资产等后勤资源，加强管理，提升服务水平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采购数量</w:t>
            </w:r>
          </w:p>
        </w:tc>
        <w:tc>
          <w:tcPr>
            <w:tcW w:w="2835" w:type="dxa"/>
            <w:vAlign w:val="center"/>
          </w:tcPr>
          <w:p>
            <w:pPr>
              <w:pStyle w:val="16"/>
            </w:pPr>
            <w:r>
              <w:t>采购机关办公用品数量</w:t>
            </w:r>
          </w:p>
        </w:tc>
        <w:tc>
          <w:tcPr>
            <w:tcW w:w="2551" w:type="dxa"/>
            <w:vAlign w:val="center"/>
          </w:tcPr>
          <w:p>
            <w:pPr>
              <w:pStyle w:val="16"/>
            </w:pPr>
            <w:r>
              <w:t>≥50件</w:t>
            </w:r>
          </w:p>
        </w:tc>
        <w:tc>
          <w:tcPr>
            <w:tcW w:w="2268" w:type="dxa"/>
            <w:vAlign w:val="center"/>
          </w:tcPr>
          <w:p>
            <w:pPr>
              <w:pStyle w:val="16"/>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政府采购率</w:t>
            </w:r>
          </w:p>
        </w:tc>
        <w:tc>
          <w:tcPr>
            <w:tcW w:w="2835" w:type="dxa"/>
            <w:vAlign w:val="center"/>
          </w:tcPr>
          <w:p>
            <w:pPr>
              <w:pStyle w:val="16"/>
            </w:pPr>
            <w:r>
              <w:t>政府公务采购率</w:t>
            </w:r>
          </w:p>
        </w:tc>
        <w:tc>
          <w:tcPr>
            <w:tcW w:w="2551" w:type="dxa"/>
            <w:vAlign w:val="center"/>
          </w:tcPr>
          <w:p>
            <w:pPr>
              <w:pStyle w:val="16"/>
            </w:pPr>
            <w:r>
              <w:t>100%</w:t>
            </w:r>
          </w:p>
        </w:tc>
        <w:tc>
          <w:tcPr>
            <w:tcW w:w="2268" w:type="dxa"/>
            <w:vAlign w:val="center"/>
          </w:tcPr>
          <w:p>
            <w:pPr>
              <w:pStyle w:val="16"/>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及时率</w:t>
            </w:r>
          </w:p>
        </w:tc>
        <w:tc>
          <w:tcPr>
            <w:tcW w:w="2835" w:type="dxa"/>
            <w:vAlign w:val="center"/>
          </w:tcPr>
          <w:p>
            <w:pPr>
              <w:pStyle w:val="16"/>
            </w:pPr>
            <w:r>
              <w:t>综合业务管理工作完成情况占年度工作的比率</w:t>
            </w:r>
          </w:p>
        </w:tc>
        <w:tc>
          <w:tcPr>
            <w:tcW w:w="2551" w:type="dxa"/>
            <w:vAlign w:val="center"/>
          </w:tcPr>
          <w:p>
            <w:pPr>
              <w:pStyle w:val="16"/>
            </w:pPr>
            <w:r>
              <w:t>≥100%</w:t>
            </w:r>
          </w:p>
        </w:tc>
        <w:tc>
          <w:tcPr>
            <w:tcW w:w="2268" w:type="dxa"/>
            <w:vAlign w:val="center"/>
          </w:tcPr>
          <w:p>
            <w:pPr>
              <w:pStyle w:val="16"/>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总成本</w:t>
            </w:r>
          </w:p>
        </w:tc>
        <w:tc>
          <w:tcPr>
            <w:tcW w:w="2835" w:type="dxa"/>
            <w:vAlign w:val="center"/>
          </w:tcPr>
          <w:p>
            <w:pPr>
              <w:pStyle w:val="16"/>
            </w:pPr>
            <w:r>
              <w:t>本年度财政预算数</w:t>
            </w:r>
          </w:p>
        </w:tc>
        <w:tc>
          <w:tcPr>
            <w:tcW w:w="2551" w:type="dxa"/>
            <w:vAlign w:val="center"/>
          </w:tcPr>
          <w:p>
            <w:pPr>
              <w:pStyle w:val="16"/>
            </w:pPr>
            <w:r>
              <w:t>≤24万元</w:t>
            </w:r>
          </w:p>
        </w:tc>
        <w:tc>
          <w:tcPr>
            <w:tcW w:w="2268" w:type="dxa"/>
            <w:vAlign w:val="center"/>
          </w:tcPr>
          <w:p>
            <w:pPr>
              <w:pStyle w:val="16"/>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公众满意度</w:t>
            </w:r>
          </w:p>
        </w:tc>
        <w:tc>
          <w:tcPr>
            <w:tcW w:w="2835" w:type="dxa"/>
            <w:vAlign w:val="center"/>
          </w:tcPr>
          <w:p>
            <w:pPr>
              <w:pStyle w:val="16"/>
            </w:pPr>
            <w:r>
              <w:t>群众对政协工作的认知度</w:t>
            </w:r>
          </w:p>
        </w:tc>
        <w:tc>
          <w:tcPr>
            <w:tcW w:w="2551" w:type="dxa"/>
            <w:vAlign w:val="center"/>
          </w:tcPr>
          <w:p>
            <w:pPr>
              <w:pStyle w:val="16"/>
            </w:pPr>
            <w:r>
              <w:t>≥95%</w:t>
            </w:r>
          </w:p>
        </w:tc>
        <w:tc>
          <w:tcPr>
            <w:tcW w:w="2268" w:type="dxa"/>
            <w:vAlign w:val="center"/>
          </w:tcPr>
          <w:p>
            <w:pPr>
              <w:pStyle w:val="16"/>
            </w:pPr>
            <w: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业务保障能力</w:t>
            </w:r>
          </w:p>
        </w:tc>
        <w:tc>
          <w:tcPr>
            <w:tcW w:w="2835" w:type="dxa"/>
            <w:vAlign w:val="center"/>
          </w:tcPr>
          <w:p>
            <w:pPr>
              <w:pStyle w:val="16"/>
            </w:pPr>
            <w:r>
              <w:t>政协机关业务保障能力提升情况</w:t>
            </w:r>
          </w:p>
        </w:tc>
        <w:tc>
          <w:tcPr>
            <w:tcW w:w="2551" w:type="dxa"/>
            <w:vAlign w:val="center"/>
          </w:tcPr>
          <w:p>
            <w:pPr>
              <w:pStyle w:val="16"/>
            </w:pPr>
            <w:r>
              <w:t>有效提升</w:t>
            </w:r>
          </w:p>
        </w:tc>
        <w:tc>
          <w:tcPr>
            <w:tcW w:w="2268" w:type="dxa"/>
            <w:vAlign w:val="center"/>
          </w:tcPr>
          <w:p>
            <w:pPr>
              <w:pStyle w:val="16"/>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社会效益指标</w:t>
            </w:r>
          </w:p>
        </w:tc>
        <w:tc>
          <w:tcPr>
            <w:tcW w:w="2835" w:type="dxa"/>
            <w:vAlign w:val="center"/>
          </w:tcPr>
          <w:p>
            <w:pPr>
              <w:pStyle w:val="16"/>
            </w:pPr>
            <w:r>
              <w:t>公共服务水平</w:t>
            </w:r>
          </w:p>
        </w:tc>
        <w:tc>
          <w:tcPr>
            <w:tcW w:w="2835" w:type="dxa"/>
            <w:vAlign w:val="center"/>
          </w:tcPr>
          <w:p>
            <w:pPr>
              <w:pStyle w:val="16"/>
            </w:pPr>
            <w:r>
              <w:t>政协机关公共服务保障能力提升情况</w:t>
            </w:r>
          </w:p>
        </w:tc>
        <w:tc>
          <w:tcPr>
            <w:tcW w:w="2551" w:type="dxa"/>
            <w:vAlign w:val="center"/>
          </w:tcPr>
          <w:p>
            <w:pPr>
              <w:pStyle w:val="16"/>
            </w:pPr>
            <w:r>
              <w:t>有效提升</w:t>
            </w:r>
          </w:p>
        </w:tc>
        <w:tc>
          <w:tcPr>
            <w:tcW w:w="2268" w:type="dxa"/>
            <w:vAlign w:val="center"/>
          </w:tcPr>
          <w:p>
            <w:pPr>
              <w:pStyle w:val="16"/>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可持续影响指标</w:t>
            </w:r>
          </w:p>
        </w:tc>
        <w:tc>
          <w:tcPr>
            <w:tcW w:w="2835" w:type="dxa"/>
            <w:vAlign w:val="center"/>
          </w:tcPr>
          <w:p>
            <w:pPr>
              <w:pStyle w:val="16"/>
            </w:pPr>
            <w:r>
              <w:t>可持续影响</w:t>
            </w:r>
          </w:p>
        </w:tc>
        <w:tc>
          <w:tcPr>
            <w:tcW w:w="2835" w:type="dxa"/>
            <w:vAlign w:val="center"/>
          </w:tcPr>
          <w:p>
            <w:pPr>
              <w:pStyle w:val="16"/>
            </w:pPr>
            <w:r>
              <w:t>常态化推进各项工作任务</w:t>
            </w:r>
          </w:p>
        </w:tc>
        <w:tc>
          <w:tcPr>
            <w:tcW w:w="2551" w:type="dxa"/>
            <w:vAlign w:val="center"/>
          </w:tcPr>
          <w:p>
            <w:pPr>
              <w:pStyle w:val="16"/>
            </w:pPr>
            <w:r>
              <w:t>部门工作正常可持续运转</w:t>
            </w:r>
          </w:p>
        </w:tc>
        <w:tc>
          <w:tcPr>
            <w:tcW w:w="2268" w:type="dxa"/>
            <w:vAlign w:val="center"/>
          </w:tcPr>
          <w:p>
            <w:pPr>
              <w:pStyle w:val="16"/>
            </w:pPr>
            <w:r>
              <w:t>政协章程和中央省委文件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满意度</w:t>
            </w:r>
          </w:p>
        </w:tc>
        <w:tc>
          <w:tcPr>
            <w:tcW w:w="2835" w:type="dxa"/>
            <w:vAlign w:val="center"/>
          </w:tcPr>
          <w:p>
            <w:pPr>
              <w:pStyle w:val="16"/>
            </w:pPr>
            <w:r>
              <w:t>政协机关干部职工满意度</w:t>
            </w:r>
          </w:p>
        </w:tc>
        <w:tc>
          <w:tcPr>
            <w:tcW w:w="2551" w:type="dxa"/>
            <w:vAlign w:val="center"/>
          </w:tcPr>
          <w:p>
            <w:pPr>
              <w:pStyle w:val="16"/>
            </w:pPr>
            <w:r>
              <w:t>≥96%</w:t>
            </w:r>
          </w:p>
        </w:tc>
        <w:tc>
          <w:tcPr>
            <w:tcW w:w="2268" w:type="dxa"/>
            <w:vAlign w:val="center"/>
          </w:tcPr>
          <w:p>
            <w:pPr>
              <w:pStyle w:val="16"/>
            </w:pPr>
            <w:r>
              <w:t>调查问卷</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2023年，中国人民政治协商会议河北省平乡县委员会安排政府采购预算0.00万元。具体内容见下表。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131中国人民政治协商会议河北省平乡县委员会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中国人民政治协商会议河北省平乡县委员会（含所属单位）上年末固定资产金额为54.00万元（详见下表）。本年度拟购置固定资产总额为0.00万元，已按要求列入政府采购预算，详见政府采购预算表。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rPr>
                <w:rFonts w:hint="eastAsia" w:eastAsia="方正小标宋_GBK"/>
                <w:lang w:eastAsia="zh-CN"/>
              </w:rPr>
            </w:pPr>
            <w:r>
              <w:rPr>
                <w:rFonts w:hint="eastAsia"/>
                <w:lang w:eastAsia="zh-CN"/>
              </w:rPr>
              <w:t>131中国人民政治协商会议河北省平乡县委员会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54.00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2</w:t>
            </w:r>
          </w:p>
        </w:tc>
        <w:tc>
          <w:tcPr>
            <w:tcW w:w="2835" w:type="dxa"/>
            <w:vAlign w:val="center"/>
          </w:tcPr>
          <w:p>
            <w:pPr>
              <w:pStyle w:val="15"/>
            </w:pPr>
            <w:r>
              <w:t>25.58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r>
              <w:t>137</w:t>
            </w:r>
          </w:p>
        </w:tc>
        <w:tc>
          <w:tcPr>
            <w:tcW w:w="2835" w:type="dxa"/>
            <w:vAlign w:val="center"/>
          </w:tcPr>
          <w:p>
            <w:pPr>
              <w:pStyle w:val="15"/>
            </w:pPr>
            <w:r>
              <w:t>28.42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val="en-US" w:eastAsia="zh-CN"/>
        </w:rPr>
        <w:t>县</w:t>
      </w:r>
      <w:r>
        <w:rPr>
          <w:rFonts w:eastAsia="方正仿宋_GBK"/>
          <w:color w:val="000000"/>
          <w:sz w:val="28"/>
        </w:rPr>
        <w:t>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val="en-US" w:eastAsia="zh-CN"/>
        </w:rPr>
        <w:t>县</w:t>
      </w:r>
      <w:r>
        <w:rPr>
          <w:rFonts w:eastAsia="方正仿宋_GBK"/>
          <w:color w:val="000000"/>
          <w:sz w:val="28"/>
        </w:rPr>
        <w:t>级财政预算管理的“三公”经费，是指</w:t>
      </w:r>
      <w:r>
        <w:rPr>
          <w:rFonts w:hint="eastAsia" w:eastAsia="方正仿宋_GBK"/>
          <w:color w:val="000000"/>
          <w:sz w:val="28"/>
          <w:lang w:val="en-US" w:eastAsia="zh-CN"/>
        </w:rPr>
        <w:t>县</w:t>
      </w:r>
      <w:r>
        <w:rPr>
          <w:rFonts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rPr>
          <w:rFonts w:eastAsiaTheme="minorEastAsia"/>
          <w:lang w:eastAsia="zh-CN"/>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w:t>
      </w:r>
      <w:r>
        <w:rPr>
          <w:rFonts w:hint="eastAsia" w:asciiTheme="minorEastAsia" w:hAnsiTheme="minorEastAsia" w:eastAsiaTheme="minorEastAsia"/>
          <w:color w:val="000000"/>
          <w:sz w:val="28"/>
          <w:lang w:eastAsia="zh-CN"/>
        </w:rPr>
        <w:t>项。</w:t>
      </w:r>
    </w:p>
    <w:p>
      <w:pPr>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roman"/>
    <w:pitch w:val="default"/>
    <w:sig w:usb0="00000001" w:usb1="08000000" w:usb2="00000000" w:usb3="00000000" w:csb0="00040000" w:csb1="00000000"/>
  </w:font>
  <w:font w:name="方正小标宋_GBK">
    <w:panose1 w:val="02000000000000000000"/>
    <w:charset w:val="86"/>
    <w:family w:val="roman"/>
    <w:pitch w:val="default"/>
    <w:sig w:usb0="00000001" w:usb1="08000000" w:usb2="00000000" w:usb3="00000000" w:csb0="00040000" w:csb1="00000000"/>
  </w:font>
  <w:font w:name="方正书宋_GBK">
    <w:panose1 w:val="02000000000000000000"/>
    <w:charset w:val="86"/>
    <w:family w:val="roman"/>
    <w:pitch w:val="default"/>
    <w:sig w:usb0="00000001" w:usb1="08000000" w:usb2="00000000" w:usb3="00000000" w:csb0="00040000" w:csb1="00000000"/>
  </w:font>
  <w:font w:name="方正楷体_GBK">
    <w:panose1 w:val="02000000000000000000"/>
    <w:charset w:val="86"/>
    <w:family w:val="roman"/>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eastAsiaTheme="minorEastAsia"/>
        <w:lang w:eastAsia="zh-CN"/>
      </w:rPr>
    </w:pPr>
    <w:r>
      <w:fldChar w:fldCharType="begin"/>
    </w:r>
    <w:r>
      <w:instrText xml:space="preserve">PAGE "page number"</w:instrText>
    </w:r>
    <w:r>
      <w:fldChar w:fldCharType="separate"/>
    </w:r>
    <w:r>
      <w:t>34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true"/>
  <w:bordersDoNotSurroundFooter w:val="tru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mNGE1OTFiZmE3ZDAwMzIxODZhNWQ2NjBjZDUxYjIifQ=="/>
  </w:docVars>
  <w:rsids>
    <w:rsidRoot w:val="00802FF7"/>
    <w:rsid w:val="007A3427"/>
    <w:rsid w:val="00802FF7"/>
    <w:rsid w:val="00A648B3"/>
    <w:rsid w:val="00D443E4"/>
    <w:rsid w:val="00DD0479"/>
    <w:rsid w:val="00F612D1"/>
    <w:rsid w:val="06393BDA"/>
    <w:rsid w:val="09651FDC"/>
    <w:rsid w:val="0BD321B9"/>
    <w:rsid w:val="0D7D7F40"/>
    <w:rsid w:val="197A5770"/>
    <w:rsid w:val="302666FB"/>
    <w:rsid w:val="3350450F"/>
    <w:rsid w:val="336146E2"/>
    <w:rsid w:val="38C53037"/>
    <w:rsid w:val="3FBD0B8A"/>
    <w:rsid w:val="3FE668A5"/>
    <w:rsid w:val="490E2325"/>
    <w:rsid w:val="65023A1B"/>
    <w:rsid w:val="67A2709E"/>
    <w:rsid w:val="74635B79"/>
    <w:rsid w:val="791B6F56"/>
    <w:rsid w:val="7B0757D5"/>
    <w:rsid w:val="7B9177A3"/>
    <w:rsid w:val="FE7534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4"/>
    <w:unhideWhenUsed/>
    <w:qFormat/>
    <w:uiPriority w:val="99"/>
    <w:pPr>
      <w:tabs>
        <w:tab w:val="center" w:pos="4153"/>
        <w:tab w:val="right" w:pos="8306"/>
      </w:tabs>
      <w:snapToGrid w:val="0"/>
    </w:pPr>
    <w:rPr>
      <w:sz w:val="18"/>
      <w:szCs w:val="18"/>
    </w:rPr>
  </w:style>
  <w:style w:type="paragraph" w:styleId="4">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
    <w:name w:val="单元格样式22"/>
    <w:basedOn w:val="1"/>
    <w:qFormat/>
    <w:uiPriority w:val="0"/>
    <w:pPr>
      <w:jc w:val="right"/>
    </w:pPr>
    <w:rPr>
      <w:rFonts w:ascii="方正小标宋_GBK" w:hAnsi="方正小标宋_GBK" w:eastAsia="方正小标宋_GBK" w:cs="方正小标宋_GBK"/>
    </w:rPr>
  </w:style>
  <w:style w:type="paragraph" w:customStyle="1" w:styleId="12">
    <w:name w:val="单元格样式21"/>
    <w:basedOn w:val="1"/>
    <w:qFormat/>
    <w:uiPriority w:val="0"/>
    <w:pPr>
      <w:jc w:val="center"/>
    </w:pPr>
    <w:rPr>
      <w:rFonts w:ascii="方正小标宋_GBK" w:hAnsi="方正小标宋_GBK" w:eastAsia="方正小标宋_GBK" w:cs="方正小标宋_GBK"/>
    </w:rPr>
  </w:style>
  <w:style w:type="paragraph" w:customStyle="1" w:styleId="13">
    <w:name w:val="单元格样式20"/>
    <w:basedOn w:val="1"/>
    <w:qFormat/>
    <w:uiPriority w:val="0"/>
    <w:rPr>
      <w:rFonts w:ascii="方正小标宋_GBK" w:hAnsi="方正小标宋_GBK" w:eastAsia="方正小标宋_GBK" w:cs="方正小标宋_GBK"/>
    </w:rPr>
  </w:style>
  <w:style w:type="paragraph" w:customStyle="1" w:styleId="14">
    <w:name w:val="单元格样式1"/>
    <w:basedOn w:val="1"/>
    <w:qFormat/>
    <w:uiPriority w:val="0"/>
    <w:pPr>
      <w:jc w:val="center"/>
    </w:pPr>
    <w:rPr>
      <w:rFonts w:ascii="方正书宋_GBK" w:hAnsi="方正书宋_GBK" w:eastAsia="方正书宋_GBK" w:cs="方正书宋_GBK"/>
      <w:b/>
      <w:sz w:val="21"/>
    </w:rPr>
  </w:style>
  <w:style w:type="paragraph" w:customStyle="1" w:styleId="15">
    <w:name w:val="单元格样式4"/>
    <w:basedOn w:val="1"/>
    <w:qFormat/>
    <w:uiPriority w:val="0"/>
    <w:pPr>
      <w:jc w:val="right"/>
    </w:pPr>
    <w:rPr>
      <w:rFonts w:ascii="方正书宋_GBK" w:hAnsi="方正书宋_GBK" w:eastAsia="方正书宋_GBK" w:cs="方正书宋_GBK"/>
      <w:sz w:val="21"/>
    </w:rPr>
  </w:style>
  <w:style w:type="paragraph" w:customStyle="1" w:styleId="16">
    <w:name w:val="单元格样式2"/>
    <w:basedOn w:val="1"/>
    <w:qFormat/>
    <w:uiPriority w:val="0"/>
    <w:rPr>
      <w:rFonts w:ascii="方正书宋_GBK" w:hAnsi="方正书宋_GBK" w:eastAsia="方正书宋_GBK" w:cs="方正书宋_GBK"/>
      <w:sz w:val="21"/>
    </w:rPr>
  </w:style>
  <w:style w:type="paragraph" w:customStyle="1" w:styleId="17">
    <w:name w:val="单元格样式3"/>
    <w:basedOn w:val="1"/>
    <w:qFormat/>
    <w:uiPriority w:val="0"/>
    <w:pPr>
      <w:jc w:val="center"/>
    </w:pPr>
    <w:rPr>
      <w:rFonts w:ascii="方正书宋_GBK" w:hAnsi="方正书宋_GBK" w:eastAsia="方正书宋_GBK" w:cs="方正书宋_GBK"/>
      <w:sz w:val="21"/>
    </w:rPr>
  </w:style>
  <w:style w:type="paragraph" w:customStyle="1" w:styleId="18">
    <w:name w:val="单元格样式6"/>
    <w:basedOn w:val="1"/>
    <w:qFormat/>
    <w:uiPriority w:val="0"/>
    <w:pPr>
      <w:jc w:val="center"/>
    </w:pPr>
    <w:rPr>
      <w:rFonts w:ascii="方正书宋_GBK" w:hAnsi="方正书宋_GBK" w:eastAsia="方正书宋_GBK" w:cs="方正书宋_GBK"/>
      <w:b/>
      <w:sz w:val="21"/>
    </w:rPr>
  </w:style>
  <w:style w:type="paragraph" w:customStyle="1" w:styleId="19">
    <w:name w:val="单元格样式7"/>
    <w:basedOn w:val="1"/>
    <w:qFormat/>
    <w:uiPriority w:val="0"/>
    <w:pPr>
      <w:jc w:val="right"/>
    </w:pPr>
    <w:rPr>
      <w:rFonts w:ascii="方正书宋_GBK" w:hAnsi="方正书宋_GBK" w:eastAsia="方正书宋_GBK" w:cs="方正书宋_GBK"/>
      <w:b/>
      <w:sz w:val="21"/>
    </w:rPr>
  </w:style>
  <w:style w:type="paragraph" w:customStyle="1" w:styleId="20">
    <w:name w:val="单元格样式5"/>
    <w:basedOn w:val="1"/>
    <w:qFormat/>
    <w:uiPriority w:val="0"/>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line="500" w:lineRule="exact"/>
      <w:ind w:firstLine="560"/>
    </w:pPr>
    <w:rPr>
      <w:rFonts w:eastAsia="方正仿宋_GBK"/>
      <w:sz w:val="28"/>
    </w:rPr>
  </w:style>
  <w:style w:type="paragraph" w:customStyle="1" w:styleId="22">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3">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4">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5">
    <w:name w:val="插入文本样式-插入总体目标文件"/>
    <w:basedOn w:val="1"/>
    <w:qFormat/>
    <w:uiPriority w:val="0"/>
    <w:pPr>
      <w:spacing w:line="500" w:lineRule="exact"/>
      <w:ind w:firstLine="560"/>
    </w:pPr>
    <w:rPr>
      <w:rFonts w:eastAsia="方正仿宋_GBK"/>
      <w:sz w:val="28"/>
    </w:rPr>
  </w:style>
  <w:style w:type="paragraph" w:customStyle="1" w:styleId="26">
    <w:name w:val="插入文本样式-插入职责分类绩效目标文件"/>
    <w:basedOn w:val="1"/>
    <w:qFormat/>
    <w:uiPriority w:val="0"/>
    <w:pPr>
      <w:spacing w:line="500" w:lineRule="exact"/>
      <w:ind w:firstLine="560"/>
    </w:pPr>
    <w:rPr>
      <w:rFonts w:eastAsia="方正仿宋_GBK"/>
      <w:sz w:val="28"/>
    </w:rPr>
  </w:style>
  <w:style w:type="paragraph" w:customStyle="1" w:styleId="27">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8">
    <w:name w:val="单元格样式23"/>
    <w:basedOn w:val="1"/>
    <w:qFormat/>
    <w:uiPriority w:val="0"/>
    <w:pPr>
      <w:jc w:val="right"/>
    </w:pPr>
    <w:rPr>
      <w:rFonts w:ascii="方正书宋_GBK" w:hAnsi="方正书宋_GBK" w:eastAsia="方正书宋_GBK" w:cs="方正书宋_GBK"/>
    </w:rPr>
  </w:style>
  <w:style w:type="paragraph" w:customStyle="1" w:styleId="29">
    <w:name w:val="插入文本样式-插入单位职责文件"/>
    <w:basedOn w:val="1"/>
    <w:qFormat/>
    <w:uiPriority w:val="0"/>
    <w:pPr>
      <w:spacing w:line="500" w:lineRule="exact"/>
      <w:ind w:firstLine="560"/>
    </w:pPr>
    <w:rPr>
      <w:rFonts w:eastAsia="方正仿宋_GBK"/>
      <w:sz w:val="28"/>
    </w:rPr>
  </w:style>
  <w:style w:type="paragraph" w:customStyle="1" w:styleId="30">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1">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2">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3">
    <w:name w:val="页眉 Char"/>
    <w:basedOn w:val="10"/>
    <w:link w:val="4"/>
    <w:qFormat/>
    <w:uiPriority w:val="99"/>
    <w:rPr>
      <w:rFonts w:eastAsia="Times New Roman"/>
      <w:sz w:val="18"/>
      <w:szCs w:val="18"/>
      <w:lang w:eastAsia="uk-UA"/>
    </w:rPr>
  </w:style>
  <w:style w:type="character" w:customStyle="1" w:styleId="34">
    <w:name w:val="页脚 Char"/>
    <w:basedOn w:val="10"/>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11875</Words>
  <Characters>12977</Characters>
  <Lines>116</Lines>
  <Paragraphs>32</Paragraphs>
  <TotalTime>7</TotalTime>
  <ScaleCrop>false</ScaleCrop>
  <LinksUpToDate>false</LinksUpToDate>
  <CharactersWithSpaces>13129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2023-04-10T17:05:00Z</dcterms:created>
  <dc:creator>Admin</dc:creator>
  <cp:lastModifiedBy>work</cp:lastModifiedBy>
  <dcterms:modified xsi:type="dcterms:W3CDTF">2024-04-30T16:37:28Z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DB646F6AB27A4B16A3BD22338125035C_13</vt:lpwstr>
  </property>
</Properties>
</file>