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i w:val="0"/>
          <w:color w:val="000000"/>
          <w:kern w:val="0"/>
          <w:sz w:val="44"/>
          <w:szCs w:val="44"/>
          <w:u w:val="none"/>
          <w:lang w:val="en-US" w:eastAsia="zh-CN" w:bidi="ar"/>
        </w:rPr>
      </w:pPr>
      <w:r>
        <w:rPr>
          <w:rFonts w:hint="eastAsia" w:ascii="宋体" w:hAnsi="宋体" w:eastAsia="宋体" w:cs="宋体"/>
          <w:b/>
          <w:bCs/>
          <w:i w:val="0"/>
          <w:color w:val="000000"/>
          <w:kern w:val="0"/>
          <w:sz w:val="44"/>
          <w:szCs w:val="44"/>
          <w:u w:val="none"/>
          <w:lang w:val="en-US" w:eastAsia="zh-CN" w:bidi="ar"/>
        </w:rPr>
        <w:t>对政协平乡县第</w:t>
      </w:r>
      <w:r>
        <w:rPr>
          <w:rFonts w:hint="eastAsia" w:ascii="宋体" w:hAnsi="宋体" w:cs="宋体"/>
          <w:b/>
          <w:bCs/>
          <w:i w:val="0"/>
          <w:color w:val="000000"/>
          <w:kern w:val="0"/>
          <w:sz w:val="44"/>
          <w:szCs w:val="44"/>
          <w:u w:val="none"/>
          <w:lang w:val="en-US" w:eastAsia="zh-CN" w:bidi="ar"/>
        </w:rPr>
        <w:t>十</w:t>
      </w:r>
      <w:r>
        <w:rPr>
          <w:rFonts w:hint="eastAsia" w:ascii="宋体" w:hAnsi="宋体" w:eastAsia="宋体" w:cs="宋体"/>
          <w:b/>
          <w:bCs/>
          <w:i w:val="0"/>
          <w:color w:val="000000"/>
          <w:kern w:val="0"/>
          <w:sz w:val="44"/>
          <w:szCs w:val="44"/>
          <w:u w:val="none"/>
          <w:lang w:val="en-US" w:eastAsia="zh-CN" w:bidi="ar"/>
        </w:rPr>
        <w:t>届委员会第</w:t>
      </w:r>
      <w:r>
        <w:rPr>
          <w:rFonts w:hint="eastAsia" w:ascii="宋体" w:hAnsi="宋体" w:cs="宋体"/>
          <w:b/>
          <w:bCs/>
          <w:i w:val="0"/>
          <w:color w:val="000000"/>
          <w:kern w:val="0"/>
          <w:sz w:val="44"/>
          <w:szCs w:val="44"/>
          <w:u w:val="none"/>
          <w:lang w:val="en-US" w:eastAsia="zh-CN" w:bidi="ar"/>
        </w:rPr>
        <w:t>四</w:t>
      </w:r>
      <w:r>
        <w:rPr>
          <w:rFonts w:hint="eastAsia" w:ascii="宋体" w:hAnsi="宋体" w:eastAsia="宋体" w:cs="宋体"/>
          <w:b/>
          <w:bCs/>
          <w:i w:val="0"/>
          <w:color w:val="000000"/>
          <w:kern w:val="0"/>
          <w:sz w:val="44"/>
          <w:szCs w:val="44"/>
          <w:u w:val="none"/>
          <w:lang w:val="en-US" w:eastAsia="zh-CN" w:bidi="ar"/>
        </w:rPr>
        <w:t>次会议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i w:val="0"/>
          <w:color w:val="000000"/>
          <w:kern w:val="0"/>
          <w:sz w:val="44"/>
          <w:szCs w:val="44"/>
          <w:u w:val="none"/>
          <w:lang w:val="en-US" w:eastAsia="zh-CN" w:bidi="ar"/>
        </w:rPr>
      </w:pPr>
      <w:r>
        <w:rPr>
          <w:rFonts w:hint="eastAsia" w:ascii="宋体" w:hAnsi="宋体" w:eastAsia="宋体" w:cs="宋体"/>
          <w:b/>
          <w:bCs/>
          <w:i w:val="0"/>
          <w:color w:val="000000"/>
          <w:kern w:val="0"/>
          <w:sz w:val="44"/>
          <w:szCs w:val="44"/>
          <w:u w:val="none"/>
          <w:lang w:val="en-US" w:eastAsia="zh-CN" w:bidi="ar"/>
        </w:rPr>
        <w:t>第</w:t>
      </w:r>
      <w:r>
        <w:rPr>
          <w:rFonts w:hint="default" w:ascii="宋体" w:hAnsi="宋体" w:cs="宋体"/>
          <w:b/>
          <w:bCs/>
          <w:i w:val="0"/>
          <w:color w:val="000000"/>
          <w:kern w:val="0"/>
          <w:sz w:val="44"/>
          <w:szCs w:val="44"/>
          <w:u w:val="none"/>
          <w:lang w:eastAsia="zh-CN" w:bidi="ar"/>
        </w:rPr>
        <w:t>8</w:t>
      </w:r>
      <w:r>
        <w:rPr>
          <w:rFonts w:hint="eastAsia" w:ascii="宋体" w:hAnsi="宋体" w:cs="宋体"/>
          <w:b/>
          <w:bCs/>
          <w:i w:val="0"/>
          <w:color w:val="000000"/>
          <w:kern w:val="0"/>
          <w:sz w:val="44"/>
          <w:szCs w:val="44"/>
          <w:u w:val="none"/>
          <w:lang w:val="en-US" w:eastAsia="zh-CN" w:bidi="ar"/>
        </w:rPr>
        <w:t>3</w:t>
      </w:r>
      <w:r>
        <w:rPr>
          <w:rFonts w:hint="eastAsia" w:ascii="宋体" w:hAnsi="宋体" w:eastAsia="宋体" w:cs="宋体"/>
          <w:b/>
          <w:bCs/>
          <w:i w:val="0"/>
          <w:color w:val="000000"/>
          <w:kern w:val="0"/>
          <w:sz w:val="44"/>
          <w:szCs w:val="44"/>
          <w:u w:val="none"/>
          <w:lang w:val="en-US" w:eastAsia="zh-CN" w:bidi="ar"/>
        </w:rPr>
        <w:t>号提案的答复</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张建辉委员：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您提出的关于“完善我县自行车和儿童玩具产业链”的提案收悉，现答复如下：</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聚焦全县“自行车名城 新文</w:t>
      </w:r>
      <w:bookmarkStart w:id="0" w:name="_GoBack"/>
      <w:bookmarkEnd w:id="0"/>
      <w:r>
        <w:rPr>
          <w:rFonts w:hint="eastAsia" w:ascii="仿宋" w:hAnsi="仿宋" w:eastAsia="仿宋" w:cs="仿宋"/>
          <w:sz w:val="32"/>
          <w:szCs w:val="32"/>
          <w:lang w:val="en-US" w:eastAsia="zh-CN"/>
        </w:rPr>
        <w:t>旅之乡”的发展定位，我局坚持本地企业培育与引进大项目并举，积极推进“补链、延链、强链”工程，鼓励产业链上下游配套，发展全产业链条，全力推动产业转型升级。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一、培育本地企业数字化、上规模、升档次</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一是搭建自行车（童车）产业智联平台。</w:t>
      </w:r>
      <w:r>
        <w:rPr>
          <w:rFonts w:hint="eastAsia" w:ascii="仿宋_GB2312" w:hAnsi="仿宋_GB2312" w:eastAsia="仿宋_GB2312" w:cs="仿宋_GB2312"/>
          <w:sz w:val="32"/>
          <w:szCs w:val="32"/>
          <w:lang w:val="en-US" w:eastAsia="zh-CN"/>
        </w:rPr>
        <w:t>企业入驻平台后，由智昌集团为企业制定数字化转型方案，帮助企业完成数字化转型。目前，已通过平台完成数字化改造的企业29家。</w:t>
      </w:r>
      <w:r>
        <w:rPr>
          <w:rFonts w:hint="eastAsia" w:ascii="仿宋_GB2312" w:hAnsi="仿宋_GB2312" w:eastAsia="仿宋_GB2312" w:cs="仿宋_GB2312"/>
          <w:b/>
          <w:bCs/>
          <w:sz w:val="32"/>
          <w:szCs w:val="32"/>
          <w:lang w:val="en-US" w:eastAsia="zh-CN"/>
        </w:rPr>
        <w:t>二是实施数字化车间引领。</w:t>
      </w:r>
      <w:r>
        <w:rPr>
          <w:rFonts w:hint="eastAsia" w:ascii="仿宋_GB2312" w:hAnsi="仿宋_GB2312" w:eastAsia="仿宋_GB2312" w:cs="仿宋_GB2312"/>
          <w:sz w:val="32"/>
          <w:szCs w:val="32"/>
          <w:lang w:val="en-US" w:eastAsia="zh-CN"/>
        </w:rPr>
        <w:t>引入自行车、童车延链补链项目，即中科国奥（北京）能源科技有限公司在工业集中区内建设控制器智能化生产线项目，实现无人全自动化生产。打造欧耐、丰维、天大3个数字化车间。</w:t>
      </w:r>
      <w:r>
        <w:rPr>
          <w:rFonts w:hint="eastAsia" w:ascii="仿宋_GB2312" w:hAnsi="仿宋_GB2312" w:eastAsia="仿宋_GB2312" w:cs="仿宋_GB2312"/>
          <w:b/>
          <w:bCs/>
          <w:sz w:val="32"/>
          <w:szCs w:val="32"/>
          <w:lang w:val="en-US" w:eastAsia="zh-CN"/>
        </w:rPr>
        <w:t>三是制定产业数字化改造激励措施。</w:t>
      </w:r>
      <w:r>
        <w:rPr>
          <w:rFonts w:hint="eastAsia" w:ascii="仿宋_GB2312" w:hAnsi="仿宋_GB2312" w:eastAsia="仿宋_GB2312" w:cs="仿宋_GB2312"/>
          <w:spacing w:val="-6"/>
          <w:sz w:val="32"/>
          <w:szCs w:val="32"/>
          <w:lang w:val="en-US" w:eastAsia="zh-CN"/>
        </w:rPr>
        <w:t>在设备级、产线级、企业级三个层面数字化升级进行奖励扶</w:t>
      </w:r>
      <w:r>
        <w:rPr>
          <w:rFonts w:hint="eastAsia" w:ascii="仿宋_GB2312" w:hAnsi="仿宋_GB2312" w:eastAsia="仿宋_GB2312" w:cs="仿宋_GB2312"/>
          <w:sz w:val="32"/>
          <w:szCs w:val="32"/>
          <w:lang w:val="en-US" w:eastAsia="zh-CN"/>
        </w:rPr>
        <w:t>持。</w:t>
      </w:r>
      <w:r>
        <w:rPr>
          <w:rFonts w:hint="eastAsia" w:ascii="仿宋_GB2312" w:hAnsi="仿宋_GB2312" w:eastAsia="仿宋_GB2312" w:cs="仿宋_GB2312"/>
          <w:b/>
          <w:bCs/>
          <w:sz w:val="32"/>
          <w:szCs w:val="32"/>
          <w:lang w:val="en-US" w:eastAsia="zh-CN"/>
        </w:rPr>
        <w:t>四是推进企业上云。</w:t>
      </w:r>
      <w:r>
        <w:rPr>
          <w:rFonts w:hint="eastAsia" w:ascii="仿宋_GB2312" w:hAnsi="仿宋_GB2312" w:eastAsia="仿宋_GB2312" w:cs="仿宋_GB2312"/>
          <w:sz w:val="32"/>
          <w:szCs w:val="32"/>
          <w:lang w:val="en-US" w:eastAsia="zh-CN"/>
        </w:rPr>
        <w:t>截至目前，已有222家企业完成上云，52家企业完成两化融合。</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bCs/>
          <w:color w:val="000000"/>
          <w:kern w:val="2"/>
          <w:sz w:val="32"/>
          <w:szCs w:val="32"/>
          <w:highlight w:val="none"/>
          <w:lang w:val="en-US" w:eastAsia="zh-CN" w:bidi="ar-SA"/>
        </w:rPr>
        <w:t>积极培育优质企业。</w:t>
      </w:r>
      <w:r>
        <w:rPr>
          <w:rFonts w:hint="eastAsia" w:ascii="仿宋_GB2312" w:hAnsi="仿宋_GB2312" w:eastAsia="仿宋_GB2312" w:cs="仿宋_GB2312"/>
          <w:b w:val="0"/>
          <w:bCs w:val="0"/>
          <w:color w:val="000000"/>
          <w:kern w:val="2"/>
          <w:sz w:val="32"/>
          <w:szCs w:val="32"/>
          <w:highlight w:val="none"/>
          <w:lang w:val="en-US" w:eastAsia="zh-CN" w:bidi="ar-SA"/>
        </w:rPr>
        <w:t>认真落实县委、县政府产业发展要求，把培育壮大更多专精特新中小企业作为构建现代化产业体系的重要支柱，在培育和推动“专精特新”企业过程中，实施顶层设计，一线服务，高效推动，对高科技、高质量、高附加值的企业大力支持，对低端企业规范引导向中高端转型。2024年新增省级专精特新中小企业7家，目前累计达28家；新增省级创新型中小企业4家，目前累计50家。拥有领跑者企业1家。</w:t>
      </w:r>
      <w:r>
        <w:rPr>
          <w:rFonts w:hint="eastAsia" w:ascii="仿宋_GB2312" w:hAnsi="仿宋_GB2312" w:eastAsia="仿宋_GB2312" w:cs="仿宋_GB2312"/>
          <w:b/>
          <w:bCs/>
          <w:color w:val="000000"/>
          <w:kern w:val="2"/>
          <w:sz w:val="32"/>
          <w:szCs w:val="32"/>
          <w:highlight w:val="none"/>
          <w:lang w:val="en-US" w:eastAsia="zh-CN" w:bidi="ar-SA"/>
        </w:rPr>
        <w:t>六是积极培育高新技术企业。</w:t>
      </w:r>
      <w:r>
        <w:rPr>
          <w:rFonts w:hint="eastAsia" w:ascii="仿宋_GB2312" w:hAnsi="仿宋_GB2312" w:eastAsia="仿宋_GB2312" w:cs="仿宋_GB2312"/>
          <w:sz w:val="32"/>
          <w:szCs w:val="32"/>
          <w:lang w:val="en-US" w:eastAsia="zh-CN"/>
        </w:rPr>
        <w:t>联合邢台市科学技术局、邢台市创新创业中心、邢台市高新技术企业发展促进会举办“高新技术企业认定培训会”。</w:t>
      </w:r>
      <w:r>
        <w:rPr>
          <w:rFonts w:hint="eastAsia" w:ascii="仿宋_GB2312" w:hAnsi="仿宋_GB2312" w:eastAsia="仿宋_GB2312" w:cs="仿宋_GB2312"/>
          <w:kern w:val="2"/>
          <w:sz w:val="32"/>
          <w:szCs w:val="32"/>
          <w:lang w:val="en-US" w:eastAsia="zh-CN" w:bidi="ar-SA"/>
        </w:rPr>
        <w:t>截至目前，已有10余家企业意向申报5月份第一批高新技术企业。省级科技型中小企业已有37家填报，其中18家通过认定。</w:t>
      </w:r>
      <w:r>
        <w:rPr>
          <w:rFonts w:hint="eastAsia" w:ascii="仿宋_GB2312" w:hAnsi="仿宋_GB2312" w:eastAsia="仿宋_GB2312" w:cs="仿宋_GB2312"/>
          <w:b/>
          <w:bCs/>
          <w:kern w:val="2"/>
          <w:sz w:val="32"/>
          <w:szCs w:val="32"/>
          <w:lang w:val="en-US" w:eastAsia="zh-CN" w:bidi="ar-SA"/>
        </w:rPr>
        <w:t>七</w:t>
      </w:r>
      <w:r>
        <w:rPr>
          <w:rFonts w:hint="eastAsia" w:ascii="仿宋_GB2312" w:hAnsi="仿宋_GB2312" w:eastAsia="仿宋_GB2312" w:cs="仿宋_GB2312"/>
          <w:b/>
          <w:bCs/>
          <w:color w:val="000000"/>
          <w:kern w:val="2"/>
          <w:sz w:val="32"/>
          <w:szCs w:val="32"/>
          <w:highlight w:val="none"/>
          <w:lang w:val="en-US" w:eastAsia="zh-CN" w:bidi="ar-SA"/>
        </w:rPr>
        <w:t>是提升特色产品档次。</w:t>
      </w:r>
      <w:r>
        <w:rPr>
          <w:rFonts w:hint="eastAsia" w:ascii="仿宋_GB2312" w:hAnsi="仿宋_GB2312" w:eastAsia="仿宋_GB2312" w:cs="仿宋_GB2312"/>
          <w:b w:val="0"/>
          <w:bCs w:val="0"/>
          <w:kern w:val="0"/>
          <w:sz w:val="32"/>
          <w:szCs w:val="32"/>
          <w:highlight w:val="none"/>
          <w:lang w:val="en-US" w:eastAsia="zh-CN" w:bidi="ar"/>
        </w:rPr>
        <w:t>抢抓国家和省培育先进制造业产业集群和中小企业特色产业集群机遇，</w:t>
      </w:r>
      <w:r>
        <w:rPr>
          <w:rFonts w:hint="eastAsia" w:ascii="仿宋_GB2312" w:hAnsi="仿宋_GB2312" w:eastAsia="仿宋_GB2312" w:cs="仿宋_GB2312"/>
          <w:b w:val="0"/>
          <w:bCs w:val="0"/>
          <w:sz w:val="32"/>
          <w:szCs w:val="32"/>
          <w:highlight w:val="none"/>
          <w:lang w:val="en-US" w:eastAsia="zh-CN"/>
        </w:rPr>
        <w:t>以精准有效的政策体系激发企业生产动力，平乡童车入选“河北省中小企业特色产业集群”“国家级中小企业特色产业集群”。</w:t>
      </w:r>
      <w:r>
        <w:rPr>
          <w:rFonts w:hint="eastAsia" w:ascii="仿宋_GB2312" w:hAnsi="仿宋_GB2312" w:eastAsia="仿宋_GB2312" w:cs="仿宋_GB2312"/>
          <w:b w:val="0"/>
          <w:bCs w:val="0"/>
          <w:sz w:val="32"/>
          <w:szCs w:val="32"/>
          <w:lang w:val="en-US" w:eastAsia="zh-CN"/>
        </w:rPr>
        <w:t>成功举办第17届国际自行车、童车（玩具）博览会、</w:t>
      </w:r>
      <w:r>
        <w:rPr>
          <w:rFonts w:hint="eastAsia" w:ascii="仿宋_GB2312" w:hAnsi="仿宋_GB2312" w:eastAsia="仿宋_GB2312" w:cs="仿宋_GB2312"/>
          <w:color w:val="auto"/>
          <w:sz w:val="32"/>
          <w:szCs w:val="32"/>
        </w:rPr>
        <w:t>中国（平乡）童车产业指数</w:t>
      </w:r>
      <w:r>
        <w:rPr>
          <w:rFonts w:hint="eastAsia" w:ascii="仿宋_GB2312" w:hAnsi="仿宋_GB2312" w:eastAsia="仿宋_GB2312" w:cs="仿宋_GB2312"/>
          <w:color w:val="auto"/>
          <w:sz w:val="32"/>
          <w:szCs w:val="32"/>
          <w:lang w:eastAsia="zh-CN"/>
        </w:rPr>
        <w:t>发布会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highlight w:val="none"/>
          <w:lang w:val="en-US" w:eastAsia="zh-CN"/>
        </w:rPr>
        <w:t>提升平乡童车产品知名度</w:t>
      </w:r>
      <w:r>
        <w:rPr>
          <w:rFonts w:hint="eastAsia" w:ascii="仿宋_GB2312" w:hAnsi="仿宋_GB2312" w:eastAsia="仿宋_GB2312" w:cs="仿宋_GB2312"/>
          <w:b w:val="0"/>
          <w:bCs w:val="0"/>
          <w:sz w:val="32"/>
          <w:szCs w:val="32"/>
          <w:lang w:val="en-US" w:eastAsia="zh-CN"/>
        </w:rPr>
        <w:t>。目前，我县童车和智能电动玩具产量占国内市场的50%、国际市场的40%，产品远销60多个国家和地区。</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lang w:val="en-US" w:eastAsia="zh-CN"/>
        </w:rPr>
      </w:pPr>
      <w:r>
        <w:rPr>
          <w:rFonts w:hint="eastAsia" w:ascii="黑体" w:hAnsi="黑体" w:eastAsia="黑体" w:cs="黑体"/>
          <w:kern w:val="2"/>
          <w:sz w:val="32"/>
          <w:szCs w:val="32"/>
          <w:lang w:val="en-US" w:eastAsia="zh-CN" w:bidi="ar-SA"/>
        </w:rPr>
        <w:t>二、拓展产业链招商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围绕主导产业，梳理产业上下游关键节点，积极对接京津雄、江浙沪、粤港澳三个区域的产业转移项目，编制重点产业招商目录、印制招商项目画册、依托三个驻外招商组，以天津、杭州</w:t>
      </w:r>
      <w:r>
        <w:rPr>
          <w:rFonts w:hint="eastAsia" w:ascii="仿宋_GB2312" w:hAnsi="仿宋_GB2312" w:eastAsia="仿宋_GB2312" w:cs="仿宋_GB2312"/>
          <w:b w:val="0"/>
          <w:bCs w:val="0"/>
          <w:sz w:val="32"/>
          <w:szCs w:val="32"/>
          <w:lang w:val="en-US" w:eastAsia="zh-CN"/>
        </w:rPr>
        <w:t>、中山等地为重点招商区域，建立客商信息资源库，</w:t>
      </w:r>
      <w:r>
        <w:rPr>
          <w:rFonts w:hint="eastAsia" w:ascii="仿宋_GB2312" w:hAnsi="仿宋_GB2312" w:eastAsia="仿宋_GB2312" w:cs="仿宋_GB2312"/>
          <w:b w:val="0"/>
          <w:bCs w:val="0"/>
          <w:color w:val="auto"/>
          <w:kern w:val="2"/>
          <w:sz w:val="32"/>
          <w:szCs w:val="32"/>
          <w:lang w:val="en-US" w:eastAsia="zh-CN" w:bidi="ar-SA"/>
        </w:rPr>
        <w:t>重点实施</w:t>
      </w:r>
      <w:r>
        <w:rPr>
          <w:rFonts w:hint="eastAsia" w:ascii="仿宋_GB2312" w:hAnsi="仿宋_GB2312" w:eastAsia="仿宋_GB2312" w:cs="仿宋_GB2312"/>
          <w:b w:val="0"/>
          <w:bCs w:val="0"/>
          <w:sz w:val="32"/>
          <w:szCs w:val="32"/>
          <w:lang w:val="en-US" w:eastAsia="zh-CN"/>
        </w:rPr>
        <w:t>央企入平、龙头落地、链条升级</w:t>
      </w:r>
      <w:r>
        <w:rPr>
          <w:rFonts w:hint="eastAsia" w:ascii="仿宋_GB2312" w:hAnsi="仿宋_GB2312" w:eastAsia="仿宋_GB2312" w:cs="仿宋_GB2312"/>
          <w:b w:val="0"/>
          <w:bCs w:val="0"/>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大行动。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下一步，我局将进一步解放思想，采取多项措施，推进自行车、童车产业高质量发展。</w:t>
      </w:r>
      <w:r>
        <w:rPr>
          <w:rFonts w:hint="eastAsia" w:ascii="仿宋_GB2312" w:hAnsi="仿宋_GB2312" w:eastAsia="仿宋_GB2312" w:cs="仿宋_GB2312"/>
          <w:b/>
          <w:bCs/>
          <w:sz w:val="32"/>
          <w:szCs w:val="32"/>
          <w:highlight w:val="none"/>
          <w:lang w:val="en-US" w:eastAsia="zh-CN"/>
        </w:rPr>
        <w:t>一是加大“龙头培育”。</w:t>
      </w:r>
      <w:r>
        <w:rPr>
          <w:rFonts w:hint="eastAsia" w:ascii="仿宋_GB2312" w:hAnsi="仿宋_GB2312" w:eastAsia="仿宋_GB2312" w:cs="仿宋_GB2312"/>
          <w:b w:val="0"/>
          <w:bCs w:val="0"/>
          <w:sz w:val="32"/>
          <w:szCs w:val="32"/>
          <w:highlight w:val="none"/>
          <w:lang w:val="en-US" w:eastAsia="zh-CN"/>
        </w:rPr>
        <w:t>围绕主导产业的链主企业和上下游企业，紧盯慈溪力盟变速器及碟刹、台州金宇星电机等补链项目，加强精准对接，填补县域自行车产业链空白点；紧盯黄岩金马泰模具、韩国星月游乐设备等延链项目，加大跟进力度，延伸儿童玩具产业链覆盖面，实现全产业链条的优势互补；紧盯北京优贝童车等强链项目，重点对接台湾捷安特、日本禧玛诺、深圳喜德盛等行业龙头企业，力促童车产业链提档升级。新培育5家企业实现产值倍增，产值超10亿元企业实现“零突破”。</w:t>
      </w:r>
      <w:r>
        <w:rPr>
          <w:rFonts w:hint="eastAsia" w:ascii="仿宋_GB2312" w:hAnsi="仿宋_GB2312" w:eastAsia="仿宋_GB2312" w:cs="仿宋_GB2312"/>
          <w:b/>
          <w:bCs/>
          <w:sz w:val="32"/>
          <w:szCs w:val="32"/>
          <w:highlight w:val="none"/>
          <w:lang w:val="en-US" w:eastAsia="zh-CN"/>
        </w:rPr>
        <w:t>二是加深“提级扩能”。</w:t>
      </w:r>
      <w:r>
        <w:rPr>
          <w:rFonts w:hint="eastAsia" w:ascii="仿宋_GB2312" w:hAnsi="仿宋_GB2312" w:eastAsia="仿宋_GB2312" w:cs="仿宋_GB2312"/>
          <w:b w:val="0"/>
          <w:bCs w:val="0"/>
          <w:sz w:val="32"/>
          <w:szCs w:val="32"/>
          <w:highlight w:val="none"/>
          <w:lang w:val="en-US" w:eastAsia="zh-CN"/>
        </w:rPr>
        <w:t>抢抓新质生产力发展契机，力促现有省级创新型中小企业提档升级，力争新增专精特新企业4家以上、创新型中小企业10家以上；引导企业加大科技研发投入，提高产品科技含量和附加值，增强市场竞争力，力争新增高新技术企业4家以上、国家级科技型中小企业60家以上、省级科技型中小企业15家以上，科技创新向A类县跃升。</w:t>
      </w:r>
      <w:r>
        <w:rPr>
          <w:rFonts w:hint="eastAsia" w:ascii="仿宋_GB2312" w:hAnsi="仿宋_GB2312" w:eastAsia="仿宋_GB2312" w:cs="仿宋_GB2312"/>
          <w:b/>
          <w:bCs/>
          <w:sz w:val="32"/>
          <w:szCs w:val="32"/>
          <w:highlight w:val="none"/>
          <w:lang w:val="en-US" w:eastAsia="zh-CN"/>
        </w:rPr>
        <w:t>三是加速“平台升级”。抓研发，</w:t>
      </w:r>
      <w:r>
        <w:rPr>
          <w:rFonts w:hint="eastAsia" w:ascii="仿宋_GB2312" w:hAnsi="仿宋_GB2312" w:eastAsia="仿宋_GB2312" w:cs="仿宋_GB2312"/>
          <w:b w:val="0"/>
          <w:bCs w:val="0"/>
          <w:sz w:val="32"/>
          <w:szCs w:val="32"/>
          <w:highlight w:val="none"/>
          <w:lang w:val="en-US" w:eastAsia="zh-CN"/>
        </w:rPr>
        <w:t>推动数字化童玩产品设计中心建设，引进广东、浙江等地优秀设计理念，提升童车玩具产业产品的体验感；</w:t>
      </w:r>
      <w:r>
        <w:rPr>
          <w:rFonts w:hint="eastAsia" w:ascii="仿宋_GB2312" w:hAnsi="仿宋_GB2312" w:eastAsia="仿宋_GB2312" w:cs="仿宋_GB2312"/>
          <w:b/>
          <w:bCs/>
          <w:sz w:val="32"/>
          <w:szCs w:val="32"/>
          <w:highlight w:val="none"/>
          <w:lang w:val="en-US" w:eastAsia="zh-CN"/>
        </w:rPr>
        <w:t>抓质量，</w:t>
      </w:r>
      <w:r>
        <w:rPr>
          <w:rFonts w:hint="eastAsia" w:ascii="仿宋_GB2312" w:hAnsi="仿宋_GB2312" w:eastAsia="仿宋_GB2312" w:cs="仿宋_GB2312"/>
          <w:b w:val="0"/>
          <w:bCs w:val="0"/>
          <w:sz w:val="32"/>
          <w:szCs w:val="32"/>
          <w:highlight w:val="none"/>
          <w:lang w:val="en-US" w:eastAsia="zh-CN"/>
        </w:rPr>
        <w:t>推进产品质量追溯平台建设，从生产到销售各环节实时监督，提升自行车童车产业整体美誉度；</w:t>
      </w:r>
      <w:r>
        <w:rPr>
          <w:rFonts w:hint="eastAsia" w:ascii="仿宋_GB2312" w:hAnsi="仿宋_GB2312" w:eastAsia="仿宋_GB2312" w:cs="仿宋_GB2312"/>
          <w:b/>
          <w:bCs/>
          <w:sz w:val="32"/>
          <w:szCs w:val="32"/>
          <w:highlight w:val="none"/>
          <w:lang w:val="en-US" w:eastAsia="zh-CN"/>
        </w:rPr>
        <w:t>抓品牌，</w:t>
      </w:r>
      <w:r>
        <w:rPr>
          <w:rFonts w:hint="eastAsia" w:ascii="仿宋_GB2312" w:hAnsi="仿宋_GB2312" w:eastAsia="仿宋_GB2312" w:cs="仿宋_GB2312"/>
          <w:b w:val="0"/>
          <w:bCs w:val="0"/>
          <w:sz w:val="32"/>
          <w:szCs w:val="32"/>
          <w:highlight w:val="none"/>
          <w:lang w:val="en-US" w:eastAsia="zh-CN"/>
        </w:rPr>
        <w:t>实施特色名片培树工程，打造更多类似“萌兽”的平乡童车品牌，提升“中国童车之都”综合竞争力和影响力。</w:t>
      </w:r>
    </w:p>
    <w:p>
      <w:pPr>
        <w:pStyle w:val="9"/>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ascii="仿宋_GB2312" w:hAnsi="仿宋_GB2312" w:eastAsia="仿宋_GB2312" w:cs="仿宋_GB2312"/>
          <w:b w:val="0"/>
          <w:bCs w:val="0"/>
          <w:color w:val="auto"/>
          <w:spacing w:val="0"/>
          <w:kern w:val="2"/>
          <w:sz w:val="32"/>
          <w:szCs w:val="32"/>
          <w:highlight w:val="none"/>
          <w:lang w:val="en-US" w:eastAsia="zh-CN" w:bidi="ar-SA"/>
        </w:rPr>
        <w:t>您对我们的答复有何意见和建议，请填写“征询意见表”中，并用“专用信封”寄回，以便我们进一步改进工作。</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感谢您对我们工作的关心和支持。</w:t>
      </w:r>
    </w:p>
    <w:p>
      <w:pPr>
        <w:rPr>
          <w:rFonts w:hint="eastAsia" w:ascii="仿宋" w:hAnsi="仿宋" w:eastAsia="仿宋" w:cs="仿宋"/>
          <w:sz w:val="32"/>
          <w:szCs w:val="32"/>
          <w:lang w:val="en-US" w:eastAsia="zh-CN"/>
        </w:rPr>
      </w:pPr>
    </w:p>
    <w:p>
      <w:pPr>
        <w:ind w:firstLine="4160" w:firstLineChars="1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平乡县发展和改革局（印章）</w:t>
      </w: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2024年5月28日</w:t>
      </w: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lang w:val="en-US" w:eastAsia="zh-CN"/>
        </w:rPr>
      </w:pPr>
    </w:p>
    <w:p>
      <w:pPr>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52C12"/>
    <w:rsid w:val="0E8A7E7E"/>
    <w:rsid w:val="15AF1715"/>
    <w:rsid w:val="28BE7731"/>
    <w:rsid w:val="36772AD3"/>
    <w:rsid w:val="3FDE3B8E"/>
    <w:rsid w:val="43F33A88"/>
    <w:rsid w:val="53DC7656"/>
    <w:rsid w:val="549442D0"/>
    <w:rsid w:val="6A700453"/>
    <w:rsid w:val="71895B40"/>
    <w:rsid w:val="7C4E33C8"/>
    <w:rsid w:val="7CB72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cs="Times New Roman"/>
      <w:sz w:val="24"/>
    </w:rPr>
  </w:style>
  <w:style w:type="paragraph" w:styleId="3">
    <w:name w:val="Normal Indent"/>
    <w:basedOn w:val="1"/>
    <w:next w:val="4"/>
    <w:qFormat/>
    <w:uiPriority w:val="99"/>
    <w:pPr>
      <w:spacing w:after="120"/>
      <w:ind w:left="420"/>
    </w:pPr>
  </w:style>
  <w:style w:type="paragraph" w:styleId="4">
    <w:name w:val="Plain Text"/>
    <w:basedOn w:val="1"/>
    <w:qFormat/>
    <w:uiPriority w:val="0"/>
    <w:rPr>
      <w:rFonts w:ascii="宋体" w:hAnsi="Courier New"/>
    </w:rPr>
  </w:style>
  <w:style w:type="paragraph" w:styleId="5">
    <w:name w:val="Body Text Indent"/>
    <w:basedOn w:val="1"/>
    <w:next w:val="1"/>
    <w:qFormat/>
    <w:uiPriority w:val="0"/>
    <w:pPr>
      <w:spacing w:after="120"/>
      <w:ind w:left="420" w:leftChars="200"/>
    </w:pPr>
  </w:style>
  <w:style w:type="paragraph" w:styleId="6">
    <w:name w:val="footer"/>
    <w:basedOn w:val="1"/>
    <w:next w:val="3"/>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1"/>
    <w:qFormat/>
    <w:uiPriority w:val="0"/>
    <w:pPr>
      <w:ind w:firstLine="420" w:firstLineChars="200"/>
    </w:pPr>
    <w:rPr>
      <w:rFonts w:ascii="Times New Roman" w:hAnsi="Times New Roman"/>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2024-04-11T03:35:00Z</dcterms:created>
  <dc:creator>Administrator</dc:creator>
  <cp:lastModifiedBy>PC-2022</cp:lastModifiedBy>
  <cp:lastPrinted>2024-05-29T03:08:00Z</cp:lastPrinted>
  <dcterms:modified xsi:type="dcterms:W3CDTF">2024-06-14T07:14:29Z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CE5ADBBFDE2D46A9ABB0FE32DA449D49</vt:lpwstr>
  </property>
</Properties>
</file>