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</w:p>
    <w:p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平乡县城乡规划和城市管理行政执法局</w:t>
      </w:r>
    </w:p>
    <w:p>
      <w:pPr>
        <w:jc w:val="center"/>
      </w:pPr>
      <w:r>
        <w:rPr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说明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64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一、部门职责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（一）贯彻执行省、市有关城乡规划和城市管理行政执法工作的方针政策、法律法规和规章；结合我县实际，拟订有关政策措施和管理办法，经县政府批准后组织实施。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（二）组织编制县域城镇体系规划、县城总体规划、近期建设规划、控制性详细规划等城乡相关规划。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（三）对已取得规划审批手续建设工程的监督检查。对县管范围内各类建设项目的批后规划管理，组织实施对建设工程放线、验线；建设工程规划条件的核实，牵头组织建设工程的竣工验收，核发《建设工程竣工规划认可证》。按照有关规定，组织实施城市管理行政执法局责任区以外的违法建筑的查处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（四）县容环境卫生、环保、绿化、县城市政管理、工商行政管理、公安交通管理方面法律、法规、规章规定的行政执法工作。对不符合县城市容标准、环境卫生标准的建筑物进行强制拆除或者设施。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（五）县城环境卫生的清扫保洁和城市生活垃圾的清运、污淤水管道清理、建筑垃圾、医疗垃圾的处置和管理工作；负责县城消毒杀虫灭鼠、养犬管理工作；负责县城环卫设施的建设和管理工作。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（六）城市绿化工作。参与制定城市绿化规划；负责编制市区园林绿化计划并组织实施；负责市区全民义务植树工作；负责市区绿化、美化工作；负责园林设施的建设、维护和管理；指导风景林地的管护工作。</w:t>
      </w:r>
    </w:p>
    <w:p>
      <w:pPr>
        <w:ind w:firstLine="560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（七）县城市容市貌管理工作。依据有关法律、法规，对占用、挖掘、损坏、乱占、乱挖城市道路，损坏排水设施、桥涵、广场等不文明施工行为和乱倒垃圾、乱堆杂物、乱贴乱画、乱搭棚亭、乱设广告等方面的违规违章行为进行执法监督和查处。</w:t>
      </w:r>
    </w:p>
    <w:p>
      <w:pPr>
        <w:ind w:firstLine="642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（八）县城市政基础设施管理工作。负责县城市政基础设施，包括道路、桥涵、路灯、地下雨水污水管道的建设、维护与管理；负责编制市政公用设施维护资金计划以及到位资金的使用和管理。</w:t>
      </w:r>
    </w:p>
    <w:p>
      <w:pPr>
        <w:ind w:firstLine="642"/>
        <w:rPr>
          <w:rFonts w:ascii="方正仿宋_GBK" w:eastAsia="方正仿宋_GBK"/>
          <w:sz w:val="28"/>
        </w:rPr>
      </w:pPr>
      <w:r>
        <w:rPr>
          <w:rFonts w:hint="eastAsia" w:ascii="仿宋" w:hAnsi="仿宋" w:eastAsia="仿宋"/>
          <w:b/>
          <w:sz w:val="32"/>
          <w:szCs w:val="32"/>
        </w:rPr>
        <w:t>二、部门预算单位构成</w:t>
      </w:r>
    </w:p>
    <w:p>
      <w:pPr>
        <w:ind w:firstLine="642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本部门由以下基层单位构成：</w:t>
      </w:r>
    </w:p>
    <w:p>
      <w:pPr>
        <w:numPr>
          <w:ilvl w:val="0"/>
          <w:numId w:val="1"/>
        </w:numPr>
        <w:ind w:firstLine="642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平乡县城乡规划和城市管理行政执法局；</w:t>
      </w:r>
    </w:p>
    <w:p>
      <w:pPr>
        <w:numPr>
          <w:ilvl w:val="0"/>
          <w:numId w:val="1"/>
        </w:numPr>
        <w:ind w:firstLine="642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平乡县城市管理执法大队；</w:t>
      </w:r>
    </w:p>
    <w:p>
      <w:pPr>
        <w:numPr>
          <w:ilvl w:val="0"/>
          <w:numId w:val="1"/>
        </w:numPr>
        <w:ind w:firstLine="642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平乡县园林处。</w:t>
      </w:r>
    </w:p>
    <w:p>
      <w:pPr>
        <w:ind w:firstLine="640"/>
        <w:rPr>
          <w:rFonts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三、工作活动绩效目标</w:t>
      </w: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477787247"/>
      <w:r>
        <w:rPr>
          <w:rFonts w:hint="eastAsia" w:ascii="方正小标宋_GBK" w:eastAsia="方正小标宋_GBK"/>
          <w:sz w:val="32"/>
        </w:rPr>
        <w:t>工作活动绩效目标</w:t>
      </w:r>
      <w:bookmarkEnd w:id="0"/>
    </w:p>
    <w:tbl>
      <w:tblPr>
        <w:tblStyle w:val="4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503</w:t>
            </w:r>
            <w:r>
              <w:rPr>
                <w:rFonts w:hint="eastAsia" w:ascii="方正小标宋_GBK" w:eastAsia="方正小标宋_GBK"/>
                <w:sz w:val="24"/>
              </w:rPr>
              <w:t>平乡县城乡规划和城市管理行政执法局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城乡规划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719.30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组织县域城镇体系规划编制，参与各级、各部门依法编制总体规划、专项规划、控制性详细规划、历史文化名城和街区保护规划等。对由县政府审批的规划进行监督实施。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加强城乡规划管理，协调城乡空间布局，改善人居环境，促进城乡经济社会全面协调可持续发展。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城乡资源保护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负责城镇古树名木和风景名胜资源保护，加强风景名胜区监测管理；编制历史文化名城名镇名村及传统村落规划，加强保护，对核心保护范围内的历史建筑、传统建筑修缮、基础设施改造和环境综合整治。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完成年度村镇规划编制任务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城镇古树名木、风景名胜、历史文化名城和街区保护工程开工率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传统村落年度保护项目完成率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年度村镇规划编制完成率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年度村镇规划执行率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城乡规划制订、实施与监督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719.30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拟定全县城乡发展战略和城市规划行业发展计划；组织县域城镇体系规划等县级层面规划编制；参与各级、各部门依法编制总体规划、专项规划、控制性详细规划；对依法批准的城乡规划进行监督实施。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完成规划编制，健全规划体系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动态监测报告完成率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城乡规划编制进展情况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完成报审稿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基本完成本级规划编制工作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完成初稿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未开展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参与各级、各部门规划编制的完成比例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编制规划应用率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城乡建设管理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负责镇、乡村庄规划的编制和实施；负责农村住房建设、住房安全和危房改造；改善小城镇和村庄人居环境。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加强管理，提高城市承载能力和宜居度。加强村镇建设，改善农村人居环境，实现城乡统筹发展。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推进城镇化建设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负责农村住房建设、住房安全和危房改造，推进小城镇村庄人居环境改善；推进城镇化工作，开展城乡规划提升、建筑能效提升等工作，全面提升县城建设质量和水平。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加强村镇建设，改善农村人居环境，实现城乡统筹发展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危房改造规划完成率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规划政务管理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负责规划综合业务管理和机关综合事务管理。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全县城乡规划人才队伍建设，提高人才业务素质，提高行业水平。提升机关及行业信息化水平，保障各类业务系统安全稳定运行；加大信息宣传力度，创造良好舆论氛围。规范审批行为，推进政务公开，增加服务意识，提高工作效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调研提出规划和建议，工作部署、协调推动、普查统计、督促指导、行政审批、业务监管及</w:t>
            </w:r>
            <w:bookmarkStart w:id="1" w:name="_GoBack"/>
            <w:bookmarkEnd w:id="1"/>
            <w:r>
              <w:rPr>
                <w:rFonts w:hint="eastAsia" w:ascii="方正书宋_GBK" w:eastAsia="方正书宋_GBK"/>
                <w:lang w:eastAsia="zh-CN"/>
              </w:rPr>
              <w:t>县委、县政府</w:t>
            </w:r>
            <w:r>
              <w:rPr>
                <w:rFonts w:hint="eastAsia" w:ascii="方正书宋_GBK" w:eastAsia="方正书宋_GBK"/>
              </w:rPr>
              <w:t>交办的其他事项等行政管理事项。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加强管理，圆满完成县委、县政府交办任务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综合业务管理工作完成率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规划政务管理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99.02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负责规划综合业务管理和机关综合事务管理。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全县城乡规划人才队伍建设，提高人才业务素质，提高行业水平。提升机关及行业信息化水平，保障各类业务系统安全稳定运行；加大信息宣传力度，创造良好舆论氛围。规范审批行为，推进政务公开，增加服务意识，提高工作效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99.02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加强机关事务性管理，开展机关自身能力建设。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加强机关事务性管理，提高机关自身工作能力。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综合事务管理工作完成率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城乡建设管理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1089.03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负责市政公用设施建设、安全和应急管理；负责农村住房建设、住房安全和危房改造；改善小城镇和村庄人居环境。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加强管理，提高城市承载能力和宜居度。加强村镇建设，改善农村人居环境，实现城乡统筹发展。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市政公用设施建设与管理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327.68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负责市政公用事业建设、市政公用设施安全和应急管理；逐步推进供热计量改革，开展燃气行业安全监督检查；开展城市园林水域安全监管、公园和绿地技术评估和动态监测。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组织开展星级公园、园林式单位、小区、街道创建活动，负责城市公园绿地、城市植树、城镇古树名木和风景名胜资源保护等工作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市政公用事业基础设施建设及维护工作目标完成率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城市公园绿地、城市植树、城镇古树名木和风景名胜资源保护完成率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星级公园、园林式单位、小区创建数量（个）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城市容貌环境综合整治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638.35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负责城区市容环境治理、城建监察等各项工作，改善人居环境，大气污染治理。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推进洁净城市创建进程，加强大气污染治理力度。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市容环境治理完成率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机械化清扫率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57%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53%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53%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推进城镇化建设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123.00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农村住房建设、住房安全和危房改造，推进小城镇村庄人居环境改善；推进城镇化工作，开展城乡规划提升、基础设施建设、公共服务设施配套、环境容貌治理、建筑能效提升等工作，全面提升县城建设质量和水平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加强村镇建设，改善农村人居环境，实现城乡统筹发展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危房改造完成率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垃圾处理率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城管政务管理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331.76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负责城管系统综合业务管理和机关综合事务管理。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加强全县城管执法人才队伍建设，提高人才业务素质，提高行业水平。提升机关及行业信息化水平，保障各类业务系统安全稳定运行。规范审批行为，推进政务公开，增加服务意识，提高工作效率。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196.76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调研提出城管执法工作规划和建议，工作部署、协调推动、督促指导、行政审批、业务监管及</w:t>
            </w:r>
            <w:r>
              <w:rPr>
                <w:rFonts w:hint="eastAsia" w:ascii="方正书宋_GBK" w:eastAsia="方正书宋_GBK"/>
                <w:lang w:eastAsia="zh-CN"/>
              </w:rPr>
              <w:t>县委、县政府</w:t>
            </w:r>
            <w:r>
              <w:rPr>
                <w:rFonts w:hint="eastAsia" w:ascii="方正书宋_GBK" w:eastAsia="方正书宋_GBK"/>
              </w:rPr>
              <w:t>交办的其他事项等行政管理事项。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加强管理，圆满完成县委、县政府交办任务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综合业务管理工作完成率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135.00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加强机关事务性管理，开展机关自身能力建设。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加强机关事务性管理，提高机关自身工作能力。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综合事务管理工作完成率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ind w:firstLine="720" w:firstLineChars="224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</w:t>
      </w:r>
      <w:r>
        <w:rPr>
          <w:rFonts w:hint="eastAsia" w:ascii="仿宋" w:hAnsi="仿宋" w:eastAsia="仿宋"/>
          <w:b/>
          <w:sz w:val="32"/>
        </w:rPr>
        <w:t>政府采购预算情况</w:t>
      </w:r>
    </w:p>
    <w:p>
      <w:pPr>
        <w:ind w:firstLine="716" w:firstLineChars="22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年我单位安排的政府采购项目有：</w:t>
      </w:r>
    </w:p>
    <w:p>
      <w:pPr>
        <w:numPr>
          <w:ilvl w:val="0"/>
          <w:numId w:val="2"/>
        </w:numPr>
        <w:ind w:firstLine="716" w:firstLineChars="2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编制油召、平乡等、节固、寻召、田付村等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个乡镇总体规划和河古庙镇控制性详细规划，采购金额</w:t>
      </w:r>
      <w:r>
        <w:rPr>
          <w:rFonts w:ascii="仿宋" w:hAnsi="仿宋" w:eastAsia="仿宋"/>
          <w:sz w:val="32"/>
          <w:szCs w:val="32"/>
        </w:rPr>
        <w:t>145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numPr>
          <w:ilvl w:val="0"/>
          <w:numId w:val="2"/>
        </w:numPr>
        <w:ind w:firstLine="716" w:firstLineChars="2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编制燃气、热力等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个专项规划，采购金额</w:t>
      </w:r>
      <w:r>
        <w:rPr>
          <w:rFonts w:ascii="仿宋" w:hAnsi="仿宋" w:eastAsia="仿宋"/>
          <w:sz w:val="32"/>
          <w:szCs w:val="32"/>
        </w:rPr>
        <w:t>80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numPr>
          <w:ilvl w:val="0"/>
          <w:numId w:val="2"/>
        </w:numPr>
        <w:ind w:firstLine="716" w:firstLineChars="2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平乡县数字规划系统，编制系统软件件，配备机房及办公设备等，采购金额</w:t>
      </w:r>
      <w:r>
        <w:rPr>
          <w:rFonts w:ascii="仿宋" w:hAnsi="仿宋" w:eastAsia="仿宋"/>
          <w:sz w:val="32"/>
          <w:szCs w:val="32"/>
        </w:rPr>
        <w:t>23.3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numPr>
          <w:ilvl w:val="0"/>
          <w:numId w:val="2"/>
        </w:numPr>
        <w:ind w:firstLine="716" w:firstLineChars="2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编制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个村美丽乡村规划，采购金额</w:t>
      </w:r>
      <w:r>
        <w:rPr>
          <w:rFonts w:ascii="仿宋" w:hAnsi="仿宋" w:eastAsia="仿宋"/>
          <w:sz w:val="32"/>
          <w:szCs w:val="32"/>
        </w:rPr>
        <w:t>150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numPr>
          <w:ilvl w:val="0"/>
          <w:numId w:val="2"/>
        </w:numPr>
        <w:ind w:firstLine="716" w:firstLineChars="22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平乡县展示中心布展，制作城市发展模型，汇集平乡各类文化、工业产业发展，采购金额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>
      <w:pPr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6</w:t>
      </w:r>
      <w:r>
        <w:rPr>
          <w:rFonts w:hint="eastAsia" w:ascii="仿宋" w:hAnsi="仿宋" w:eastAsia="仿宋"/>
          <w:sz w:val="32"/>
          <w:szCs w:val="32"/>
        </w:rPr>
        <w:t>、地下管线普查，建立地下空间系统，采购金额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.</w:t>
      </w:r>
    </w:p>
    <w:p>
      <w:pPr>
        <w:ind w:firstLine="720" w:firstLineChars="224"/>
        <w:rPr>
          <w:rFonts w:ascii="仿宋" w:hAnsi="仿宋" w:eastAsia="仿宋"/>
          <w:b/>
          <w:color w:val="FF0000"/>
          <w:sz w:val="32"/>
        </w:rPr>
      </w:pPr>
      <w:r>
        <w:rPr>
          <w:rFonts w:hint="eastAsia" w:ascii="仿宋" w:hAnsi="仿宋" w:eastAsia="仿宋"/>
          <w:b/>
          <w:sz w:val="32"/>
        </w:rPr>
        <w:t>五、国有资产信息</w:t>
      </w:r>
    </w:p>
    <w:p>
      <w:pPr>
        <w:ind w:firstLine="716" w:firstLineChars="224"/>
        <w:rPr>
          <w:rFonts w:ascii="仿宋" w:hAnsi="仿宋" w:eastAsia="仿宋"/>
          <w:sz w:val="32"/>
          <w:highlight w:val="yellow"/>
        </w:rPr>
      </w:pPr>
      <w:r>
        <w:rPr>
          <w:rFonts w:hint="eastAsia" w:ascii="仿宋" w:hAnsi="仿宋" w:eastAsia="仿宋"/>
          <w:color w:val="000000"/>
          <w:sz w:val="32"/>
        </w:rPr>
        <w:t>截止</w:t>
      </w:r>
      <w:r>
        <w:rPr>
          <w:rFonts w:ascii="仿宋" w:hAnsi="仿宋" w:eastAsia="仿宋"/>
          <w:color w:val="000000"/>
          <w:sz w:val="32"/>
        </w:rPr>
        <w:t>2016</w:t>
      </w:r>
      <w:r>
        <w:rPr>
          <w:rFonts w:hint="eastAsia" w:ascii="仿宋" w:hAnsi="仿宋" w:eastAsia="仿宋"/>
          <w:color w:val="000000"/>
          <w:sz w:val="32"/>
        </w:rPr>
        <w:t>年末，我单位固定资产总额为</w:t>
      </w:r>
      <w:r>
        <w:rPr>
          <w:rFonts w:ascii="仿宋" w:hAnsi="仿宋" w:eastAsia="仿宋"/>
          <w:color w:val="000000"/>
          <w:sz w:val="32"/>
        </w:rPr>
        <w:t>967.3</w:t>
      </w:r>
      <w:r>
        <w:rPr>
          <w:rFonts w:hint="eastAsia" w:ascii="仿宋" w:hAnsi="仿宋" w:eastAsia="仿宋"/>
          <w:color w:val="000000"/>
          <w:sz w:val="32"/>
        </w:rPr>
        <w:t>万元，资产情况见下表。</w:t>
      </w:r>
    </w:p>
    <w:p/>
    <w:tbl>
      <w:tblPr>
        <w:tblStyle w:val="4"/>
        <w:tblW w:w="121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536"/>
        <w:gridCol w:w="1600"/>
        <w:gridCol w:w="1600"/>
        <w:gridCol w:w="1150"/>
        <w:gridCol w:w="90"/>
        <w:gridCol w:w="1125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44"/>
                <w:szCs w:val="44"/>
              </w:rPr>
              <w:t>资产情况表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286" w:hRule="atLeast"/>
        </w:trPr>
        <w:tc>
          <w:tcPr>
            <w:tcW w:w="4990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1" w:hRule="atLeast"/>
        </w:trPr>
        <w:tc>
          <w:tcPr>
            <w:tcW w:w="5526" w:type="dxa"/>
            <w:gridSpan w:val="2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编制单位：平乡县城乡规划和城市管理行政执法局</w:t>
            </w:r>
          </w:p>
        </w:tc>
        <w:tc>
          <w:tcPr>
            <w:tcW w:w="1600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90" w:hRule="atLeast"/>
        </w:trPr>
        <w:tc>
          <w:tcPr>
            <w:tcW w:w="49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　　目</w:t>
            </w:r>
          </w:p>
        </w:tc>
        <w:tc>
          <w:tcPr>
            <w:tcW w:w="536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3200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365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价值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年初数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年末数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年初数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　　次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固定资产合计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807.6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967.3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（一）房屋（平方米）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1,215.00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1,215.00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90.6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办公用房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555.00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555.00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业务用房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其他（不含构筑物）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660.00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660.00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50.6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（二）车辆（台、辆）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600.4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731.9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轿车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越野车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小型载客汽车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大中型载客汽车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其他车型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567.4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712.9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（三）单价在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万元以上的设备（台、套…）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其中：单价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万元（含）以上的通用设备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万元（含）以上的专用设备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（四）其他固定资产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116.6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144.8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0" w:type="dxa"/>
          <w:trHeight w:val="300" w:hRule="atLeast"/>
        </w:trPr>
        <w:tc>
          <w:tcPr>
            <w:tcW w:w="49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减：累计折旧及减值准备</w:t>
            </w:r>
          </w:p>
        </w:tc>
        <w:tc>
          <w:tcPr>
            <w:tcW w:w="5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</w:tbl>
    <w:p>
      <w:pPr>
        <w:ind w:firstLine="720" w:firstLineChars="22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六、部门预算情况说明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</w:t>
      </w:r>
      <w:r>
        <w:rPr>
          <w:rFonts w:ascii="仿宋" w:hAnsi="仿宋" w:eastAsia="仿宋" w:cs="宋体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年共安排预算收入</w:t>
      </w:r>
      <w:r>
        <w:rPr>
          <w:rFonts w:ascii="仿宋" w:hAnsi="仿宋" w:eastAsia="仿宋" w:cs="宋体"/>
          <w:kern w:val="0"/>
          <w:sz w:val="32"/>
          <w:szCs w:val="32"/>
        </w:rPr>
        <w:t>2239.11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万元，一般公共预算拨款</w:t>
      </w:r>
      <w:r>
        <w:rPr>
          <w:rFonts w:ascii="仿宋" w:hAnsi="仿宋" w:eastAsia="仿宋" w:cs="宋体"/>
          <w:kern w:val="0"/>
          <w:sz w:val="32"/>
          <w:szCs w:val="32"/>
        </w:rPr>
        <w:t>2039.11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万元；基金预算收入</w:t>
      </w:r>
      <w:r>
        <w:rPr>
          <w:rFonts w:ascii="仿宋" w:hAnsi="仿宋" w:eastAsia="仿宋" w:cs="宋体"/>
          <w:kern w:val="0"/>
          <w:sz w:val="32"/>
          <w:szCs w:val="32"/>
        </w:rPr>
        <w:t>200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万元，基金预算拨款</w:t>
      </w:r>
      <w:r>
        <w:rPr>
          <w:rFonts w:ascii="仿宋" w:hAnsi="仿宋" w:eastAsia="仿宋" w:cs="宋体"/>
          <w:kern w:val="0"/>
          <w:sz w:val="32"/>
          <w:szCs w:val="32"/>
        </w:rPr>
        <w:t>200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</w:t>
      </w:r>
      <w:r>
        <w:rPr>
          <w:rFonts w:ascii="仿宋" w:hAnsi="仿宋" w:eastAsia="仿宋" w:cs="宋体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年共安排预算支出</w:t>
      </w:r>
      <w:r>
        <w:rPr>
          <w:rFonts w:ascii="仿宋" w:hAnsi="仿宋" w:eastAsia="仿宋" w:cs="宋体"/>
          <w:kern w:val="0"/>
          <w:sz w:val="32"/>
          <w:szCs w:val="32"/>
        </w:rPr>
        <w:t>2239.11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万元，工资福利支出</w:t>
      </w:r>
      <w:r>
        <w:rPr>
          <w:rFonts w:ascii="仿宋" w:hAnsi="仿宋" w:eastAsia="仿宋" w:cs="宋体"/>
          <w:kern w:val="0"/>
          <w:sz w:val="32"/>
          <w:szCs w:val="32"/>
        </w:rPr>
        <w:t>396.64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日常公用经费</w:t>
      </w:r>
      <w:r>
        <w:rPr>
          <w:rFonts w:ascii="仿宋" w:hAnsi="仿宋" w:eastAsia="仿宋" w:cs="宋体"/>
          <w:kern w:val="0"/>
          <w:sz w:val="32"/>
          <w:szCs w:val="32"/>
        </w:rPr>
        <w:t>34.14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万元、项目支出</w:t>
      </w:r>
      <w:r>
        <w:rPr>
          <w:rFonts w:ascii="仿宋" w:hAnsi="仿宋" w:eastAsia="仿宋" w:cs="宋体"/>
          <w:kern w:val="0"/>
          <w:sz w:val="32"/>
          <w:szCs w:val="32"/>
        </w:rPr>
        <w:t>1808.33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机关运行经费情况：</w:t>
      </w:r>
      <w:r>
        <w:rPr>
          <w:rFonts w:hint="eastAsia" w:ascii="仿宋_GB2312" w:hAnsi="仿宋_GB2312" w:eastAsia="仿宋_GB2312"/>
          <w:color w:val="000000"/>
          <w:sz w:val="32"/>
        </w:rPr>
        <w:t>机关运行经费共计安排</w:t>
      </w:r>
      <w:r>
        <w:rPr>
          <w:rFonts w:ascii="仿宋_GB2312" w:hAnsi="仿宋_GB2312" w:eastAsia="仿宋_GB2312"/>
          <w:color w:val="000000"/>
          <w:sz w:val="32"/>
        </w:rPr>
        <w:t>34.14</w:t>
      </w:r>
      <w:r>
        <w:rPr>
          <w:rFonts w:hint="eastAsia" w:ascii="仿宋_GB2312" w:hAnsi="仿宋_GB2312" w:eastAsia="仿宋_GB2312"/>
          <w:color w:val="000000"/>
          <w:sz w:val="32"/>
        </w:rPr>
        <w:t>万元，主要用于办公费、印刷费、邮电费、公务交通补贴等日常运行支出。</w:t>
      </w:r>
    </w:p>
    <w:p>
      <w:pPr>
        <w:numPr>
          <w:ilvl w:val="0"/>
          <w:numId w:val="3"/>
        </w:numPr>
        <w:ind w:firstLine="720" w:firstLineChars="22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“三公”经费增减变化情况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17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年本部门共安排“三公”经费</w:t>
      </w:r>
      <w:r>
        <w:rPr>
          <w:rFonts w:ascii="仿宋" w:hAnsi="仿宋" w:eastAsia="仿宋" w:cs="宋体"/>
          <w:kern w:val="0"/>
          <w:sz w:val="32"/>
          <w:szCs w:val="32"/>
        </w:rPr>
        <w:t>2.7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万元，比上年减少</w:t>
      </w:r>
      <w:r>
        <w:rPr>
          <w:rFonts w:ascii="仿宋" w:hAnsi="仿宋" w:eastAsia="仿宋" w:cs="宋体"/>
          <w:kern w:val="0"/>
          <w:sz w:val="32"/>
          <w:szCs w:val="32"/>
        </w:rPr>
        <w:t>0.3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万元，其中：因公出国（境）费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万元；公务用车运行费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万元；公务接待费</w:t>
      </w:r>
      <w:r>
        <w:rPr>
          <w:rFonts w:ascii="仿宋" w:hAnsi="仿宋" w:eastAsia="仿宋" w:cs="宋体"/>
          <w:kern w:val="0"/>
          <w:sz w:val="32"/>
          <w:szCs w:val="32"/>
        </w:rPr>
        <w:t>2.7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元，比上年减少</w:t>
      </w:r>
      <w:r>
        <w:rPr>
          <w:rFonts w:ascii="仿宋" w:hAnsi="仿宋" w:eastAsia="仿宋" w:cs="宋体"/>
          <w:kern w:val="0"/>
          <w:sz w:val="32"/>
          <w:szCs w:val="32"/>
        </w:rPr>
        <w:t>0.3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万元。减少的原因主要是响应国家号召，节约压缩招待经费。</w:t>
      </w:r>
    </w:p>
    <w:p>
      <w:pPr>
        <w:ind w:firstLine="723" w:firstLineChars="225"/>
        <w:rPr>
          <w:rFonts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八、名词解释</w:t>
      </w:r>
    </w:p>
    <w:p>
      <w:pPr>
        <w:ind w:firstLine="720" w:firstLineChars="225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无。</w:t>
      </w:r>
    </w:p>
    <w:p>
      <w:pPr>
        <w:autoSpaceDN w:val="0"/>
        <w:spacing w:line="580" w:lineRule="atLeast"/>
        <w:ind w:firstLine="640"/>
        <w:jc w:val="left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32"/>
        </w:rPr>
        <w:t>九、其他需说明的事项</w:t>
      </w:r>
    </w:p>
    <w:p>
      <w:pPr>
        <w:ind w:firstLine="64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年度无国有资本经营预算财政拨款。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9C2A0"/>
    <w:multiLevelType w:val="singleLevel"/>
    <w:tmpl w:val="58D9C2A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D9C7A9"/>
    <w:multiLevelType w:val="singleLevel"/>
    <w:tmpl w:val="58D9C7A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941F5B0"/>
    <w:multiLevelType w:val="singleLevel"/>
    <w:tmpl w:val="5941F5B0"/>
    <w:lvl w:ilvl="0" w:tentative="0">
      <w:start w:val="7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2662B08"/>
    <w:rsid w:val="000F68DF"/>
    <w:rsid w:val="0054528C"/>
    <w:rsid w:val="006F3E25"/>
    <w:rsid w:val="007F50BE"/>
    <w:rsid w:val="00953ED6"/>
    <w:rsid w:val="00A46F0B"/>
    <w:rsid w:val="00C817A9"/>
    <w:rsid w:val="00DF423B"/>
    <w:rsid w:val="00F20530"/>
    <w:rsid w:val="00F9339B"/>
    <w:rsid w:val="08086D43"/>
    <w:rsid w:val="1DDE0A9D"/>
    <w:rsid w:val="1F7008BC"/>
    <w:rsid w:val="371224AD"/>
    <w:rsid w:val="42662B08"/>
    <w:rsid w:val="473E673F"/>
    <w:rsid w:val="4D3E730A"/>
    <w:rsid w:val="54106951"/>
    <w:rsid w:val="576E46E5"/>
    <w:rsid w:val="59917C0F"/>
    <w:rsid w:val="5E1C6B35"/>
    <w:rsid w:val="64800137"/>
    <w:rsid w:val="67432174"/>
    <w:rsid w:val="709E6CE7"/>
    <w:rsid w:val="7D8A00E2"/>
    <w:rsid w:val="7F7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www.diannaotuan.com</Company>
  <Pages>10</Pages>
  <Words>713</Words>
  <Characters>4068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2017-03-28T01:37:00Z</dcterms:created>
  <dc:creator>Administrator</dc:creator>
  <cp:lastModifiedBy>hw</cp:lastModifiedBy>
  <dcterms:modified xsi:type="dcterms:W3CDTF">2024-07-12T08:47:00Z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95B8171905D34972BB3B8AEB3D1CD82B</vt:lpwstr>
  </property>
</Properties>
</file>