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b/>
          <w:sz w:val="44"/>
          <w:szCs w:val="44"/>
        </w:rPr>
      </w:pPr>
      <w:r>
        <w:rPr>
          <w:rFonts w:hint="eastAsia" w:ascii="方正小标宋_GBK" w:hAnsi="Times New Roman" w:eastAsia="方正小标宋_GBK" w:cs="Times New Roman"/>
          <w:bCs/>
          <w:sz w:val="44"/>
          <w:szCs w:val="44"/>
        </w:rPr>
        <w:t>平乡县局</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pPr>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按照《预算法》、《地方预决算公开操作规程》和《河北省省级预算公开办法》规定，现将平乡县局2021年部门预算公开如下：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部门职责：</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根据《平乡县局职能配置、内设机构和人员编制规定》， 平乡县局的主要职责是：</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1、对本级 (含直属单位)和下级</w:t>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"http://baike.sogou.com/lemma/ShowInnerLink.htm?lemmaId=33976"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政府预算</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的执行情况和</w:t>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"http://baike.sogou.com/lemma/ShowInnerLink.htm?lemmaId=34088"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决算</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，进行监督。</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2、对国家机关事业单位的财政财务收支，进行监督。</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3、对</w:t>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"http://baike.sogou.com/lemma/ShowInnerLink.htm?lemmaId=5109"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国有企业</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 xml:space="preserve">的资产、负债、损益，进行监督。  </w:t>
      </w:r>
    </w:p>
    <w:p>
      <w:pPr>
        <w:ind w:firstLine="1280" w:firstLineChars="4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4、对与</w:t>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"http://baike.sogou.com/lemma/ShowInnerLink.htm?lemmaId=63470"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国计民生</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有重大关系、接受</w:t>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"http://baike.sogou.com/lemma/ShowInnerLink.htm?lemmaId=72011"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财政补贴</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较多或亏损数额较大的国有企业和</w:t>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"http://baike.sogou.com/lemma/ShowInnerLink.htm?lemmaId=34148"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国有资产</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占控股地位或主导地   位的企业的资产、负债、损益，进行监督。 </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5、对国家建设项目预算的执行情况和决算，进行监督。 </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6、对政府部门管理的和</w:t>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"http://baike.sogou.com/lemma/ShowInnerLink.htm?lemmaId=269674"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社会团体</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受政府委托管理的社会保障基金、社会捐赠资金以及其他有关基金、资金的财务收支，进行监督。</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7、对其他法律、</w:t>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"http://baike.sogou.com/lemma/ShowInnerLink.htm?lemmaId=188299"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行政法规</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规定应当由机关进行的事项，进行监督。</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8、对稳增长、促改革、调结构、惠民生、防风险政策落实情况进行跟踪。 </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 9、负责对县级以下的党政领导干部、国有企业及</w:t>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"http://baike.sogou.com/lemma/ShowInnerLink.htm?lemmaId=7710320"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国有控股企业</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领导人员进行任期</w:t>
      </w: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"http://baike.sogou.com/lemma/ShowInnerLink.htm?lemmaId=5000239"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经济责任</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10、承办本级人民政府和上级机关交办的其他事项。</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11、 组织开展信息化建设、对职工进行教育培训、进行理论研究、抓好新闻宣传和文化建设（如志的编纂）、政务信息公开、开展业务服务和业务咨询、承办本级人民政府和上级机关交办的其他事项（如：植树、下乡及对口帮扶等）。 </w:t>
      </w:r>
    </w:p>
    <w:p>
      <w:pPr>
        <w:ind w:firstLine="643" w:firstLineChars="200"/>
        <w:rPr>
          <w:rFonts w:ascii="仿宋" w:hAnsi="仿宋" w:eastAsia="方正仿宋_GBK" w:cs="Times New Roman"/>
          <w:b/>
          <w:sz w:val="32"/>
          <w:szCs w:val="32"/>
        </w:rPr>
      </w:pPr>
      <w:r>
        <w:rPr>
          <w:rFonts w:hint="eastAsia" w:ascii="仿宋" w:hAnsi="仿宋" w:eastAsia="方正仿宋_GBK" w:cs="Times New Roman"/>
          <w:b/>
          <w:sz w:val="32"/>
          <w:szCs w:val="32"/>
        </w:rPr>
        <w:t>机构设置：</w:t>
      </w:r>
    </w:p>
    <w:p>
      <w:pPr>
        <w:jc w:val="center"/>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3"/>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581"/>
        <w:gridCol w:w="1656"/>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blHeader/>
          <w:jc w:val="center"/>
        </w:trPr>
        <w:tc>
          <w:tcPr>
            <w:tcW w:w="4417"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581"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656"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单位规格</w:t>
            </w:r>
          </w:p>
        </w:tc>
        <w:tc>
          <w:tcPr>
            <w:tcW w:w="2075"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581"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656"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2075" w:type="dxa"/>
            <w:vMerge w:val="continue"/>
            <w:vAlign w:val="center"/>
          </w:tcPr>
          <w:p>
            <w:pPr>
              <w:spacing w:line="300" w:lineRule="exact"/>
              <w:jc w:val="left"/>
              <w:outlineLvl w:val="0"/>
              <w:rPr>
                <w:rFonts w:ascii="仿宋_GB2312" w:hAnsi="Times New Roman"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4417" w:type="dxa"/>
            <w:vAlign w:val="center"/>
          </w:tcPr>
          <w:p>
            <w:pPr>
              <w:spacing w:line="300" w:lineRule="exact"/>
              <w:jc w:val="left"/>
              <w:rPr>
                <w:rFonts w:ascii="仿宋_GB2312" w:hAnsi="Times New Roman" w:eastAsia="仿宋_GB2312" w:cs="Times New Roman"/>
                <w:sz w:val="28"/>
                <w:szCs w:val="28"/>
              </w:rPr>
            </w:pPr>
            <w:r>
              <w:rPr>
                <w:rFonts w:hint="eastAsia" w:ascii="仿宋_GB2312" w:eastAsia="仿宋_GB2312"/>
                <w:sz w:val="28"/>
                <w:szCs w:val="28"/>
              </w:rPr>
              <w:t>平乡县局</w:t>
            </w:r>
          </w:p>
        </w:tc>
        <w:tc>
          <w:tcPr>
            <w:tcW w:w="1581"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行政</w:t>
            </w:r>
          </w:p>
        </w:tc>
        <w:tc>
          <w:tcPr>
            <w:tcW w:w="1656"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正科级</w:t>
            </w:r>
          </w:p>
        </w:tc>
        <w:tc>
          <w:tcPr>
            <w:tcW w:w="2075"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4417" w:type="dxa"/>
          </w:tcPr>
          <w:p>
            <w:pPr>
              <w:spacing w:line="300" w:lineRule="exact"/>
              <w:jc w:val="left"/>
              <w:rPr>
                <w:rFonts w:hint="eastAsia" w:ascii="仿宋_GB2312" w:eastAsia="仿宋_GB2312"/>
                <w:sz w:val="28"/>
                <w:szCs w:val="28"/>
                <w:lang w:eastAsia="zh-CN"/>
              </w:rPr>
            </w:pPr>
            <w:r>
              <w:rPr>
                <w:rFonts w:hint="eastAsia" w:ascii="仿宋_GB2312" w:eastAsia="仿宋_GB2312"/>
                <w:sz w:val="28"/>
                <w:szCs w:val="28"/>
              </w:rPr>
              <w:t>平乡县</w:t>
            </w:r>
            <w:r>
              <w:rPr>
                <w:rFonts w:hint="eastAsia" w:ascii="仿宋_GB2312" w:eastAsia="仿宋_GB2312"/>
                <w:sz w:val="28"/>
                <w:szCs w:val="28"/>
                <w:lang w:eastAsia="zh-CN"/>
              </w:rPr>
              <w:t>政府投资中心</w:t>
            </w:r>
          </w:p>
        </w:tc>
        <w:tc>
          <w:tcPr>
            <w:tcW w:w="1581"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事业</w:t>
            </w:r>
          </w:p>
        </w:tc>
        <w:tc>
          <w:tcPr>
            <w:tcW w:w="1656"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股级</w:t>
            </w:r>
          </w:p>
        </w:tc>
        <w:tc>
          <w:tcPr>
            <w:tcW w:w="2075"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，即全部收入和支出都反映的预算中。</w:t>
      </w:r>
      <w:r>
        <w:rPr>
          <w:rFonts w:hint="eastAsia" w:ascii="Times New Roman" w:hAnsi="Times New Roman" w:eastAsia="方正仿宋_GBK" w:cs="Times New Roman"/>
          <w:sz w:val="32"/>
          <w:szCs w:val="32"/>
        </w:rPr>
        <w:t>平乡县</w:t>
      </w:r>
      <w:r>
        <w:rPr>
          <w:rFonts w:hint="eastAsia" w:ascii="Times New Roman" w:hAnsi="Times New Roman" w:eastAsia="方正仿宋_GBK" w:cs="Times New Roman"/>
          <w:sz w:val="32"/>
          <w:szCs w:val="32"/>
          <w:lang w:eastAsia="zh-CN"/>
        </w:rPr>
        <w:t>审计</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的收支包含在部门预算中。</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sz w:val="32"/>
          <w:szCs w:val="32"/>
        </w:rPr>
        <w:t>反映本部门当年全部收入。2021年预算收入662</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53万元，其中：一般公共预算收入662</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53万元，基金预算收入</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万元，财政专户核拨收入0万元，其他来源收入0万元，</w:t>
      </w:r>
      <w:r>
        <w:rPr>
          <w:rFonts w:hint="eastAsia" w:ascii="Times New Roman" w:hAnsi="Times New Roman" w:eastAsia="方正仿宋_GBK" w:cs="Times New Roman"/>
          <w:color w:val="000000" w:themeColor="text1"/>
          <w:sz w:val="32"/>
          <w:szCs w:val="32"/>
          <w14:textFill>
            <w14:solidFill>
              <w14:schemeClr w14:val="tx1"/>
            </w14:solidFill>
          </w14:textFill>
        </w:rPr>
        <w:t>上年结转0万元。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支出说明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收支预算总表支出栏、基本支出表、项目支出表按经济分类和支出功能分类科目编制，反映平乡县</w:t>
      </w:r>
      <w:r>
        <w:rPr>
          <w:rFonts w:hint="eastAsia" w:ascii="Times New Roman" w:hAnsi="Times New Roman" w:eastAsia="方正仿宋_GBK" w:cs="Times New Roman"/>
          <w:sz w:val="32"/>
          <w:szCs w:val="32"/>
          <w:lang w:eastAsia="zh-CN"/>
        </w:rPr>
        <w:t>审计局</w:t>
      </w:r>
      <w:r>
        <w:rPr>
          <w:rFonts w:hint="eastAsia" w:ascii="Times New Roman" w:hAnsi="Times New Roman" w:eastAsia="方正仿宋_GBK" w:cs="Times New Roman"/>
          <w:sz w:val="32"/>
          <w:szCs w:val="32"/>
        </w:rPr>
        <w:t>年度部门预算中支出预算的总体情况。2021年部门支出预算为</w:t>
      </w:r>
      <w:r>
        <w:rPr>
          <w:rFonts w:hint="eastAsia" w:ascii="Times New Roman" w:hAnsi="Times New Roman" w:eastAsia="方正仿宋_GBK" w:cs="Times New Roman"/>
          <w:sz w:val="32"/>
          <w:szCs w:val="32"/>
          <w:lang w:val="en-US" w:eastAsia="zh-CN"/>
        </w:rPr>
        <w:t>662.53</w:t>
      </w:r>
      <w:r>
        <w:rPr>
          <w:rFonts w:hint="eastAsia" w:ascii="Times New Roman" w:hAnsi="Times New Roman" w:eastAsia="方正仿宋_GBK" w:cs="Times New Roman"/>
          <w:sz w:val="32"/>
          <w:szCs w:val="32"/>
        </w:rPr>
        <w:t>万元，其中基本支出437</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53万元，包括人员经费</w:t>
      </w:r>
      <w:r>
        <w:rPr>
          <w:rFonts w:hint="eastAsia" w:ascii="Times New Roman" w:hAnsi="Times New Roman" w:eastAsia="方正仿宋_GBK" w:cs="Times New Roman"/>
          <w:sz w:val="32"/>
          <w:szCs w:val="32"/>
          <w:lang w:val="en-US" w:eastAsia="zh-CN"/>
        </w:rPr>
        <w:t>410.87</w:t>
      </w:r>
      <w:r>
        <w:rPr>
          <w:rFonts w:hint="eastAsia" w:ascii="Times New Roman" w:hAnsi="Times New Roman" w:eastAsia="方正仿宋_GBK" w:cs="Times New Roman"/>
          <w:sz w:val="32"/>
          <w:szCs w:val="32"/>
        </w:rPr>
        <w:t>万元和日常公用经费</w:t>
      </w:r>
      <w:r>
        <w:rPr>
          <w:rFonts w:hint="eastAsia" w:ascii="Times New Roman" w:hAnsi="Times New Roman" w:eastAsia="方正仿宋_GBK" w:cs="Times New Roman"/>
          <w:sz w:val="32"/>
          <w:szCs w:val="32"/>
          <w:lang w:val="en-US" w:eastAsia="zh-CN"/>
        </w:rPr>
        <w:t>26.66</w:t>
      </w:r>
      <w:r>
        <w:rPr>
          <w:rFonts w:hint="eastAsia" w:ascii="Times New Roman" w:hAnsi="Times New Roman" w:eastAsia="方正仿宋_GBK" w:cs="Times New Roman"/>
          <w:sz w:val="32"/>
          <w:szCs w:val="32"/>
        </w:rPr>
        <w:t>万元；项目支出</w:t>
      </w:r>
      <w:r>
        <w:rPr>
          <w:rFonts w:hint="eastAsia" w:ascii="Times New Roman" w:hAnsi="Times New Roman" w:eastAsia="方正仿宋_GBK" w:cs="Times New Roman"/>
          <w:sz w:val="32"/>
          <w:szCs w:val="32"/>
          <w:lang w:val="en-US" w:eastAsia="zh-CN"/>
        </w:rPr>
        <w:t>225</w:t>
      </w:r>
      <w:r>
        <w:rPr>
          <w:rFonts w:hint="eastAsia"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lang w:eastAsia="zh-CN"/>
        </w:rPr>
        <w:t>聘请中介机构审计</w:t>
      </w:r>
      <w:r>
        <w:rPr>
          <w:rFonts w:hint="eastAsia" w:ascii="Times New Roman" w:hAnsi="Times New Roman" w:eastAsia="方正仿宋_GBK" w:cs="Times New Roman"/>
          <w:sz w:val="32"/>
          <w:szCs w:val="32"/>
        </w:rPr>
        <w:t>、人员公用经费等。</w:t>
      </w:r>
    </w:p>
    <w:p>
      <w:pPr>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比上年增减情况</w:t>
      </w:r>
    </w:p>
    <w:p>
      <w:pPr>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2021年部门预算收支安排</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662.53</w:t>
      </w:r>
      <w:r>
        <w:rPr>
          <w:rFonts w:hint="eastAsia" w:ascii="Times New Roman" w:hAnsi="Times New Roman" w:eastAsia="方正仿宋_GBK" w:cs="Times New Roman"/>
          <w:color w:val="000000" w:themeColor="text1"/>
          <w:sz w:val="32"/>
          <w:szCs w:val="32"/>
          <w14:textFill>
            <w14:solidFill>
              <w14:schemeClr w14:val="tx1"/>
            </w14:solidFill>
          </w14:textFill>
        </w:rPr>
        <w:t>万元，较2020年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增加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143.50</w:t>
      </w:r>
      <w:r>
        <w:rPr>
          <w:rFonts w:hint="eastAsia" w:ascii="Times New Roman" w:hAnsi="Times New Roman" w:eastAsia="方正仿宋_GBK" w:cs="Times New Roman"/>
          <w:color w:val="000000" w:themeColor="text1"/>
          <w:sz w:val="32"/>
          <w:szCs w:val="32"/>
          <w14:textFill>
            <w14:solidFill>
              <w14:schemeClr w14:val="tx1"/>
            </w14:solidFill>
          </w14:textFill>
        </w:rPr>
        <w:t>万元，其中：基本支出增加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21.74</w:t>
      </w:r>
      <w:r>
        <w:rPr>
          <w:rFonts w:hint="eastAsia" w:ascii="Times New Roman" w:hAnsi="Times New Roman" w:eastAsia="方正仿宋_GBK" w:cs="Times New Roman"/>
          <w:color w:val="000000" w:themeColor="text1"/>
          <w:sz w:val="32"/>
          <w:szCs w:val="32"/>
          <w14:textFill>
            <w14:solidFill>
              <w14:schemeClr w14:val="tx1"/>
            </w14:solidFill>
          </w14:textFill>
        </w:rPr>
        <w:t>万元，主要是人员增加，相应增加人员经费和日常公用经费；项目支出减少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7.39</w:t>
      </w:r>
      <w:r>
        <w:rPr>
          <w:rFonts w:hint="eastAsia" w:ascii="Times New Roman" w:hAnsi="Times New Roman" w:eastAsia="方正仿宋_GBK" w:cs="Times New Roman"/>
          <w:color w:val="000000" w:themeColor="text1"/>
          <w:sz w:val="32"/>
          <w:szCs w:val="32"/>
          <w14:textFill>
            <w14:solidFill>
              <w14:schemeClr w14:val="tx1"/>
            </w14:solidFill>
          </w14:textFill>
        </w:rPr>
        <w:t>万元，主要是项目资金安排减少。</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2021年，我部门机关运行经费共计安排</w:t>
      </w:r>
      <w:r>
        <w:rPr>
          <w:rFonts w:hint="eastAsia" w:ascii="Times New Roman" w:hAnsi="Times New Roman" w:eastAsia="方正仿宋_GBK" w:cs="Times New Roman"/>
          <w:sz w:val="32"/>
          <w:szCs w:val="32"/>
          <w:lang w:val="en-US" w:eastAsia="zh-CN"/>
        </w:rPr>
        <w:t>26.66</w:t>
      </w:r>
      <w:r>
        <w:rPr>
          <w:rFonts w:hint="eastAsia" w:ascii="Times New Roman" w:hAnsi="Times New Roman" w:eastAsia="方正仿宋_GBK" w:cs="Times New Roman"/>
          <w:sz w:val="32"/>
          <w:szCs w:val="32"/>
        </w:rPr>
        <w:t>万元，主要用于保证机关正常运转的办公费、邮电费、车补等支出。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2021年，我部门财政拨款“三公”经费预算安排</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万元，其中：因公出国（境）费0万元；公务用车购置及运维费0万元；公务接待费0万元。“三公”经费比上年</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0.25</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pPr>
        <w:spacing w:line="600" w:lineRule="exact"/>
        <w:ind w:firstLine="640" w:firstLineChars="200"/>
        <w:jc w:val="left"/>
        <w:outlineLvl w:val="1"/>
        <w:rPr>
          <w:rFonts w:ascii="仿宋" w:hAnsi="仿宋" w:eastAsia="方正仿宋_GBK" w:cs="仿宋"/>
          <w:sz w:val="32"/>
          <w:szCs w:val="32"/>
        </w:rPr>
      </w:pPr>
      <w:bookmarkStart w:id="1" w:name="_Toc60388174"/>
      <w:r>
        <w:rPr>
          <w:rFonts w:hint="eastAsia" w:ascii="黑体" w:hAnsi="黑体" w:eastAsia="黑体"/>
          <w:sz w:val="32"/>
          <w:szCs w:val="32"/>
        </w:rPr>
        <w:t>（一）总体绩效目标</w:t>
      </w:r>
      <w:bookmarkEnd w:id="1"/>
      <w:r>
        <w:rPr>
          <w:rFonts w:hint="eastAsia"/>
        </w:rPr>
        <w:fldChar w:fldCharType="begin"/>
      </w:r>
      <w:r>
        <w:rPr>
          <w:rFonts w:hint="eastAsia" w:ascii="仿宋" w:hAnsi="仿宋" w:eastAsia="仿宋" w:cs="仿宋"/>
          <w:sz w:val="32"/>
          <w:szCs w:val="32"/>
        </w:rPr>
        <w:instrText xml:space="preserve"> TC 总体绩效目标 \f A \l 1 </w:instrText>
      </w:r>
      <w:r>
        <w:rPr>
          <w:rFonts w:hint="eastAsia" w:ascii="仿宋" w:hAnsi="仿宋" w:eastAsia="仿宋" w:cs="仿宋"/>
          <w:sz w:val="32"/>
          <w:szCs w:val="32"/>
        </w:rPr>
        <w:fldChar w:fldCharType="end"/>
      </w:r>
    </w:p>
    <w:p>
      <w:pPr>
        <w:spacing w:line="600" w:lineRule="exact"/>
        <w:ind w:firstLine="640" w:firstLineChars="200"/>
        <w:jc w:val="left"/>
        <w:rPr>
          <w:rFonts w:eastAsia="方正仿宋_GBK"/>
          <w:sz w:val="32"/>
          <w:szCs w:val="32"/>
        </w:rPr>
      </w:pPr>
      <w:r>
        <w:rPr>
          <w:rFonts w:eastAsia="方正仿宋_GBK"/>
          <w:sz w:val="32"/>
          <w:szCs w:val="32"/>
        </w:rPr>
        <w:t>根据《中华人民共和国审计法》、《党政主要领导干部和国有企事业单位主要负责人经济责任审计规定》，围绕全市经济工作的目标任务，突出审计重点，狠抓工作落实，依法全面履行审计监督职责，按照财政预算执行审计全覆盖、党政主要领导干部和国有企事业单位主要负责人任期内3年轮审一遍的原则，全年完成预算执行审计、经济责任审计、投资审计等审计项目，达到规范部门预算收支、提高财政资金使用绩效的目标；着力提升审计质量和审计价值，推动审计事业发展。</w:t>
      </w:r>
    </w:p>
    <w:p>
      <w:pPr>
        <w:spacing w:line="600" w:lineRule="exact"/>
        <w:ind w:firstLine="640" w:firstLineChars="200"/>
        <w:jc w:val="left"/>
        <w:outlineLvl w:val="1"/>
        <w:rPr>
          <w:rFonts w:ascii="黑体" w:hAnsi="黑体" w:eastAsia="黑体"/>
          <w:sz w:val="32"/>
          <w:szCs w:val="32"/>
        </w:rPr>
      </w:pPr>
      <w:r>
        <w:rPr>
          <w:rFonts w:hint="eastAsia" w:ascii="黑体" w:hAnsi="黑体" w:eastAsia="黑体"/>
          <w:sz w:val="32"/>
          <w:szCs w:val="32"/>
        </w:rPr>
        <w:t>（二）分项绩效目标</w:t>
      </w:r>
      <w:r>
        <w:rPr>
          <w:rFonts w:hint="eastAsia"/>
        </w:rPr>
        <w:fldChar w:fldCharType="begin"/>
      </w:r>
      <w:r>
        <w:rPr>
          <w:rFonts w:hint="eastAsia" w:ascii="黑体" w:hAnsi="黑体" w:eastAsia="黑体"/>
          <w:sz w:val="32"/>
          <w:szCs w:val="32"/>
        </w:rPr>
        <w:instrText xml:space="preserve"> TC </w:instrText>
      </w:r>
      <w:bookmarkStart w:id="2" w:name="_Toc29547415"/>
      <w:r>
        <w:rPr>
          <w:rFonts w:hint="eastAsia" w:ascii="黑体" w:hAnsi="黑体" w:eastAsia="黑体"/>
          <w:sz w:val="32"/>
          <w:szCs w:val="32"/>
        </w:rPr>
        <w:instrText xml:space="preserve">分项绩效目标</w:instrText>
      </w:r>
      <w:bookmarkEnd w:id="2"/>
      <w:r>
        <w:rPr>
          <w:rFonts w:hint="eastAsia" w:ascii="黑体" w:hAnsi="黑体" w:eastAsia="黑体"/>
          <w:sz w:val="32"/>
          <w:szCs w:val="32"/>
        </w:rPr>
        <w:instrText xml:space="preserve"> \f A \l 1 </w:instrText>
      </w:r>
      <w:r>
        <w:rPr>
          <w:rFonts w:hint="eastAsia" w:ascii="黑体" w:hAnsi="黑体" w:eastAsia="黑体"/>
          <w:sz w:val="32"/>
          <w:szCs w:val="32"/>
        </w:rPr>
        <w:fldChar w:fldCharType="end"/>
      </w:r>
    </w:p>
    <w:p>
      <w:pPr>
        <w:spacing w:line="600" w:lineRule="exact"/>
        <w:ind w:firstLine="640" w:firstLineChars="200"/>
        <w:jc w:val="left"/>
        <w:rPr>
          <w:rFonts w:eastAsia="方正仿宋_GBK"/>
          <w:sz w:val="32"/>
          <w:szCs w:val="32"/>
        </w:rPr>
      </w:pPr>
      <w:r>
        <w:rPr>
          <w:rFonts w:eastAsia="方正仿宋_GBK"/>
          <w:sz w:val="32"/>
          <w:szCs w:val="32"/>
        </w:rPr>
        <w:t>（一）依法全面履行审计监督职责</w:t>
      </w:r>
    </w:p>
    <w:p>
      <w:pPr>
        <w:spacing w:line="600" w:lineRule="exact"/>
        <w:ind w:firstLine="640" w:firstLineChars="200"/>
        <w:jc w:val="left"/>
        <w:rPr>
          <w:rFonts w:eastAsia="方正仿宋_GBK"/>
          <w:sz w:val="32"/>
          <w:szCs w:val="32"/>
        </w:rPr>
      </w:pPr>
      <w:r>
        <w:rPr>
          <w:rFonts w:eastAsia="方正仿宋_GBK"/>
          <w:sz w:val="32"/>
          <w:szCs w:val="32"/>
        </w:rPr>
        <w:t>绩效目标：按照审计署、市审计局和县政府委托要求，依法全面履行审计监督职责，按照财政预算执行审计全覆盖、党政主要领导干部和国有企事业单位主要负责人任期内3年轮审一遍的原则，全年完成预算执行审计、经济责任审计、投资审计等审计项目，审查财政收支真实、合法和效益情况，推动建立现代财政制度、提高财政资金使用绩效、维护国家财政安全，督促被审计单位提高财政资金使用效益、完善落实法规制度、做好审计问题整改工作。</w:t>
      </w:r>
    </w:p>
    <w:p>
      <w:pPr>
        <w:spacing w:line="600" w:lineRule="exact"/>
        <w:ind w:firstLine="640" w:firstLineChars="200"/>
        <w:jc w:val="left"/>
        <w:rPr>
          <w:rFonts w:eastAsia="方正仿宋_GBK"/>
          <w:sz w:val="32"/>
          <w:szCs w:val="32"/>
        </w:rPr>
      </w:pPr>
      <w:r>
        <w:rPr>
          <w:rFonts w:eastAsia="方正仿宋_GBK"/>
          <w:sz w:val="32"/>
          <w:szCs w:val="32"/>
        </w:rPr>
        <w:t>绩效指标：年度完成审计项目72项，项目完成率达到100%，审计项目合格率达到100%，项目完成及时率95%（含）以上，达到审计决定落实率达到9８%（含）以上，审计建议采纳率达到9８%以上，审计问题整改率达到9８%（含）以上，审计报告通过率达到100%，项目委托单位对审计评价报告满意度达到9５%（含）以上。</w:t>
      </w:r>
    </w:p>
    <w:p>
      <w:pPr>
        <w:spacing w:line="600" w:lineRule="exact"/>
        <w:ind w:firstLine="640" w:firstLineChars="200"/>
        <w:jc w:val="left"/>
        <w:rPr>
          <w:rFonts w:eastAsia="方正仿宋_GBK"/>
          <w:sz w:val="32"/>
          <w:szCs w:val="32"/>
        </w:rPr>
      </w:pPr>
      <w:r>
        <w:rPr>
          <w:rFonts w:eastAsia="方正仿宋_GBK"/>
          <w:sz w:val="32"/>
          <w:szCs w:val="32"/>
        </w:rPr>
        <w:t>（二）加强审计管理，提升审计质量和审计价值</w:t>
      </w:r>
    </w:p>
    <w:p>
      <w:pPr>
        <w:spacing w:line="600" w:lineRule="exact"/>
        <w:ind w:firstLine="640" w:firstLineChars="200"/>
        <w:jc w:val="left"/>
        <w:rPr>
          <w:rFonts w:eastAsia="方正仿宋_GBK"/>
          <w:sz w:val="32"/>
          <w:szCs w:val="32"/>
        </w:rPr>
      </w:pPr>
      <w:r>
        <w:rPr>
          <w:rFonts w:eastAsia="方正仿宋_GBK"/>
          <w:sz w:val="32"/>
          <w:szCs w:val="32"/>
        </w:rPr>
        <w:t>绩效目标：着力提升审计质量和审计价值，对审计人员进行审计业务培训，提高审计人员能力素质，降低审计风险发生率，受理内审业务咨询，推动各单位内部审计制度建立完善内审制度，提高内部审计质量。</w:t>
      </w:r>
    </w:p>
    <w:p>
      <w:pPr>
        <w:spacing w:line="600" w:lineRule="exact"/>
        <w:ind w:firstLine="640" w:firstLineChars="200"/>
        <w:jc w:val="left"/>
        <w:rPr>
          <w:rFonts w:eastAsia="方正仿宋_GBK"/>
          <w:sz w:val="32"/>
          <w:szCs w:val="32"/>
        </w:rPr>
      </w:pPr>
      <w:r>
        <w:rPr>
          <w:rFonts w:eastAsia="方正仿宋_GBK"/>
          <w:sz w:val="32"/>
          <w:szCs w:val="32"/>
        </w:rPr>
        <w:t>绩效指标：按照计划完成审计培训和会议，年度组织审计培训，培训对象数量占应覆盖对象数量的比率达到95%（含）以上，参训人员出勤率达到95%（含）以上，参训人员满意度达到95%（含）以上，通过培训，提高审计质量，降低质量问题发生率降低5%，无重大审计风险发生，组织道德大讲堂会议2次，培训、会议计划按期完成率达到95%（含）以上，各单位内审制度覆盖率达到90%（含）以上。</w:t>
      </w:r>
    </w:p>
    <w:p>
      <w:pPr>
        <w:spacing w:line="600" w:lineRule="exact"/>
        <w:ind w:firstLine="640" w:firstLineChars="200"/>
        <w:jc w:val="left"/>
        <w:outlineLvl w:val="1"/>
        <w:rPr>
          <w:rFonts w:eastAsia="方正仿宋_GBK"/>
          <w:sz w:val="32"/>
          <w:szCs w:val="32"/>
        </w:rPr>
      </w:pPr>
      <w:r>
        <w:rPr>
          <w:rFonts w:hint="eastAsia" w:eastAsia="黑体"/>
          <w:sz w:val="32"/>
          <w:szCs w:val="32"/>
        </w:rPr>
        <w:t>（</w:t>
      </w:r>
      <w:r>
        <w:rPr>
          <w:rFonts w:eastAsia="黑体"/>
          <w:sz w:val="32"/>
          <w:szCs w:val="32"/>
        </w:rPr>
        <w:t>三</w:t>
      </w:r>
      <w:r>
        <w:rPr>
          <w:rFonts w:hint="eastAsia" w:eastAsia="黑体"/>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3" w:name="_Toc29547416"/>
      <w:r>
        <w:rPr>
          <w:rFonts w:eastAsia="仿宋"/>
          <w:sz w:val="32"/>
          <w:szCs w:val="32"/>
        </w:rPr>
        <w:instrText xml:space="preserve">工作保障措施</w:instrText>
      </w:r>
      <w:bookmarkEnd w:id="3"/>
      <w:r>
        <w:rPr>
          <w:rFonts w:eastAsia="仿宋"/>
          <w:sz w:val="32"/>
          <w:szCs w:val="32"/>
        </w:rPr>
        <w:instrText xml:space="preserve"> \f A \l 1 </w:instrText>
      </w:r>
      <w:r>
        <w:rPr>
          <w:rFonts w:eastAsia="仿宋"/>
          <w:sz w:val="32"/>
          <w:szCs w:val="32"/>
        </w:rPr>
        <w:fldChar w:fldCharType="end"/>
      </w:r>
    </w:p>
    <w:p>
      <w:pPr>
        <w:spacing w:line="600" w:lineRule="exact"/>
        <w:ind w:firstLine="640" w:firstLineChars="200"/>
        <w:jc w:val="left"/>
        <w:rPr>
          <w:rFonts w:eastAsia="方正仿宋_GBK"/>
          <w:sz w:val="32"/>
          <w:szCs w:val="32"/>
        </w:rPr>
      </w:pPr>
      <w:r>
        <w:rPr>
          <w:rFonts w:eastAsia="方正仿宋_GBK"/>
          <w:sz w:val="32"/>
          <w:szCs w:val="32"/>
        </w:rPr>
        <w:t>（一）完善制度建设。按照市级财政重点绩效评价管理办法和部门绩效自评办法有关规定，切实发挥资金效益，坚持制度先行、规范管理，及时修订完善绩效管理制度，进一步优化绩效管理流程，规范管理行为。</w:t>
      </w:r>
    </w:p>
    <w:p>
      <w:pPr>
        <w:spacing w:line="600" w:lineRule="exact"/>
        <w:ind w:firstLine="640" w:firstLineChars="200"/>
        <w:jc w:val="left"/>
        <w:rPr>
          <w:rFonts w:eastAsia="方正仿宋_GBK"/>
          <w:sz w:val="32"/>
          <w:szCs w:val="32"/>
        </w:rPr>
      </w:pPr>
      <w:r>
        <w:rPr>
          <w:rFonts w:eastAsia="方正仿宋_GBK"/>
          <w:sz w:val="32"/>
          <w:szCs w:val="32"/>
        </w:rPr>
        <w:t>（二）加强预算支出管理。严格执行预算法规制度，编实编细预算项目，优化支出结构，及时支付资金，确保按时完成支出进度。同时，根据项目评价结果应用于当年的预算动态调整和第二年的预算编制。</w:t>
      </w:r>
    </w:p>
    <w:p>
      <w:pPr>
        <w:spacing w:line="600" w:lineRule="exact"/>
        <w:ind w:firstLine="640" w:firstLineChars="200"/>
        <w:jc w:val="left"/>
        <w:rPr>
          <w:rFonts w:eastAsia="方正仿宋_GBK"/>
          <w:sz w:val="32"/>
          <w:szCs w:val="32"/>
        </w:rPr>
      </w:pPr>
      <w:r>
        <w:rPr>
          <w:rFonts w:eastAsia="方正仿宋_GBK"/>
          <w:sz w:val="32"/>
          <w:szCs w:val="32"/>
        </w:rPr>
        <w:t>（三）做好绩效自评。根据部门预算绩效管理办法等有关法规要求，积极做好上年度部门预算绩效自评和重点评价工作，对评价中发现的问题及时整改，调整优化支出结构，提高财政资金使用效益。</w:t>
      </w:r>
    </w:p>
    <w:p>
      <w:pPr>
        <w:spacing w:line="600" w:lineRule="exact"/>
        <w:ind w:firstLine="640" w:firstLineChars="200"/>
        <w:jc w:val="left"/>
        <w:rPr>
          <w:rFonts w:eastAsia="方正仿宋_GBK"/>
          <w:sz w:val="32"/>
          <w:szCs w:val="32"/>
        </w:rPr>
      </w:pPr>
      <w:r>
        <w:rPr>
          <w:rFonts w:eastAsia="方正仿宋_GBK"/>
          <w:sz w:val="32"/>
          <w:szCs w:val="32"/>
        </w:rPr>
        <w:t>（四）规范财务资产管理。进一步完善财务制度，结合新出台的法规文件，修订相应财务规定，严格审批程序，加强固定资产登记、使用和报废处置管理，做到支出合理，物尽其用。</w:t>
      </w:r>
    </w:p>
    <w:p>
      <w:pPr>
        <w:spacing w:line="600"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lang w:eastAsia="zh-CN"/>
        </w:rPr>
        <w:t>五</w:t>
      </w:r>
      <w:r>
        <w:rPr>
          <w:rFonts w:eastAsia="方正仿宋_GBK"/>
          <w:sz w:val="32"/>
          <w:szCs w:val="32"/>
        </w:rPr>
        <w:t>）加强内部监督。加强内部监督制度建设，对绩效运行情况、重大支出决策、对外投资、资产处置及其他重要经济业务事项的决策和执行进行督导，完善内审制度，对会计资料进行内部审计，并配合做好审计、财政监督等外部监督工作，确保财政资金安全有效。</w:t>
      </w:r>
    </w:p>
    <w:p>
      <w:pPr>
        <w:spacing w:line="600"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lang w:eastAsia="zh-CN"/>
        </w:rPr>
        <w:t>六</w:t>
      </w:r>
      <w:r>
        <w:rPr>
          <w:rFonts w:eastAsia="方正仿宋_GBK"/>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line="600" w:lineRule="exact"/>
        <w:ind w:firstLine="2249" w:firstLineChars="700"/>
        <w:jc w:val="both"/>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spacing w:line="300" w:lineRule="exact"/>
        <w:ind w:firstLine="420" w:firstLineChars="200"/>
        <w:jc w:val="left"/>
      </w:pPr>
    </w:p>
    <w:p>
      <w:pPr>
        <w:jc w:val="center"/>
      </w:pPr>
    </w:p>
    <w:p>
      <w:pPr>
        <w:ind w:firstLine="562" w:firstLineChars="200"/>
        <w:jc w:val="left"/>
        <w:outlineLvl w:val="3"/>
        <w:rPr>
          <w:rFonts w:ascii="Times New Roman" w:hAnsi="宋体"/>
          <w:b/>
          <w:sz w:val="28"/>
        </w:rPr>
      </w:pPr>
      <w:bookmarkStart w:id="4" w:name="_Toc67654006"/>
      <w:r>
        <w:rPr>
          <w:rFonts w:hint="eastAsia" w:ascii="方正仿宋_GBK" w:eastAsia="方正仿宋_GBK"/>
          <w:b/>
          <w:sz w:val="28"/>
        </w:rPr>
        <w:t>1.审计工作经费绩效目标表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1、审计工作经费绩效目标表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319001</w:t>
            </w:r>
            <w:r>
              <w:rPr>
                <w:rFonts w:hint="eastAsia" w:ascii="方正书宋_GBK" w:eastAsia="方正书宋_GBK"/>
                <w:b/>
              </w:rPr>
              <w:t>平乡县审计局本级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130532218N1XGABGFEGKF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审计工作经费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对县政府</w:t>
            </w:r>
            <w:r>
              <w:rPr>
                <w:rFonts w:hint="eastAsia" w:ascii="方正书宋_GBK" w:eastAsia="方正书宋_GBK"/>
                <w:lang w:val="en-US" w:eastAsia="zh-CN"/>
              </w:rPr>
              <w:t>安</w:t>
            </w:r>
            <w:r>
              <w:rPr>
                <w:rFonts w:hint="eastAsia" w:ascii="方正书宋_GBK" w:eastAsia="方正书宋_GBK"/>
              </w:rPr>
              <w:t>排的政府投资项目的真实、合法和效益情况进行审计；以及更好的完成上级审计机关、县委、县政府交办的各项审计任务。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按照我局审计工作计划和县委县政府及市审计局交办的各项审计项目，维护国家财政经济秩序。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解决我局在政府投资项目竣工结算审计中审计力量不足、相关专业知识不能满足审计工作需要问题。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更好圆满完成各项审计工作任务。</w:t>
            </w:r>
          </w:p>
        </w:tc>
      </w:tr>
    </w:tbl>
    <w:p>
      <w:pPr>
        <w:spacing w:line="14" w:lineRule="exact"/>
        <w:jc w:val="center"/>
        <w:rPr>
          <w:rFonts w:ascii="Times New Roman"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审计单位数量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开展预算执行审计、经责审计等的单位数量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审计报告</w:t>
            </w:r>
            <w:r>
              <w:rPr>
                <w:rFonts w:ascii="方正书宋_GBK" w:eastAsia="方正书宋_GBK"/>
              </w:rPr>
              <w:t xml:space="preserve"> </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审计通知书</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完成的工作占全部工作的比率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各项目计划完成及时率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各项目按照计划完成任务及时率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审计报告书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委托第三方所需成本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委托第三方审计发生的费用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160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审计法及平乡县审计局聘请外部人员参与审计工作管理办法及县级差旅费管理办法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审计建议采纳率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被采纳的审计建议占全部审计建议的比率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任务目标完成率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已经完成的任务目标占所有任务目标的比率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被审单位整改措施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审计问题整改率</w:t>
            </w:r>
            <w:r>
              <w:rPr>
                <w:rFonts w:ascii="方正书宋_GBK" w:eastAsia="方正书宋_GBK"/>
              </w:rPr>
              <w:t xml:space="preserve">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反映审计结果落实情况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审计建议采纳率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被审计单位反馈意见结果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审计反馈意见书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审计反馈意见书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审计报告满意情况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通过审计报告征求无意见</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审计报告</w:t>
            </w:r>
            <w:r>
              <w:rPr>
                <w:rFonts w:ascii="方正书宋_GBK" w:eastAsia="方正书宋_GBK"/>
              </w:rPr>
              <w:t xml:space="preserve"> </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审计报告</w:t>
            </w:r>
            <w:r>
              <w:rPr>
                <w:rFonts w:ascii="方正书宋_GBK" w:eastAsia="方正书宋_GBK"/>
              </w:rPr>
              <w:t xml:space="preserve"> </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5" w:name="_Toc67654007"/>
      <w:r>
        <w:rPr>
          <w:rFonts w:hint="eastAsia" w:ascii="方正仿宋_GBK" w:eastAsia="方正仿宋_GBK"/>
          <w:b/>
          <w:sz w:val="28"/>
        </w:rPr>
        <w:t>2.冀财行[2020]158号河北省财政厅关于提前下达2021年中央审计专项补助经费的通知绩效目标表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2、冀财行[2020]158号河北省财政厅关于提前下达2021年中央审计专项补助经费的通知绩效目标表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319001</w:t>
            </w:r>
            <w:r>
              <w:rPr>
                <w:rFonts w:hint="eastAsia" w:ascii="方正书宋_GBK" w:eastAsia="方正书宋_GBK"/>
                <w:b/>
              </w:rPr>
              <w:t>平乡县审计局本级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13053221OA8QGQ81LOGG7</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冀财行</w:t>
            </w:r>
            <w:r>
              <w:rPr>
                <w:rFonts w:ascii="方正书宋_GBK" w:eastAsia="方正书宋_GBK"/>
              </w:rPr>
              <w:t>[2020]158</w:t>
            </w:r>
            <w:r>
              <w:rPr>
                <w:rFonts w:hint="eastAsia" w:ascii="方正书宋_GBK" w:eastAsia="方正书宋_GBK"/>
              </w:rPr>
              <w:t>号河北省财政厅关于提前下达</w:t>
            </w:r>
            <w:r>
              <w:rPr>
                <w:rFonts w:ascii="方正书宋_GBK" w:eastAsia="方正书宋_GBK"/>
              </w:rPr>
              <w:t>2021</w:t>
            </w:r>
            <w:r>
              <w:rPr>
                <w:rFonts w:hint="eastAsia" w:ascii="方正书宋_GBK" w:eastAsia="方正书宋_GBK"/>
              </w:rPr>
              <w:t>年中央审计专项补助经费的通知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对县政府</w:t>
            </w:r>
            <w:r>
              <w:rPr>
                <w:rFonts w:hint="eastAsia" w:ascii="方正书宋_GBK" w:eastAsia="方正书宋_GBK"/>
                <w:lang w:val="en-US" w:eastAsia="zh-CN"/>
              </w:rPr>
              <w:t>安</w:t>
            </w:r>
            <w:bookmarkStart w:id="7" w:name="_GoBack"/>
            <w:bookmarkEnd w:id="7"/>
            <w:r>
              <w:rPr>
                <w:rFonts w:hint="eastAsia" w:ascii="方正书宋_GBK" w:eastAsia="方正书宋_GBK"/>
              </w:rPr>
              <w:t>排的政府投资项目的真实、合法和效益情况进行审计；以及更好的完成上级审计机关、县委、县政府交办的各项审计任务。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按照我局审计工作计划和县委县政府及市审计局交办的各项审计项目，维护国家财政经济秩序。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更好圆满完成各项审计工作任务。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解决我局在政府投资项目竣工结算审计中审计力量不足、相关专业知识不能满足审计工作需要问题。</w:t>
            </w:r>
          </w:p>
        </w:tc>
      </w:tr>
    </w:tbl>
    <w:p>
      <w:pPr>
        <w:spacing w:line="14" w:lineRule="exact"/>
        <w:jc w:val="center"/>
        <w:rPr>
          <w:rFonts w:ascii="Times New Roman"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审计单位数量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开展预算执行审计、经责审计等的单位数量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审计报告</w:t>
            </w:r>
            <w:r>
              <w:rPr>
                <w:rFonts w:ascii="方正书宋_GBK" w:eastAsia="方正书宋_GBK"/>
              </w:rPr>
              <w:t xml:space="preserve"> </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审计通知书</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完成的工作占全部工作的比率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各项目计划完成时间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各项目按照计划完成任务时间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审计报告书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按照年初计划审计发生费用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审计报告书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挽回经济损失</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通过问题查处所挽回胡经济损失金额</w:t>
            </w:r>
            <w:r>
              <w:rPr>
                <w:rFonts w:ascii="方正书宋_GBK" w:eastAsia="方正书宋_GBK"/>
              </w:rPr>
              <w:t>100</w:t>
            </w:r>
            <w:r>
              <w:rPr>
                <w:rFonts w:hint="eastAsia" w:ascii="方正书宋_GBK" w:eastAsia="方正书宋_GBK"/>
              </w:rPr>
              <w:t>万元</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审计建议采纳率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被采纳的审计建议占全部审计建议的比率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发挥资金使用率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被审计单位满意度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审计报告满意情况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帮扶对象满意度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帮扶对象对扶贫工作落实情况满意度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方正仿宋_GBK" w:cs="Times New Roman"/>
          <w:sz w:val="32"/>
          <w:szCs w:val="24"/>
        </w:rPr>
      </w:pPr>
      <w:bookmarkStart w:id="6" w:name="_Toc471398468"/>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书宋_GBK" w:cs="Times New Roman"/>
          <w:b/>
          <w:sz w:val="32"/>
          <w:szCs w:val="32"/>
        </w:rPr>
        <w:t>0</w:t>
      </w:r>
      <w:r>
        <w:rPr>
          <w:rFonts w:ascii="Times New Roman" w:hAnsi="Times New Roman" w:eastAsia="方正仿宋_GBK" w:cs="Times New Roman"/>
          <w:sz w:val="32"/>
          <w:szCs w:val="24"/>
        </w:rPr>
        <w:t>万元。</w:t>
      </w:r>
      <w:bookmarkEnd w:id="6"/>
    </w:p>
    <w:p>
      <w:pPr>
        <w:tabs>
          <w:tab w:val="left" w:pos="242"/>
        </w:tabs>
        <w:jc w:val="left"/>
        <w:sectPr>
          <w:footerReference r:id="rId3" w:type="default"/>
          <w:pgSz w:w="11907" w:h="16839"/>
          <w:pgMar w:top="1985" w:right="1304" w:bottom="1134" w:left="1304" w:header="851" w:footer="992" w:gutter="0"/>
          <w:cols w:space="720" w:num="1"/>
          <w:docGrid w:type="linesAndChar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平乡县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审计局</w:t>
      </w:r>
      <w:r>
        <w:rPr>
          <w:rFonts w:hint="eastAsia" w:ascii="Times New Roman" w:hAnsi="Times New Roman" w:eastAsia="方正仿宋_GBK" w:cs="Times New Roman"/>
          <w:color w:val="000000" w:themeColor="text1"/>
          <w:sz w:val="32"/>
          <w:szCs w:val="32"/>
          <w14:textFill>
            <w14:solidFill>
              <w14:schemeClr w14:val="tx1"/>
            </w14:solidFill>
          </w14:textFill>
        </w:rPr>
        <w:t>2020</w:t>
      </w:r>
      <w:r>
        <w:rPr>
          <w:rFonts w:ascii="Times New Roman" w:hAnsi="Times New Roman" w:eastAsia="方正仿宋_GBK" w:cs="Times New Roman"/>
          <w:color w:val="000000" w:themeColor="text1"/>
          <w:sz w:val="32"/>
          <w:szCs w:val="32"/>
          <w14:textFill>
            <w14:solidFill>
              <w14:schemeClr w14:val="tx1"/>
            </w14:solidFill>
          </w14:textFill>
        </w:rPr>
        <w:t>年末固定资产金额为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20.14</w:t>
      </w:r>
      <w:r>
        <w:rPr>
          <w:rFonts w:ascii="Times New Roman" w:hAnsi="Times New Roman" w:eastAsia="方正仿宋_GBK" w:cs="Times New Roman"/>
          <w:color w:val="000000" w:themeColor="text1"/>
          <w:sz w:val="32"/>
          <w:szCs w:val="32"/>
          <w14:textFill>
            <w14:solidFill>
              <w14:schemeClr w14:val="tx1"/>
            </w14:solidFill>
          </w14:textFill>
        </w:rPr>
        <w:t>万元（详见下表）</w:t>
      </w:r>
      <w:r>
        <w:rPr>
          <w:rFonts w:hint="eastAsia" w:ascii="Times New Roman" w:hAnsi="Times New Roman" w:eastAsia="方正仿宋_GBK" w:cs="Times New Roman"/>
          <w:color w:val="000000" w:themeColor="text1"/>
          <w:sz w:val="32"/>
          <w:szCs w:val="32"/>
          <w14:textFill>
            <w14:solidFill>
              <w14:schemeClr w14:val="tx1"/>
            </w14:solidFill>
          </w14:textFill>
        </w:rPr>
        <w:t>。</w:t>
      </w:r>
    </w:p>
    <w:tbl>
      <w:tblPr>
        <w:tblStyle w:val="3"/>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方正仿宋_GBK" w:cs="Times New Roman"/>
                <w:kern w:val="0"/>
                <w:sz w:val="22"/>
                <w:lang w:eastAsia="zh-CN"/>
              </w:rPr>
            </w:pPr>
            <w:r>
              <w:rPr>
                <w:rFonts w:ascii="Times New Roman" w:hAnsi="Times New Roman" w:eastAsia="方正仿宋_GBK" w:cs="Times New Roman"/>
                <w:kern w:val="0"/>
                <w:sz w:val="22"/>
              </w:rPr>
              <w:t>编制部门：</w:t>
            </w:r>
            <w:r>
              <w:rPr>
                <w:rFonts w:hint="eastAsia" w:ascii="Times New Roman" w:hAnsi="Times New Roman" w:eastAsia="方正仿宋_GBK" w:cs="Times New Roman"/>
                <w:kern w:val="0"/>
                <w:sz w:val="22"/>
              </w:rPr>
              <w:t>平乡县</w:t>
            </w:r>
            <w:r>
              <w:rPr>
                <w:rFonts w:hint="eastAsia" w:ascii="Times New Roman" w:hAnsi="Times New Roman" w:eastAsia="方正仿宋_GBK" w:cs="Times New Roman"/>
                <w:kern w:val="0"/>
                <w:sz w:val="22"/>
                <w:lang w:eastAsia="zh-CN"/>
              </w:rPr>
              <w:t>审计局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截止时间：20</w:t>
            </w:r>
            <w:r>
              <w:rPr>
                <w:rFonts w:hint="eastAsia" w:ascii="Times New Roman" w:hAnsi="Times New Roman" w:eastAsia="方正仿宋_GBK" w:cs="Times New Roman"/>
                <w:kern w:val="0"/>
                <w:sz w:val="22"/>
              </w:rPr>
              <w:t>20</w:t>
            </w:r>
            <w:r>
              <w:rPr>
                <w:rFonts w:ascii="Times New Roman" w:hAnsi="Times New Roman" w:eastAsia="方正仿宋_GBK" w:cs="Times New Roman"/>
                <w:kern w:val="0"/>
                <w:sz w:val="22"/>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Times New Roman" w:hAnsi="Times New Roman" w:eastAsia="方正仿宋_GBK" w:cs="Times New Roman"/>
                <w:kern w:val="0"/>
                <w:sz w:val="22"/>
                <w:lang w:val="en-US" w:eastAsia="zh-CN"/>
              </w:rPr>
              <w:t>363</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color w:val="FF0000"/>
                <w:kern w:val="0"/>
                <w:sz w:val="22"/>
              </w:rPr>
            </w:pPr>
            <w:r>
              <w:rPr>
                <w:rFonts w:hint="eastAsia" w:ascii="Times New Roman" w:hAnsi="Times New Roman" w:eastAsia="方正仿宋_GBK" w:cs="Times New Roman"/>
                <w:color w:val="000000"/>
                <w:kern w:val="0"/>
                <w:sz w:val="22"/>
              </w:rPr>
              <w:t>20</w:t>
            </w:r>
            <w:r>
              <w:rPr>
                <w:rFonts w:hint="eastAsia" w:ascii="Times New Roman" w:hAnsi="Times New Roman" w:eastAsia="方正仿宋_GBK" w:cs="Times New Roman"/>
                <w:color w:val="000000"/>
                <w:kern w:val="0"/>
                <w:sz w:val="22"/>
                <w:lang w:val="en-US" w:eastAsia="zh-CN"/>
              </w:rPr>
              <w:t>.</w:t>
            </w:r>
            <w:r>
              <w:rPr>
                <w:rFonts w:hint="eastAsia" w:ascii="Times New Roman" w:hAnsi="Times New Roman" w:eastAsia="方正仿宋_GBK" w:cs="Times New Roman"/>
                <w:color w:val="000000"/>
                <w:kern w:val="0"/>
                <w:sz w:val="22"/>
              </w:rPr>
              <w:t>14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w:t>
            </w:r>
            <w:r>
              <w:rPr>
                <w:rFonts w:hint="eastAsia" w:ascii="Times New Roman" w:hAnsi="Times New Roman" w:eastAsia="方正仿宋_GBK" w:cs="Times New Roman"/>
                <w:kern w:val="0"/>
                <w:sz w:val="22"/>
              </w:rPr>
              <w:t>通用设备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212</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rPr>
              <w:t>16</w:t>
            </w:r>
            <w:r>
              <w:rPr>
                <w:rFonts w:hint="eastAsia" w:ascii="Times New Roman" w:hAnsi="Times New Roman" w:eastAsia="方正仿宋_GBK" w:cs="Times New Roman"/>
                <w:kern w:val="0"/>
                <w:sz w:val="22"/>
                <w:lang w:val="en-US" w:eastAsia="zh-CN"/>
              </w:rPr>
              <w:t>.</w:t>
            </w:r>
            <w:r>
              <w:rPr>
                <w:rFonts w:hint="eastAsia" w:ascii="Times New Roman" w:hAnsi="Times New Roman" w:eastAsia="方正仿宋_GBK" w:cs="Times New Roman"/>
                <w:kern w:val="0"/>
                <w:sz w:val="22"/>
              </w:rPr>
              <w:t>5</w:t>
            </w:r>
            <w:r>
              <w:rPr>
                <w:rFonts w:hint="eastAsia" w:ascii="Times New Roman" w:hAnsi="Times New Roman" w:eastAsia="方正仿宋_GBK" w:cs="Times New Roman"/>
                <w:kern w:val="0"/>
                <w:sz w:val="22"/>
                <w:lang w:val="en-US" w:eastAsia="zh-CN"/>
              </w:rPr>
              <w:t>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方正仿宋_GBK" w:cs="Times New Roman"/>
                <w:kern w:val="0"/>
                <w:sz w:val="22"/>
                <w:lang w:val="en-US" w:eastAsia="zh-CN"/>
              </w:rPr>
              <w:t>2、</w:t>
            </w:r>
            <w:r>
              <w:rPr>
                <w:rFonts w:hint="eastAsia" w:ascii="Times New Roman" w:hAnsi="Times New Roman" w:eastAsia="方正仿宋_GBK" w:cs="Times New Roman"/>
                <w:kern w:val="0"/>
                <w:sz w:val="22"/>
              </w:rPr>
              <w:t>家具、用具、装具及动植物</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150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3</w:t>
            </w:r>
            <w:r>
              <w:rPr>
                <w:rFonts w:hint="eastAsia" w:ascii="Times New Roman" w:hAnsi="Times New Roman" w:eastAsia="方正仿宋_GBK" w:cs="Times New Roman"/>
                <w:kern w:val="0"/>
                <w:sz w:val="22"/>
                <w:lang w:val="en-US" w:eastAsia="zh-CN"/>
              </w:rPr>
              <w:t>.</w:t>
            </w:r>
            <w:r>
              <w:rPr>
                <w:rFonts w:hint="eastAsia" w:ascii="Times New Roman" w:hAnsi="Times New Roman" w:eastAsia="方正仿宋_GBK" w:cs="Times New Roman"/>
                <w:kern w:val="0"/>
                <w:sz w:val="22"/>
              </w:rPr>
              <w:t>20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w:t>
            </w:r>
            <w:r>
              <w:rPr>
                <w:rFonts w:hint="eastAsia" w:ascii="Times New Roman" w:hAnsi="Times New Roman" w:eastAsia="方正仿宋_GBK" w:cs="Times New Roman"/>
                <w:kern w:val="0"/>
                <w:sz w:val="22"/>
              </w:rPr>
              <w:t>图书、档案</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0.36</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1、一般公共预算拨款收入：指县级财政当年拨付的资金。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2、事业收入：指事业单位开展专业业务活动及辅助活动所取得的收入。</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4、基本支出：指为保障机构正常运转、完成日常工作任务而发生的人员支出和公用支出。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5、项目支出：指在基本支出之外为完成特定行政任务和事业发展目标所发生的支出。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6、上缴上级支出：指下级单位上缴上级的支出。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9、上年结转：指以前年度尚未完成、结转到本年仍按原规定用途继续使用的资金。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0"/>
    </w:p>
    <w:p/>
    <w:sectPr>
      <w:footerReference r:id="rId4"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34</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36</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MTBlMGQxNjcyYWE2NDY2MmJiYTAyNzQ0MWNhZjAifQ=="/>
  </w:docVars>
  <w:rsids>
    <w:rsidRoot w:val="3DEB1CD8"/>
    <w:rsid w:val="3DEB1CD8"/>
    <w:rsid w:val="40A47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character" w:styleId="5">
    <w:name w:val="page number"/>
    <w:unhideWhenUsed/>
    <w:qFormat/>
    <w:uiPriority w:val="99"/>
  </w:style>
  <w:style w:type="character" w:styleId="6">
    <w:name w:val="Hyperlink"/>
    <w:basedOn w:val="4"/>
    <w:unhideWhenUsed/>
    <w:qFormat/>
    <w:uiPriority w:val="99"/>
    <w:rPr>
      <w:color w:val="0000FF"/>
      <w:u w:val="single"/>
    </w:rPr>
  </w:style>
  <w:style w:type="character" w:customStyle="1" w:styleId="7">
    <w:name w:val="页码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4803</Words>
  <Characters>5124</Characters>
  <Lines>0</Lines>
  <Paragraphs>0</Paragraphs>
  <TotalTime>7</TotalTime>
  <ScaleCrop>false</ScaleCrop>
  <LinksUpToDate>false</LinksUpToDate>
  <CharactersWithSpaces>5202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2021-04-06T02:32:00Z</dcterms:created>
  <dc:creator>琛默</dc:creator>
  <cp:lastModifiedBy>Administrator</cp:lastModifiedBy>
  <dcterms:modified xsi:type="dcterms:W3CDTF">2024-07-13T02:28:19Z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F5394614F9AD4D859262EE0FAA359D42_13</vt:lpwstr>
  </property>
</Properties>
</file>