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both"/>
        <w:sectPr>
          <w:footerReference r:id="rId3" w:type="default"/>
          <w:footerReference r:id="rId4" w:type="even"/>
          <w:pgSz w:w="16840" w:h="11900" w:orient="landscape"/>
          <w:pgMar w:top="1361" w:right="1020" w:bottom="1134" w:left="1020" w:header="720" w:footer="720" w:gutter="0"/>
          <w:pgNumType w:start="1"/>
          <w:cols w:space="720" w:num="1"/>
        </w:sectPr>
      </w:pPr>
    </w:p>
    <w:p>
      <w:pPr>
        <w:ind w:firstLine="5400" w:firstLineChars="1500"/>
        <w:jc w:val="both"/>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426平乡县应急管理局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545.26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461.32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545.26</w:t>
            </w:r>
          </w:p>
        </w:tc>
        <w:tc>
          <w:tcPr>
            <w:tcW w:w="4535" w:type="dxa"/>
            <w:vAlign w:val="center"/>
          </w:tcPr>
          <w:p>
            <w:pPr>
              <w:pStyle w:val="12"/>
            </w:pPr>
            <w:r>
              <w:t>本年支出合计</w:t>
            </w:r>
          </w:p>
        </w:tc>
        <w:tc>
          <w:tcPr>
            <w:tcW w:w="2126" w:type="dxa"/>
            <w:vAlign w:val="center"/>
          </w:tcPr>
          <w:p>
            <w:pPr>
              <w:pStyle w:val="13"/>
            </w:pPr>
            <w:r>
              <w:t>545.26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545.26</w:t>
            </w:r>
          </w:p>
        </w:tc>
        <w:tc>
          <w:tcPr>
            <w:tcW w:w="4535" w:type="dxa"/>
            <w:vAlign w:val="center"/>
          </w:tcPr>
          <w:p>
            <w:pPr>
              <w:pStyle w:val="12"/>
            </w:pPr>
            <w:r>
              <w:t>支出总计</w:t>
            </w:r>
          </w:p>
        </w:tc>
        <w:tc>
          <w:tcPr>
            <w:tcW w:w="2126" w:type="dxa"/>
            <w:vAlign w:val="center"/>
          </w:tcPr>
          <w:p>
            <w:pPr>
              <w:pStyle w:val="13"/>
            </w:pPr>
            <w:r>
              <w:t>545.26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426平乡县应急管理局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545.26</w:t>
            </w:r>
          </w:p>
        </w:tc>
        <w:tc>
          <w:tcPr>
            <w:tcW w:w="1134" w:type="dxa"/>
            <w:vAlign w:val="center"/>
          </w:tcPr>
          <w:p>
            <w:pPr>
              <w:pStyle w:val="13"/>
            </w:pPr>
            <w:r>
              <w:t>545.26</w:t>
            </w:r>
          </w:p>
        </w:tc>
        <w:tc>
          <w:tcPr>
            <w:tcW w:w="1134" w:type="dxa"/>
            <w:vAlign w:val="center"/>
          </w:tcPr>
          <w:p>
            <w:pPr>
              <w:pStyle w:val="13"/>
            </w:pPr>
            <w:r>
              <w:t>545.26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461.32</w:t>
            </w:r>
          </w:p>
        </w:tc>
        <w:tc>
          <w:tcPr>
            <w:tcW w:w="1134" w:type="dxa"/>
            <w:vAlign w:val="center"/>
          </w:tcPr>
          <w:p>
            <w:pPr>
              <w:pStyle w:val="9"/>
            </w:pPr>
            <w:r>
              <w:t>461.32</w:t>
            </w:r>
          </w:p>
        </w:tc>
        <w:tc>
          <w:tcPr>
            <w:tcW w:w="1134" w:type="dxa"/>
            <w:vAlign w:val="center"/>
          </w:tcPr>
          <w:p>
            <w:pPr>
              <w:pStyle w:val="9"/>
            </w:pPr>
            <w:r>
              <w:t>461.32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350.53</w:t>
            </w:r>
          </w:p>
        </w:tc>
        <w:tc>
          <w:tcPr>
            <w:tcW w:w="1134" w:type="dxa"/>
            <w:vAlign w:val="center"/>
          </w:tcPr>
          <w:p>
            <w:pPr>
              <w:pStyle w:val="9"/>
            </w:pPr>
            <w:r>
              <w:t>350.53</w:t>
            </w:r>
          </w:p>
        </w:tc>
        <w:tc>
          <w:tcPr>
            <w:tcW w:w="1134" w:type="dxa"/>
            <w:vAlign w:val="center"/>
          </w:tcPr>
          <w:p>
            <w:pPr>
              <w:pStyle w:val="9"/>
            </w:pPr>
            <w:r>
              <w:t>350.53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278.03</w:t>
            </w:r>
          </w:p>
        </w:tc>
        <w:tc>
          <w:tcPr>
            <w:tcW w:w="1134" w:type="dxa"/>
            <w:vAlign w:val="center"/>
          </w:tcPr>
          <w:p>
            <w:pPr>
              <w:pStyle w:val="9"/>
            </w:pPr>
            <w:r>
              <w:t>278.03</w:t>
            </w:r>
          </w:p>
        </w:tc>
        <w:tc>
          <w:tcPr>
            <w:tcW w:w="1134" w:type="dxa"/>
            <w:vAlign w:val="center"/>
          </w:tcPr>
          <w:p>
            <w:pPr>
              <w:pStyle w:val="9"/>
            </w:pPr>
            <w:r>
              <w:t>278.03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12.50</w:t>
            </w:r>
          </w:p>
        </w:tc>
        <w:tc>
          <w:tcPr>
            <w:tcW w:w="1134" w:type="dxa"/>
            <w:vAlign w:val="center"/>
          </w:tcPr>
          <w:p>
            <w:pPr>
              <w:pStyle w:val="9"/>
            </w:pPr>
            <w:r>
              <w:t>12.50</w:t>
            </w:r>
          </w:p>
        </w:tc>
        <w:tc>
          <w:tcPr>
            <w:tcW w:w="1134" w:type="dxa"/>
            <w:vAlign w:val="center"/>
          </w:tcPr>
          <w:p>
            <w:pPr>
              <w:pStyle w:val="9"/>
            </w:pPr>
            <w:r>
              <w:t>12.50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2240502</w:t>
            </w:r>
          </w:p>
        </w:tc>
        <w:tc>
          <w:tcPr>
            <w:tcW w:w="1559" w:type="dxa"/>
            <w:vAlign w:val="center"/>
          </w:tcPr>
          <w:p>
            <w:pPr>
              <w:pStyle w:val="10"/>
            </w:pPr>
            <w:r>
              <w:t>一般行政管理事务</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2240601</w:t>
            </w:r>
          </w:p>
        </w:tc>
        <w:tc>
          <w:tcPr>
            <w:tcW w:w="1559" w:type="dxa"/>
            <w:vAlign w:val="center"/>
          </w:tcPr>
          <w:p>
            <w:pPr>
              <w:pStyle w:val="10"/>
            </w:pPr>
            <w:r>
              <w:t>地质灾害防治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545.26</w:t>
            </w:r>
          </w:p>
        </w:tc>
        <w:tc>
          <w:tcPr>
            <w:tcW w:w="1361" w:type="dxa"/>
            <w:vAlign w:val="center"/>
          </w:tcPr>
          <w:p>
            <w:pPr>
              <w:pStyle w:val="13"/>
            </w:pPr>
            <w:r>
              <w:t>361.97</w:t>
            </w:r>
          </w:p>
        </w:tc>
        <w:tc>
          <w:tcPr>
            <w:tcW w:w="1361" w:type="dxa"/>
            <w:vAlign w:val="center"/>
          </w:tcPr>
          <w:p>
            <w:pPr>
              <w:pStyle w:val="13"/>
            </w:pPr>
            <w:r>
              <w:t>183.29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w:t>
            </w:r>
          </w:p>
        </w:tc>
        <w:tc>
          <w:tcPr>
            <w:tcW w:w="4536" w:type="dxa"/>
            <w:vAlign w:val="center"/>
          </w:tcPr>
          <w:p>
            <w:pPr>
              <w:pStyle w:val="10"/>
            </w:pPr>
            <w:r>
              <w:t>灾害防治及应急管理支出</w:t>
            </w:r>
          </w:p>
        </w:tc>
        <w:tc>
          <w:tcPr>
            <w:tcW w:w="1361" w:type="dxa"/>
            <w:vAlign w:val="center"/>
          </w:tcPr>
          <w:p>
            <w:pPr>
              <w:pStyle w:val="9"/>
            </w:pPr>
            <w:r>
              <w:t>461.32</w:t>
            </w:r>
          </w:p>
        </w:tc>
        <w:tc>
          <w:tcPr>
            <w:tcW w:w="1361" w:type="dxa"/>
            <w:vAlign w:val="center"/>
          </w:tcPr>
          <w:p>
            <w:pPr>
              <w:pStyle w:val="9"/>
            </w:pPr>
            <w:r>
              <w:t>278.03</w:t>
            </w:r>
          </w:p>
        </w:tc>
        <w:tc>
          <w:tcPr>
            <w:tcW w:w="1361" w:type="dxa"/>
            <w:vAlign w:val="center"/>
          </w:tcPr>
          <w:p>
            <w:pPr>
              <w:pStyle w:val="9"/>
            </w:pPr>
            <w:r>
              <w:t>183.29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w:t>
            </w:r>
          </w:p>
        </w:tc>
        <w:tc>
          <w:tcPr>
            <w:tcW w:w="4536" w:type="dxa"/>
            <w:vAlign w:val="center"/>
          </w:tcPr>
          <w:p>
            <w:pPr>
              <w:pStyle w:val="10"/>
            </w:pPr>
            <w:r>
              <w:t>应急管理事务</w:t>
            </w:r>
          </w:p>
        </w:tc>
        <w:tc>
          <w:tcPr>
            <w:tcW w:w="1361" w:type="dxa"/>
            <w:vAlign w:val="center"/>
          </w:tcPr>
          <w:p>
            <w:pPr>
              <w:pStyle w:val="9"/>
            </w:pPr>
            <w:r>
              <w:t>350.53</w:t>
            </w:r>
          </w:p>
        </w:tc>
        <w:tc>
          <w:tcPr>
            <w:tcW w:w="1361" w:type="dxa"/>
            <w:vAlign w:val="center"/>
          </w:tcPr>
          <w:p>
            <w:pPr>
              <w:pStyle w:val="9"/>
            </w:pPr>
            <w:r>
              <w:t>278.03</w:t>
            </w:r>
          </w:p>
        </w:tc>
        <w:tc>
          <w:tcPr>
            <w:tcW w:w="1361" w:type="dxa"/>
            <w:vAlign w:val="center"/>
          </w:tcPr>
          <w:p>
            <w:pPr>
              <w:pStyle w:val="9"/>
            </w:pPr>
            <w:r>
              <w:t>72.50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2240101</w:t>
            </w:r>
          </w:p>
        </w:tc>
        <w:tc>
          <w:tcPr>
            <w:tcW w:w="4536" w:type="dxa"/>
            <w:vAlign w:val="center"/>
          </w:tcPr>
          <w:p>
            <w:pPr>
              <w:pStyle w:val="10"/>
            </w:pPr>
            <w:r>
              <w:t>行政运行</w:t>
            </w:r>
          </w:p>
        </w:tc>
        <w:tc>
          <w:tcPr>
            <w:tcW w:w="1361" w:type="dxa"/>
            <w:vAlign w:val="center"/>
          </w:tcPr>
          <w:p>
            <w:pPr>
              <w:pStyle w:val="9"/>
            </w:pPr>
            <w:r>
              <w:t>278.03</w:t>
            </w:r>
          </w:p>
        </w:tc>
        <w:tc>
          <w:tcPr>
            <w:tcW w:w="1361" w:type="dxa"/>
            <w:vAlign w:val="center"/>
          </w:tcPr>
          <w:p>
            <w:pPr>
              <w:pStyle w:val="9"/>
            </w:pPr>
            <w:r>
              <w:t>278.03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6" w:type="dxa"/>
            <w:vAlign w:val="center"/>
          </w:tcPr>
          <w:p>
            <w:pPr>
              <w:pStyle w:val="10"/>
            </w:pPr>
            <w:r>
              <w:t>安全监管</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6" w:type="dxa"/>
            <w:vAlign w:val="center"/>
          </w:tcPr>
          <w:p>
            <w:pPr>
              <w:pStyle w:val="10"/>
            </w:pPr>
            <w:r>
              <w:t>应急救援</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6" w:type="dxa"/>
            <w:vAlign w:val="center"/>
          </w:tcPr>
          <w:p>
            <w:pPr>
              <w:pStyle w:val="10"/>
            </w:pPr>
            <w:r>
              <w:t>应急管理</w:t>
            </w:r>
          </w:p>
        </w:tc>
        <w:tc>
          <w:tcPr>
            <w:tcW w:w="1361" w:type="dxa"/>
            <w:vAlign w:val="center"/>
          </w:tcPr>
          <w:p>
            <w:pPr>
              <w:pStyle w:val="9"/>
            </w:pPr>
            <w:r>
              <w:t>12.50</w:t>
            </w:r>
          </w:p>
        </w:tc>
        <w:tc>
          <w:tcPr>
            <w:tcW w:w="1361" w:type="dxa"/>
            <w:vAlign w:val="center"/>
          </w:tcPr>
          <w:p>
            <w:pPr>
              <w:pStyle w:val="9"/>
            </w:pPr>
          </w:p>
        </w:tc>
        <w:tc>
          <w:tcPr>
            <w:tcW w:w="1361" w:type="dxa"/>
            <w:vAlign w:val="center"/>
          </w:tcPr>
          <w:p>
            <w:pPr>
              <w:pStyle w:val="9"/>
            </w:pPr>
            <w:r>
              <w:t>12.50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22405</w:t>
            </w:r>
          </w:p>
        </w:tc>
        <w:tc>
          <w:tcPr>
            <w:tcW w:w="4536" w:type="dxa"/>
            <w:vAlign w:val="center"/>
          </w:tcPr>
          <w:p>
            <w:pPr>
              <w:pStyle w:val="10"/>
            </w:pPr>
            <w:r>
              <w:t>地震事务</w:t>
            </w: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2240502</w:t>
            </w:r>
          </w:p>
        </w:tc>
        <w:tc>
          <w:tcPr>
            <w:tcW w:w="4536" w:type="dxa"/>
            <w:vAlign w:val="center"/>
          </w:tcPr>
          <w:p>
            <w:pPr>
              <w:pStyle w:val="10"/>
            </w:pPr>
            <w:r>
              <w:t>一般行政管理事务</w:t>
            </w: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22406</w:t>
            </w:r>
          </w:p>
        </w:tc>
        <w:tc>
          <w:tcPr>
            <w:tcW w:w="4536" w:type="dxa"/>
            <w:vAlign w:val="center"/>
          </w:tcPr>
          <w:p>
            <w:pPr>
              <w:pStyle w:val="10"/>
            </w:pPr>
            <w:r>
              <w:t>自然灾害防治</w:t>
            </w: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2240601</w:t>
            </w:r>
          </w:p>
        </w:tc>
        <w:tc>
          <w:tcPr>
            <w:tcW w:w="4536" w:type="dxa"/>
            <w:vAlign w:val="center"/>
          </w:tcPr>
          <w:p>
            <w:pPr>
              <w:pStyle w:val="10"/>
            </w:pPr>
            <w:r>
              <w:t>地质灾害防治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6" w:type="dxa"/>
            <w:vAlign w:val="center"/>
          </w:tcPr>
          <w:p>
            <w:pPr>
              <w:pStyle w:val="10"/>
            </w:pPr>
            <w:r>
              <w:t>其他自然灾害防治支出</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6" w:type="dxa"/>
            <w:vAlign w:val="center"/>
          </w:tcPr>
          <w:p>
            <w:pPr>
              <w:pStyle w:val="10"/>
            </w:pPr>
            <w:r>
              <w:t>自然灾害救灾及恢复重建支出</w:t>
            </w: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6" w:type="dxa"/>
            <w:vAlign w:val="center"/>
          </w:tcPr>
          <w:p>
            <w:pPr>
              <w:pStyle w:val="10"/>
            </w:pPr>
            <w:r>
              <w:t>自然灾害救灾补助</w:t>
            </w: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545.26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32.73</w:t>
            </w:r>
          </w:p>
        </w:tc>
        <w:tc>
          <w:tcPr>
            <w:tcW w:w="1474" w:type="dxa"/>
            <w:vAlign w:val="center"/>
          </w:tcPr>
          <w:p>
            <w:pPr>
              <w:pStyle w:val="9"/>
            </w:pPr>
            <w:r>
              <w:t>32.73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23.59</w:t>
            </w:r>
          </w:p>
        </w:tc>
        <w:tc>
          <w:tcPr>
            <w:tcW w:w="1474" w:type="dxa"/>
            <w:vAlign w:val="center"/>
          </w:tcPr>
          <w:p>
            <w:pPr>
              <w:pStyle w:val="9"/>
            </w:pPr>
            <w:r>
              <w:t>23.59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27.62</w:t>
            </w:r>
          </w:p>
        </w:tc>
        <w:tc>
          <w:tcPr>
            <w:tcW w:w="1474" w:type="dxa"/>
            <w:vAlign w:val="center"/>
          </w:tcPr>
          <w:p>
            <w:pPr>
              <w:pStyle w:val="9"/>
            </w:pPr>
            <w:r>
              <w:t>27.62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461.32</w:t>
            </w:r>
          </w:p>
        </w:tc>
        <w:tc>
          <w:tcPr>
            <w:tcW w:w="1474" w:type="dxa"/>
            <w:vAlign w:val="center"/>
          </w:tcPr>
          <w:p>
            <w:pPr>
              <w:pStyle w:val="9"/>
            </w:pPr>
            <w:r>
              <w:t>461.32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545.26</w:t>
            </w:r>
          </w:p>
        </w:tc>
        <w:tc>
          <w:tcPr>
            <w:tcW w:w="3402" w:type="dxa"/>
            <w:vAlign w:val="center"/>
          </w:tcPr>
          <w:p>
            <w:pPr>
              <w:pStyle w:val="12"/>
            </w:pPr>
            <w:r>
              <w:t>本年支出合计</w:t>
            </w:r>
          </w:p>
        </w:tc>
        <w:tc>
          <w:tcPr>
            <w:tcW w:w="1474" w:type="dxa"/>
            <w:vAlign w:val="center"/>
          </w:tcPr>
          <w:p>
            <w:pPr>
              <w:pStyle w:val="13"/>
            </w:pPr>
            <w:r>
              <w:t>545.26</w:t>
            </w:r>
          </w:p>
        </w:tc>
        <w:tc>
          <w:tcPr>
            <w:tcW w:w="1474" w:type="dxa"/>
            <w:vAlign w:val="center"/>
          </w:tcPr>
          <w:p>
            <w:pPr>
              <w:pStyle w:val="13"/>
            </w:pPr>
            <w:r>
              <w:t>545.26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545.26</w:t>
            </w:r>
          </w:p>
        </w:tc>
        <w:tc>
          <w:tcPr>
            <w:tcW w:w="3402" w:type="dxa"/>
            <w:vAlign w:val="center"/>
          </w:tcPr>
          <w:p>
            <w:pPr>
              <w:pStyle w:val="12"/>
            </w:pPr>
            <w:r>
              <w:t>支出总计</w:t>
            </w:r>
          </w:p>
        </w:tc>
        <w:tc>
          <w:tcPr>
            <w:tcW w:w="1474" w:type="dxa"/>
            <w:vAlign w:val="center"/>
          </w:tcPr>
          <w:p>
            <w:pPr>
              <w:pStyle w:val="13"/>
            </w:pPr>
            <w:r>
              <w:t>545.26</w:t>
            </w:r>
          </w:p>
        </w:tc>
        <w:tc>
          <w:tcPr>
            <w:tcW w:w="1474" w:type="dxa"/>
            <w:vAlign w:val="center"/>
          </w:tcPr>
          <w:p>
            <w:pPr>
              <w:pStyle w:val="13"/>
            </w:pPr>
            <w:r>
              <w:t>545.26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545.26</w:t>
            </w:r>
          </w:p>
        </w:tc>
        <w:tc>
          <w:tcPr>
            <w:tcW w:w="2551" w:type="dxa"/>
            <w:vAlign w:val="center"/>
          </w:tcPr>
          <w:p>
            <w:pPr>
              <w:pStyle w:val="13"/>
            </w:pPr>
            <w:r>
              <w:t>361.97</w:t>
            </w:r>
          </w:p>
        </w:tc>
        <w:tc>
          <w:tcPr>
            <w:tcW w:w="2551" w:type="dxa"/>
            <w:vAlign w:val="center"/>
          </w:tcPr>
          <w:p>
            <w:pPr>
              <w:pStyle w:val="13"/>
            </w:pPr>
            <w:r>
              <w:t>183.29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461.32</w:t>
            </w:r>
          </w:p>
        </w:tc>
        <w:tc>
          <w:tcPr>
            <w:tcW w:w="2551" w:type="dxa"/>
            <w:vAlign w:val="center"/>
          </w:tcPr>
          <w:p>
            <w:pPr>
              <w:pStyle w:val="9"/>
            </w:pPr>
            <w:r>
              <w:t>278.03</w:t>
            </w:r>
          </w:p>
        </w:tc>
        <w:tc>
          <w:tcPr>
            <w:tcW w:w="2551" w:type="dxa"/>
            <w:vAlign w:val="center"/>
          </w:tcPr>
          <w:p>
            <w:pPr>
              <w:pStyle w:val="9"/>
            </w:pPr>
            <w:r>
              <w:t>183.29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350.53</w:t>
            </w:r>
          </w:p>
        </w:tc>
        <w:tc>
          <w:tcPr>
            <w:tcW w:w="2551" w:type="dxa"/>
            <w:vAlign w:val="center"/>
          </w:tcPr>
          <w:p>
            <w:pPr>
              <w:pStyle w:val="9"/>
            </w:pPr>
            <w:r>
              <w:t>278.03</w:t>
            </w:r>
          </w:p>
        </w:tc>
        <w:tc>
          <w:tcPr>
            <w:tcW w:w="2551" w:type="dxa"/>
            <w:vAlign w:val="center"/>
          </w:tcPr>
          <w:p>
            <w:pPr>
              <w:pStyle w:val="9"/>
            </w:pPr>
            <w: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278.03</w:t>
            </w:r>
          </w:p>
        </w:tc>
        <w:tc>
          <w:tcPr>
            <w:tcW w:w="2551" w:type="dxa"/>
            <w:vAlign w:val="center"/>
          </w:tcPr>
          <w:p>
            <w:pPr>
              <w:pStyle w:val="9"/>
            </w:pPr>
            <w:r>
              <w:t>278.03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12.50</w:t>
            </w:r>
          </w:p>
        </w:tc>
        <w:tc>
          <w:tcPr>
            <w:tcW w:w="2551" w:type="dxa"/>
            <w:vAlign w:val="center"/>
          </w:tcPr>
          <w:p>
            <w:pPr>
              <w:pStyle w:val="9"/>
            </w:pPr>
          </w:p>
        </w:tc>
        <w:tc>
          <w:tcPr>
            <w:tcW w:w="2551" w:type="dxa"/>
            <w:vAlign w:val="center"/>
          </w:tcPr>
          <w:p>
            <w:pPr>
              <w:pStyle w:val="9"/>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3.65</w:t>
            </w:r>
          </w:p>
        </w:tc>
        <w:tc>
          <w:tcPr>
            <w:tcW w:w="2551" w:type="dxa"/>
            <w:vAlign w:val="center"/>
          </w:tcPr>
          <w:p>
            <w:pPr>
              <w:pStyle w:val="9"/>
            </w:pPr>
          </w:p>
        </w:tc>
        <w:tc>
          <w:tcPr>
            <w:tcW w:w="2551" w:type="dxa"/>
            <w:vAlign w:val="center"/>
          </w:tcPr>
          <w:p>
            <w:pPr>
              <w:pStyle w:val="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2240502</w:t>
            </w:r>
          </w:p>
        </w:tc>
        <w:tc>
          <w:tcPr>
            <w:tcW w:w="4535" w:type="dxa"/>
            <w:vAlign w:val="center"/>
          </w:tcPr>
          <w:p>
            <w:pPr>
              <w:pStyle w:val="10"/>
            </w:pPr>
            <w:r>
              <w:t>一般行政管理事务</w:t>
            </w:r>
          </w:p>
        </w:tc>
        <w:tc>
          <w:tcPr>
            <w:tcW w:w="2551" w:type="dxa"/>
            <w:vAlign w:val="center"/>
          </w:tcPr>
          <w:p>
            <w:pPr>
              <w:pStyle w:val="9"/>
            </w:pPr>
            <w:r>
              <w:t>3.65</w:t>
            </w:r>
          </w:p>
        </w:tc>
        <w:tc>
          <w:tcPr>
            <w:tcW w:w="2551" w:type="dxa"/>
            <w:vAlign w:val="center"/>
          </w:tcPr>
          <w:p>
            <w:pPr>
              <w:pStyle w:val="9"/>
            </w:pPr>
          </w:p>
        </w:tc>
        <w:tc>
          <w:tcPr>
            <w:tcW w:w="2551" w:type="dxa"/>
            <w:vAlign w:val="center"/>
          </w:tcPr>
          <w:p>
            <w:pPr>
              <w:pStyle w:val="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55.00</w:t>
            </w:r>
          </w:p>
        </w:tc>
        <w:tc>
          <w:tcPr>
            <w:tcW w:w="2551" w:type="dxa"/>
            <w:vAlign w:val="center"/>
          </w:tcPr>
          <w:p>
            <w:pPr>
              <w:pStyle w:val="9"/>
            </w:pPr>
          </w:p>
        </w:tc>
        <w:tc>
          <w:tcPr>
            <w:tcW w:w="2551" w:type="dxa"/>
            <w:vAlign w:val="center"/>
          </w:tcPr>
          <w:p>
            <w:pPr>
              <w:pStyle w:val="9"/>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2240601</w:t>
            </w:r>
          </w:p>
        </w:tc>
        <w:tc>
          <w:tcPr>
            <w:tcW w:w="4535" w:type="dxa"/>
            <w:vAlign w:val="center"/>
          </w:tcPr>
          <w:p>
            <w:pPr>
              <w:pStyle w:val="10"/>
            </w:pPr>
            <w:r>
              <w:t>地质灾害防治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52.14</w:t>
            </w:r>
          </w:p>
        </w:tc>
        <w:tc>
          <w:tcPr>
            <w:tcW w:w="2551" w:type="dxa"/>
            <w:vAlign w:val="center"/>
          </w:tcPr>
          <w:p>
            <w:pPr>
              <w:pStyle w:val="9"/>
            </w:pPr>
          </w:p>
        </w:tc>
        <w:tc>
          <w:tcPr>
            <w:tcW w:w="2551" w:type="dxa"/>
            <w:vAlign w:val="center"/>
          </w:tcPr>
          <w:p>
            <w:pPr>
              <w:pStyle w:val="9"/>
            </w:pPr>
            <w:r>
              <w:t>52.14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52.14</w:t>
            </w:r>
          </w:p>
        </w:tc>
        <w:tc>
          <w:tcPr>
            <w:tcW w:w="2551" w:type="dxa"/>
            <w:vAlign w:val="center"/>
          </w:tcPr>
          <w:p>
            <w:pPr>
              <w:pStyle w:val="9"/>
            </w:pPr>
          </w:p>
        </w:tc>
        <w:tc>
          <w:tcPr>
            <w:tcW w:w="2551" w:type="dxa"/>
            <w:vAlign w:val="center"/>
          </w:tcPr>
          <w:p>
            <w:pPr>
              <w:pStyle w:val="9"/>
            </w:pPr>
            <w:r>
              <w:t>52.14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361.97</w:t>
            </w:r>
          </w:p>
        </w:tc>
        <w:tc>
          <w:tcPr>
            <w:tcW w:w="2551" w:type="dxa"/>
            <w:vAlign w:val="center"/>
          </w:tcPr>
          <w:p>
            <w:pPr>
              <w:pStyle w:val="13"/>
            </w:pPr>
            <w:r>
              <w:t>344.61</w:t>
            </w:r>
          </w:p>
        </w:tc>
        <w:tc>
          <w:tcPr>
            <w:tcW w:w="2552" w:type="dxa"/>
            <w:vAlign w:val="center"/>
          </w:tcPr>
          <w:p>
            <w:pPr>
              <w:pStyle w:val="13"/>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343.61</w:t>
            </w:r>
          </w:p>
        </w:tc>
        <w:tc>
          <w:tcPr>
            <w:tcW w:w="2551" w:type="dxa"/>
            <w:vAlign w:val="center"/>
          </w:tcPr>
          <w:p>
            <w:pPr>
              <w:pStyle w:val="9"/>
            </w:pPr>
            <w:r>
              <w:t>343.61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145.73</w:t>
            </w:r>
          </w:p>
        </w:tc>
        <w:tc>
          <w:tcPr>
            <w:tcW w:w="2551" w:type="dxa"/>
            <w:vAlign w:val="center"/>
          </w:tcPr>
          <w:p>
            <w:pPr>
              <w:pStyle w:val="9"/>
            </w:pPr>
            <w:r>
              <w:t>145.73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31.61</w:t>
            </w:r>
          </w:p>
        </w:tc>
        <w:tc>
          <w:tcPr>
            <w:tcW w:w="2551" w:type="dxa"/>
            <w:vAlign w:val="center"/>
          </w:tcPr>
          <w:p>
            <w:pPr>
              <w:pStyle w:val="9"/>
            </w:pPr>
            <w:r>
              <w:t>31.61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42.98</w:t>
            </w:r>
          </w:p>
        </w:tc>
        <w:tc>
          <w:tcPr>
            <w:tcW w:w="2551" w:type="dxa"/>
            <w:vAlign w:val="center"/>
          </w:tcPr>
          <w:p>
            <w:pPr>
              <w:pStyle w:val="9"/>
            </w:pPr>
            <w:r>
              <w:t>42.98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32.81</w:t>
            </w:r>
          </w:p>
        </w:tc>
        <w:tc>
          <w:tcPr>
            <w:tcW w:w="2551" w:type="dxa"/>
            <w:vAlign w:val="center"/>
          </w:tcPr>
          <w:p>
            <w:pPr>
              <w:pStyle w:val="9"/>
            </w:pPr>
            <w:r>
              <w:t>32.81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32.73</w:t>
            </w:r>
          </w:p>
        </w:tc>
        <w:tc>
          <w:tcPr>
            <w:tcW w:w="2551" w:type="dxa"/>
            <w:vAlign w:val="center"/>
          </w:tcPr>
          <w:p>
            <w:pPr>
              <w:pStyle w:val="9"/>
            </w:pPr>
            <w:r>
              <w:t>32.73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19.13</w:t>
            </w:r>
          </w:p>
        </w:tc>
        <w:tc>
          <w:tcPr>
            <w:tcW w:w="2551" w:type="dxa"/>
            <w:vAlign w:val="center"/>
          </w:tcPr>
          <w:p>
            <w:pPr>
              <w:pStyle w:val="9"/>
            </w:pPr>
            <w:r>
              <w:t>19.13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4.46</w:t>
            </w:r>
          </w:p>
        </w:tc>
        <w:tc>
          <w:tcPr>
            <w:tcW w:w="2551" w:type="dxa"/>
            <w:vAlign w:val="center"/>
          </w:tcPr>
          <w:p>
            <w:pPr>
              <w:pStyle w:val="9"/>
            </w:pPr>
            <w:r>
              <w:t>4.46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1.11</w:t>
            </w:r>
          </w:p>
        </w:tc>
        <w:tc>
          <w:tcPr>
            <w:tcW w:w="2551" w:type="dxa"/>
            <w:vAlign w:val="center"/>
          </w:tcPr>
          <w:p>
            <w:pPr>
              <w:pStyle w:val="9"/>
            </w:pPr>
            <w:r>
              <w:t>1.11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27.62</w:t>
            </w:r>
          </w:p>
        </w:tc>
        <w:tc>
          <w:tcPr>
            <w:tcW w:w="2551" w:type="dxa"/>
            <w:vAlign w:val="center"/>
          </w:tcPr>
          <w:p>
            <w:pPr>
              <w:pStyle w:val="9"/>
            </w:pPr>
            <w:r>
              <w:t>27.62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5.43</w:t>
            </w:r>
          </w:p>
        </w:tc>
        <w:tc>
          <w:tcPr>
            <w:tcW w:w="2551" w:type="dxa"/>
            <w:vAlign w:val="center"/>
          </w:tcPr>
          <w:p>
            <w:pPr>
              <w:pStyle w:val="9"/>
            </w:pPr>
            <w:r>
              <w:t>5.43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17.36</w:t>
            </w:r>
          </w:p>
        </w:tc>
        <w:tc>
          <w:tcPr>
            <w:tcW w:w="2551" w:type="dxa"/>
            <w:vAlign w:val="center"/>
          </w:tcPr>
          <w:p>
            <w:pPr>
              <w:pStyle w:val="9"/>
            </w:pPr>
          </w:p>
        </w:tc>
        <w:tc>
          <w:tcPr>
            <w:tcW w:w="2552" w:type="dxa"/>
            <w:vAlign w:val="center"/>
          </w:tcPr>
          <w:p>
            <w:pPr>
              <w:pStyle w:val="9"/>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5.10</w:t>
            </w:r>
          </w:p>
        </w:tc>
        <w:tc>
          <w:tcPr>
            <w:tcW w:w="2551" w:type="dxa"/>
            <w:vAlign w:val="center"/>
          </w:tcPr>
          <w:p>
            <w:pPr>
              <w:pStyle w:val="9"/>
            </w:pPr>
          </w:p>
        </w:tc>
        <w:tc>
          <w:tcPr>
            <w:tcW w:w="2552" w:type="dxa"/>
            <w:vAlign w:val="center"/>
          </w:tcPr>
          <w:p>
            <w:pPr>
              <w:pStyle w:val="9"/>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1.50</w:t>
            </w:r>
          </w:p>
        </w:tc>
        <w:tc>
          <w:tcPr>
            <w:tcW w:w="2551" w:type="dxa"/>
            <w:vAlign w:val="center"/>
          </w:tcPr>
          <w:p>
            <w:pPr>
              <w:pStyle w:val="9"/>
            </w:pPr>
          </w:p>
        </w:tc>
        <w:tc>
          <w:tcPr>
            <w:tcW w:w="2552"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0.66</w:t>
            </w:r>
          </w:p>
        </w:tc>
        <w:tc>
          <w:tcPr>
            <w:tcW w:w="2551" w:type="dxa"/>
            <w:vAlign w:val="center"/>
          </w:tcPr>
          <w:p>
            <w:pPr>
              <w:pStyle w:val="9"/>
            </w:pPr>
          </w:p>
        </w:tc>
        <w:tc>
          <w:tcPr>
            <w:tcW w:w="2552" w:type="dxa"/>
            <w:vAlign w:val="center"/>
          </w:tcPr>
          <w:p>
            <w:pPr>
              <w:pStyle w:val="9"/>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0.74</w:t>
            </w:r>
          </w:p>
        </w:tc>
        <w:tc>
          <w:tcPr>
            <w:tcW w:w="2551" w:type="dxa"/>
            <w:vAlign w:val="center"/>
          </w:tcPr>
          <w:p>
            <w:pPr>
              <w:pStyle w:val="9"/>
            </w:pPr>
          </w:p>
        </w:tc>
        <w:tc>
          <w:tcPr>
            <w:tcW w:w="2552" w:type="dxa"/>
            <w:vAlign w:val="center"/>
          </w:tcPr>
          <w:p>
            <w:pPr>
              <w:pStyle w:val="9"/>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9.36</w:t>
            </w:r>
          </w:p>
        </w:tc>
        <w:tc>
          <w:tcPr>
            <w:tcW w:w="2551" w:type="dxa"/>
            <w:vAlign w:val="center"/>
          </w:tcPr>
          <w:p>
            <w:pPr>
              <w:pStyle w:val="9"/>
            </w:pPr>
          </w:p>
        </w:tc>
        <w:tc>
          <w:tcPr>
            <w:tcW w:w="2552" w:type="dxa"/>
            <w:vAlign w:val="center"/>
          </w:tcPr>
          <w:p>
            <w:pPr>
              <w:pStyle w:val="9"/>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1.00</w:t>
            </w:r>
          </w:p>
        </w:tc>
        <w:tc>
          <w:tcPr>
            <w:tcW w:w="2551" w:type="dxa"/>
            <w:vAlign w:val="center"/>
          </w:tcPr>
          <w:p>
            <w:pPr>
              <w:pStyle w:val="9"/>
            </w:pPr>
            <w:r>
              <w:t>1.00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1.00</w:t>
            </w:r>
          </w:p>
        </w:tc>
        <w:tc>
          <w:tcPr>
            <w:tcW w:w="2551" w:type="dxa"/>
            <w:vAlign w:val="center"/>
          </w:tcPr>
          <w:p>
            <w:pPr>
              <w:pStyle w:val="9"/>
            </w:pPr>
            <w:r>
              <w:t>1.00</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426平乡县应急管理局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r>
              <w:t>25.00</w:t>
            </w:r>
          </w:p>
        </w:tc>
        <w:tc>
          <w:tcPr>
            <w:tcW w:w="2381" w:type="dxa"/>
            <w:vAlign w:val="center"/>
          </w:tcPr>
          <w:p>
            <w:pPr>
              <w:pStyle w:val="9"/>
            </w:pPr>
            <w:r>
              <w:t>25.00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2.50</w:t>
            </w:r>
          </w:p>
        </w:tc>
        <w:tc>
          <w:tcPr>
            <w:tcW w:w="2381" w:type="dxa"/>
            <w:vAlign w:val="center"/>
          </w:tcPr>
          <w:p>
            <w:pPr>
              <w:pStyle w:val="9"/>
            </w:pPr>
            <w:r>
              <w:t>2.50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2"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平乡县应急管理局2022年部门预算信息公开情况说明</w:t>
      </w:r>
    </w:p>
    <w:p>
      <w:pPr>
        <w:jc w:val="center"/>
      </w:pPr>
      <w:r>
        <w:rPr>
          <w:rFonts w:ascii="方正小标宋_GBK" w:hAnsi="方正小标宋_GBK" w:eastAsia="方正小标宋_GBK" w:cs="方正小标宋_GBK"/>
          <w:color w:val="000000"/>
          <w:sz w:val="44"/>
        </w:rPr>
        <w:t>平乡县应急管理局2022年部门预算信息公开情况说明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（一）负责应急管理工作，指导各级各部门应对安全生产类、自然灾害类等突发事件和综合防灾减灾救灾工作。负责安全生产综合监督管理和工矿商贸行业安全生产监督管理工作。</w:t>
      </w:r>
    </w:p>
    <w:p>
      <w:pPr>
        <w:pStyle w:val="15"/>
      </w:pPr>
      <w:r>
        <w:t>（二）拟订应急管理、安全生产等政策规定，组织编制县应急体系建设、安全生产和综合防灾减灾规划，贯彻执行国家和省市有关法律、法规、规章、规程和标准。</w:t>
      </w:r>
    </w:p>
    <w:p>
      <w:pPr>
        <w:pStyle w:val="15"/>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5"/>
      </w:pPr>
      <w:r>
        <w:t>（四）牵头建立统一的全县应急管理信息系统，负责信息传输渠道的规划和布局，建立监测预警和灾情报告制度，健全自然灾害信息资源获取和共享机制，依法统一发布灾情。</w:t>
      </w:r>
    </w:p>
    <w:p>
      <w:pPr>
        <w:pStyle w:val="15"/>
      </w:pPr>
      <w:r>
        <w:t>（五）组织指导协调安全生产类、自然灾害类等突发事件应急救援，承担县应对重大灾害指挥部工作，综合研判突发事件发展态势并提出应对建议，协助县委、县政府指定的负责同志组织重大灾害应急处置工作。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5"/>
      </w:pPr>
      <w:r>
        <w:t>（六）统一协调指挥各类应急专业队伍，建立应急协调联动机制，推进指挥平台对接，衔接解放军和武警部队参与应急救援工作。</w:t>
      </w:r>
    </w:p>
    <w:p>
      <w:pPr>
        <w:pStyle w:val="15"/>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5"/>
      </w:pPr>
      <w:r>
        <w:t>（八）组织协调消防工作，指导各级消防监督、火灾预防、火灾扑救等工作。</w:t>
      </w:r>
    </w:p>
    <w:p>
      <w:pPr>
        <w:pStyle w:val="15"/>
      </w:pPr>
      <w:r>
        <w:t>（九）指导协调森林和草原火灾、水旱灾害、地质灾害等防治工作，负责自然灾害综合监测预警工作，指导开展自然灾害综合风险评估工作。</w:t>
      </w:r>
    </w:p>
    <w:p>
      <w:pPr>
        <w:pStyle w:val="15"/>
      </w:pPr>
      <w:r>
        <w:t>（十）组织协调灾害救助工作，组织指导灾情核查、损失评估、救灾捐赠工作，管理、分配县救灾款物并监督使用。</w:t>
      </w:r>
    </w:p>
    <w:p>
      <w:pPr>
        <w:pStyle w:val="15"/>
      </w:pPr>
      <w:r>
        <w:t>（十一）依法行使县安全生产综合监督管理职权,指导协调、监督检查县有关部门和各乡镇（街道）政府安全生产工作，组织开展安全生产巡查、考核工作。</w:t>
      </w:r>
    </w:p>
    <w:p>
      <w:pPr>
        <w:pStyle w:val="15"/>
      </w:pPr>
      <w:r>
        <w:t>（十二）按照分级、属地原则，依法监督检查工矿商贸生产经营单位贯彻执行安全生产法律法规情况，及其安全生产条件和有关设备(特种设备除外)、材料、劳动防护用品的安全生产管理工作。负责监督管理工矿商贸行业县属企业和驻县中央、省属企业的安全生产工作。负责危险化学品安全监督管理综合工作和烟花爆竹安全生产监督管理工作。</w:t>
      </w:r>
    </w:p>
    <w:p>
      <w:pPr>
        <w:pStyle w:val="15"/>
      </w:pPr>
      <w:r>
        <w:t>（十三）依法组织指导生产安全事故调查处理，监督事故查处和责任追究落实情况。组织开展自然灾害类突发事件的调查评估工作。</w:t>
      </w:r>
    </w:p>
    <w:p>
      <w:pPr>
        <w:pStyle w:val="15"/>
      </w:pPr>
      <w:r>
        <w:t>（十四）制定应急物资储备和应急救援装备规划并组织实施，会同县发展和改革委员会(县粮食和物资储备局)等部门建立健全应急物资信息平台和调拨制度，在救灾时统一调度。</w:t>
      </w:r>
    </w:p>
    <w:p>
      <w:pPr>
        <w:pStyle w:val="15"/>
      </w:pPr>
      <w:r>
        <w:t>（十五）负责应急管理、安全生产宣传教育和培训工作，组织指导应急管理、安全生产的科学技术研究、推广应用和信息化建设工作。</w:t>
      </w:r>
    </w:p>
    <w:p>
      <w:pPr>
        <w:pStyle w:val="15"/>
      </w:pPr>
      <w:r>
        <w:t>（十六）组织实施煤矿安全监管法规和标准，组织指导煤炭资源的合理开发和煤炭产业结构调整。承担全县煤矿安全、煤炭生产监管责任，组织开展对煤矿企业执法检查。</w:t>
      </w:r>
    </w:p>
    <w:p>
      <w:pPr>
        <w:pStyle w:val="15"/>
      </w:pPr>
      <w:r>
        <w:t>（十七）负责全县应急管理综合行政执法统筹协调、监督指导职责、承担法律法规规定由县级承担的安全生产、防灾减灾救灾、应急救援等应急管理行政执法职责，负责监督指导全县应急管理领域执法体系建设和执法工作，对乡镇应急管理综合行政执法队伍进行业务指导、组织协调和岗位培训；建立乡镇应急管理机构与综合执法队伍之间的执法衔接机制；组织开展对县属企业及驻县中央、省、市属企业的执法检查，组织开展对安全生产重点企业的执法检查；组织开展全县范围内的联合执法、交叉执法、观摩执法，协调处理处理全县范围内重大应急管理问题。</w:t>
      </w:r>
    </w:p>
    <w:p>
      <w:pPr>
        <w:pStyle w:val="15"/>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5"/>
      </w:pPr>
      <w:r>
        <w:t>（十九）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pStyle w:val="15"/>
      </w:pPr>
      <w:r>
        <w:t>（二十）负责并组织开展辖区内地震应急与救援工作。负责组织制订全县地震应急预案和地震救援方案，经县政府批准后组织实施;负责组建培训地震紧急</w:t>
      </w:r>
      <w:r>
        <w:rPr>
          <w:rFonts w:hint="eastAsia"/>
          <w:lang w:eastAsia="zh-CN"/>
        </w:rPr>
        <w:t>救援</w:t>
      </w:r>
      <w:r>
        <w:t>队伍，组织开展地震应急演</w:t>
      </w:r>
      <w:bookmarkStart w:id="18" w:name="_GoBack"/>
      <w:bookmarkEnd w:id="18"/>
      <w:r>
        <w:t>练;负责震情，灾情收集速报工作;会同有关部门做好地震次生灾害的排查与监测预警工作;参与编制地震灾区恢复重建规划和恢复震后辖区内社会公共保障功能。</w:t>
      </w:r>
    </w:p>
    <w:p>
      <w:pPr>
        <w:pStyle w:val="15"/>
      </w:pPr>
      <w:r>
        <w:t>（二十一）负责管理辖区内地震群测群防“三网一员”网络体系，推进地震宏观异常测报、地震灾情速报、防震减灾科普宣传网络体系建设，组织开展社区地震应急和乡镇民居抗震设防指导和培训。</w:t>
      </w:r>
    </w:p>
    <w:p>
      <w:pPr>
        <w:pStyle w:val="15"/>
      </w:pPr>
      <w:r>
        <w:t>（二十二） 组织开展应急管理方面的国际交流与合作。</w:t>
      </w:r>
    </w:p>
    <w:p>
      <w:pPr>
        <w:pStyle w:val="15"/>
      </w:pPr>
      <w:r>
        <w:t>（二十三）完成县委、县政府交办的其他任务。</w:t>
      </w:r>
    </w:p>
    <w:p>
      <w:pPr>
        <w:pStyle w:val="15"/>
      </w:pP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按照预算管理有关规定，目前我县部门预算的编制实行综合预算管理，即全部收入和支出都反映的预算中。平乡县应急管理局的收支包含在部门预算中。</w:t>
      </w:r>
    </w:p>
    <w:p>
      <w:pPr>
        <w:pStyle w:val="16"/>
      </w:pPr>
      <w:r>
        <w:t>1、收入说明</w:t>
      </w:r>
    </w:p>
    <w:p>
      <w:pPr>
        <w:pStyle w:val="16"/>
      </w:pPr>
      <w:r>
        <w:t>反映本部门当年全部收入。2022年预算收入545.26万元，其中：一般公共预算收入545.26万元，基金预算收入0万元，财政拨款收入545.26万元，上年结转0万元。</w:t>
      </w:r>
    </w:p>
    <w:p>
      <w:pPr>
        <w:pStyle w:val="16"/>
      </w:pPr>
      <w:r>
        <w:t>2、支出说明</w:t>
      </w:r>
    </w:p>
    <w:p>
      <w:pPr>
        <w:pStyle w:val="16"/>
      </w:pPr>
      <w:r>
        <w:t>收支预算总表支出栏、基本支出表、项目支出表按经济分类和支出功能分类科目编制，反映平乡县应急管理局年度部门预算中支出预算的总体情况。2022年部门支出预算为545.26万元，其中基本支出361.97万元，包括人员经费344.61万元和日常公用经费17.36万元；项目支出183.29万元，主要为全国第一次自然灾害普查经费、安全生产专家服务费、安全生产专项经费、农房保险、人员公用经费等。</w:t>
      </w:r>
    </w:p>
    <w:p>
      <w:pPr>
        <w:pStyle w:val="16"/>
      </w:pPr>
      <w:r>
        <w:t>3、比上年增减情况</w:t>
      </w:r>
    </w:p>
    <w:p>
      <w:pPr>
        <w:pStyle w:val="16"/>
      </w:pPr>
      <w:r>
        <w:t>2022年单位预算收支安排545.26万元，较2021年减少227.23万元，其中：基本支出增加86.49万元，主要是人员增加，相应增加人员经费和日常公用经费；项目支出减少315.28万元，主要是2022年没有大的项目支出等。</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2022年，我部门机关运行经费共计安排17.36万元，主要用于保证机关正常运转的办公费、车补等支出。</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单位财政拨款“三公”经费预算安排27.5万元，其中：因公出国（境）费0万元；公务用车购置及运维费2.5万元（其中：公务用车购置费25万元，公务用车运行维护费2.5万元)；公务接待费0万元。“三公”经费比上年增加25万元，主要购置防汛公务用车。</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加大对新《安全生产法》和《河北省安全生产条例》等法律法规的宣传、培训力度，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                                                        （二）在危险化学品、烟花爆竹、人员密集场所等重点领域开展“打非治违”专项整治，认真落实“四个一律”、“五个一批”。做好职业健康监督检查,应急救援和应急演练工作。</w:t>
      </w:r>
    </w:p>
    <w:p>
      <w:pPr>
        <w:pStyle w:val="19"/>
      </w:pPr>
      <w:r>
        <w:t>（三）抓好重要节日和重点时段的安全生产工作。着重加强中秋、国庆、元旦、春节、两会、五一、暑期、汛期等重要节日和重点时段的安全生产工作，采取节前抓检查，节中抓监控办法，及时消除各类安全隐患，确保节假日和重要时段全县生产安全。开展烟花爆竹领域打非治违“利剑行动”和安全生产事故隐患大排查大整治攻坚行动</w:t>
      </w:r>
    </w:p>
    <w:p>
      <w:pPr>
        <w:pStyle w:val="19"/>
      </w:pPr>
      <w:r>
        <w:t>（四）组织协调灾害救助工作，负责自然灾害综合检测预警工作，指导开展自然灾害综合风险评估，做好自然灾害救助工作。</w:t>
      </w:r>
    </w:p>
    <w:p>
      <w:pPr>
        <w:pStyle w:val="19"/>
      </w:pPr>
      <w:r>
        <w:t>（五）负责应急管理、安全生产宣传教育和培训工作，组织指导应急管理、安全生产的科学技术研究、推广应用和信息化建设工作</w:t>
      </w:r>
    </w:p>
    <w:p>
      <w:pPr>
        <w:spacing w:line="500" w:lineRule="exact"/>
        <w:ind w:firstLine="560"/>
      </w:pPr>
      <w:r>
        <w:rPr>
          <w:rFonts w:eastAsia="方正仿宋_GBK"/>
          <w:color w:val="000000"/>
          <w:sz w:val="28"/>
        </w:rPr>
        <w:t>（二）分项绩效目标</w:t>
      </w:r>
    </w:p>
    <w:p>
      <w:pPr>
        <w:pStyle w:val="20"/>
      </w:pPr>
      <w:r>
        <w:t>1、人员经费</w:t>
      </w:r>
    </w:p>
    <w:p>
      <w:pPr>
        <w:pStyle w:val="20"/>
      </w:pPr>
      <w:r>
        <w:t>绩效目标：保障职工工资、福利正常发放，保障职工正常晋级、晋档，提高工作积极性。</w:t>
      </w:r>
    </w:p>
    <w:p>
      <w:pPr>
        <w:pStyle w:val="20"/>
      </w:pPr>
      <w:r>
        <w:t>绩效指标：职工考核通过率100%，行政运行后勤保障率100%，业务工作完成率100%。</w:t>
      </w:r>
    </w:p>
    <w:p>
      <w:pPr>
        <w:pStyle w:val="20"/>
      </w:pPr>
      <w:r>
        <w:t>2、安全生产宣传及培训经费</w:t>
      </w:r>
    </w:p>
    <w:p>
      <w:pPr>
        <w:pStyle w:val="20"/>
      </w:pPr>
      <w:r>
        <w:t>绩效目标：定期组织在全县开展安全生产督导检查活动，对重点行业和作业场所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安全生产事故和违法违规行为；组织查处用人单位安全生产事故。组织制订全县各行业隐患排查标准；组织开展安全生产事故专项调查；提出安全生产举报奖励意见；开展安全生产宣传教育活动，定期向社会公布安全生产重大事项情况；组织对安全生产责任人开展安全生产宣传教育活动。</w:t>
      </w:r>
    </w:p>
    <w:p>
      <w:pPr>
        <w:pStyle w:val="20"/>
      </w:pPr>
      <w:r>
        <w:t>绩效指标：通过督导检查全县安全生产，最大限度地发现、纠正、督促企业消除各类隐患，预防和减少事故发生，对生产经营单位执法检查覆盖率不低于90%，对商贸企业隐患排查数不低于100家，组织宣传活动次数不少5次，印制宣传品数量不低于5000万份。</w:t>
      </w:r>
    </w:p>
    <w:p>
      <w:pPr>
        <w:pStyle w:val="20"/>
      </w:pPr>
      <w:r>
        <w:t>3、重点行业安全生产监管（安全生产专家服务费）</w:t>
      </w:r>
    </w:p>
    <w:p>
      <w:pPr>
        <w:pStyle w:val="20"/>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审查和竣工验收管理。</w:t>
      </w:r>
    </w:p>
    <w:p>
      <w:pPr>
        <w:pStyle w:val="20"/>
      </w:pPr>
      <w:r>
        <w:t>绩效指标：加强高危行业安全生产事故排查和事故隐患治理力度，事故有效处理率不低于90%，通过安全生产信息平台建设，有效的保护工厂财产和人员伤亡事件，减少事故发生率。</w:t>
      </w:r>
    </w:p>
    <w:p>
      <w:pPr>
        <w:pStyle w:val="20"/>
      </w:pPr>
      <w:r>
        <w:t>4、组织指挥和协调全县安全生产应急救援</w:t>
      </w:r>
    </w:p>
    <w:p>
      <w:pPr>
        <w:pStyle w:val="20"/>
      </w:pPr>
      <w:r>
        <w:t>绩效目标：组织指导全县安全生产应急救援预案编制和备案管理，结合事故多发、易发，应急管理基础薄弱的地区、领域、时段、岗位等重点，组织开展实战化应急演练。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pPr>
        <w:pStyle w:val="20"/>
      </w:pPr>
      <w:r>
        <w:t>绩效指标：通过培训演练，提升应急救援水平，确保应急救援及时、科学、到位。全年开展培训及演练次数不低于2次。</w:t>
      </w:r>
    </w:p>
    <w:p>
      <w:pPr>
        <w:pStyle w:val="20"/>
      </w:pPr>
      <w:r>
        <w:t>5、自然灾害救助（农房保险）</w:t>
      </w:r>
    </w:p>
    <w:p>
      <w:pPr>
        <w:pStyle w:val="20"/>
      </w:pPr>
      <w:r>
        <w:t>绩效目标：组织协调全县防灾减灾救灾工作。组织核查并统一发布灾情。组织指导救灾捐赠工作，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pPr>
        <w:pStyle w:val="20"/>
      </w:pPr>
      <w:r>
        <w:t>绩效指标：通过宣传提高公民避灾自救能力和防灾减灾意识，印刷宣传资料不低于5000份。通过宣传引导和鼓励农户积极参加农房保险，切实增强受灾群众抵御自然灾害的能力，化解灾害引起的政府风险，减轻财政支持压力，确保农户参保率不低于90%。</w:t>
      </w:r>
    </w:p>
    <w:p>
      <w:pPr>
        <w:pStyle w:val="20"/>
      </w:pPr>
      <w:r>
        <w:t>6、地震灾情防御</w:t>
      </w:r>
    </w:p>
    <w:p>
      <w:pPr>
        <w:pStyle w:val="20"/>
      </w:pPr>
      <w:r>
        <w:t>绩效目标：结合防震减灾宣传月、防灾减灾知识宣传周、防震减灾知识宣传周、“地震纪念日”等活动，组织多种形式的宣传活动，提高防震减灾知识普及率，充分发挥工作人员收集地震前兆，广泛宣传防震减灾知识。</w:t>
      </w:r>
    </w:p>
    <w:p>
      <w:pPr>
        <w:pStyle w:val="20"/>
      </w:pPr>
      <w:r>
        <w:t>绩效指标：通过宣传印刷相关资料提高防震减灾知识普及率，印刷资料不少于5000份。</w:t>
      </w:r>
    </w:p>
    <w:p>
      <w:pPr>
        <w:pStyle w:val="20"/>
      </w:pPr>
      <w:r>
        <w:t>7、防汛抗旱（储备防汛物资）</w:t>
      </w:r>
    </w:p>
    <w:p>
      <w:pPr>
        <w:pStyle w:val="20"/>
      </w:pPr>
      <w:r>
        <w:t>绩效目标：发挥防汛抗旱减灾体系作用，最大限度地减少水旱灾害造成的人员伤亡和财产损失。为我县储备物资及时对物资进行日常维护保养，确保抢险救灾设备正常使用。</w:t>
      </w:r>
    </w:p>
    <w:p>
      <w:pPr>
        <w:pStyle w:val="20"/>
      </w:pPr>
      <w:r>
        <w:t>绩效指标：确保防汛物资发挥有利的作用，保障受灾群众的基本生活，对防汛物资维护、保养完好。</w:t>
      </w:r>
    </w:p>
    <w:p>
      <w:pPr>
        <w:pStyle w:val="20"/>
      </w:pPr>
      <w:r>
        <w:t>8、林下防火</w:t>
      </w:r>
    </w:p>
    <w:p>
      <w:pPr>
        <w:pStyle w:val="20"/>
      </w:pPr>
      <w:r>
        <w:t>绩效目标：组织修订全县总体森林防火预案、各类森林防火专项预案。组织全县森林防火机构工作人员、各类森林防火专业队伍开展培训演练。保证森林防火指挥部指挥平台及应急通信系统正常运转。</w:t>
      </w:r>
    </w:p>
    <w:p>
      <w:pPr>
        <w:pStyle w:val="20"/>
      </w:pPr>
      <w:r>
        <w:t>绩效指标：通过培训演练机构工作人员，提高防火人员救火能力，培训不少于1次。</w:t>
      </w:r>
    </w:p>
    <w:p>
      <w:pPr>
        <w:pStyle w:val="20"/>
      </w:pPr>
      <w:r>
        <w:t>自然灾害第一次全国普查经费</w:t>
      </w:r>
    </w:p>
    <w:p>
      <w:pPr>
        <w:pStyle w:val="20"/>
      </w:pPr>
      <w:r>
        <w:t>绩效目标：2022年底之前全面掌握平乡县域内自然灾害风险情况。</w:t>
      </w:r>
    </w:p>
    <w:p>
      <w:pPr>
        <w:pStyle w:val="20"/>
      </w:pPr>
      <w:r>
        <w:t>绩效指标：普查成果为自然灾害防治、应急管理等工作提供科学依据，减轻灾害损失；普查工作对提升基层自然灾害防治能力的作用。</w:t>
      </w:r>
    </w:p>
    <w:p>
      <w:pPr>
        <w:pStyle w:val="20"/>
      </w:pPr>
      <w:r>
        <w:t>10、购置防汛公务用车</w:t>
      </w:r>
    </w:p>
    <w:p>
      <w:pPr>
        <w:pStyle w:val="20"/>
      </w:pPr>
      <w:r>
        <w:t>绩效目标：购置新的公务用车，为了保障汛期工作能正常开展。</w:t>
      </w:r>
    </w:p>
    <w:p>
      <w:pPr>
        <w:pStyle w:val="20"/>
      </w:pPr>
      <w:r>
        <w:t>绩效指标：提升工作效率，进一步提高汛情工作的开展；对旧公务用车进行更换，进一步减少污染。</w:t>
      </w:r>
    </w:p>
    <w:p>
      <w:pPr>
        <w:pStyle w:val="20"/>
      </w:pPr>
    </w:p>
    <w:p>
      <w:pPr>
        <w:spacing w:line="500" w:lineRule="exact"/>
        <w:ind w:firstLine="560"/>
      </w:pPr>
      <w:r>
        <w:rPr>
          <w:rFonts w:eastAsia="方正仿宋_GBK"/>
          <w:color w:val="000000"/>
          <w:sz w:val="28"/>
        </w:rPr>
        <w:t>（三）工作保障措施</w:t>
      </w:r>
    </w:p>
    <w:p>
      <w:pPr>
        <w:pStyle w:val="21"/>
      </w:pPr>
      <w:r>
        <w:t>1、完善制度。严格执行《地方党政领导干部安全生产责任制规定》和省、市《实施细则》，及时修订完善《平乡县安全生产监管责任清单》，督促乡镇、街道办及各有关部门落实监管职责；监督企业依法落实安全生产主体责任；完善责任追究工作机制，加大事故责任追究力度。</w:t>
      </w:r>
    </w:p>
    <w:p>
      <w:pPr>
        <w:pStyle w:val="21"/>
      </w:pPr>
      <w:r>
        <w:t>2、狠抓任务落实。按照“谁花钱、谁负责，谁牵总、谁主责”的原则，明确业务单位（处室）预算绩效管理职责。充分调动各项目主管单位（处室）的积极性和主动性，由业务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1"/>
      </w:pPr>
      <w: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pStyle w:val="21"/>
      </w:pPr>
      <w:r>
        <w:t>4、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1"/>
      </w:pPr>
      <w:r>
        <w:t xml:space="preserve">5、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全面提升防灾减灾救灾能力。完善我县防灾减灾救灾工作机制，加强灾害监测预警水平，推进救援力量和装备建设，持续增强各类自然灾害防治能力。  </w:t>
      </w:r>
    </w:p>
    <w:p>
      <w:pPr>
        <w:pStyle w:val="21"/>
      </w:pPr>
      <w:r>
        <w:t>6、加强宣教培训力度，借力新媒体与传统媒体，提高全民安全生产和防灾减灾意识。建立警示教育长效机制，形成警示教育常态化、规范化、制度化的工作机制。</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1、安全生产宣传及培训经费绩效目标表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1.加大安全生产宣传和信息公开力度，提高全社会安全生产意识，提高事故调查工作的准确性、真实性和可靠性，</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制作宣传品数量（份）</w:t>
            </w:r>
          </w:p>
        </w:tc>
        <w:tc>
          <w:tcPr>
            <w:tcW w:w="2835" w:type="dxa"/>
            <w:vAlign w:val="center"/>
          </w:tcPr>
          <w:p>
            <w:pPr>
              <w:pStyle w:val="10"/>
            </w:pPr>
            <w:r>
              <w:t>制作宣传品的数量</w:t>
            </w:r>
          </w:p>
        </w:tc>
        <w:tc>
          <w:tcPr>
            <w:tcW w:w="2551" w:type="dxa"/>
            <w:vAlign w:val="center"/>
          </w:tcPr>
          <w:p>
            <w:pPr>
              <w:pStyle w:val="10"/>
            </w:pPr>
            <w:r>
              <w:t>≥200本</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宣传活动完成率</w:t>
            </w:r>
          </w:p>
        </w:tc>
        <w:tc>
          <w:tcPr>
            <w:tcW w:w="2835" w:type="dxa"/>
            <w:vAlign w:val="center"/>
          </w:tcPr>
          <w:p>
            <w:pPr>
              <w:pStyle w:val="10"/>
            </w:pPr>
            <w:r>
              <w:t>宣传活动完成率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宣传活动完成时效</w:t>
            </w:r>
          </w:p>
        </w:tc>
        <w:tc>
          <w:tcPr>
            <w:tcW w:w="2835" w:type="dxa"/>
            <w:vAlign w:val="center"/>
          </w:tcPr>
          <w:p>
            <w:pPr>
              <w:pStyle w:val="10"/>
            </w:pPr>
            <w:r>
              <w:t>宣传活动完成时效</w:t>
            </w:r>
          </w:p>
        </w:tc>
        <w:tc>
          <w:tcPr>
            <w:tcW w:w="2551" w:type="dxa"/>
            <w:vAlign w:val="center"/>
          </w:tcPr>
          <w:p>
            <w:pPr>
              <w:pStyle w:val="10"/>
            </w:pPr>
            <w:r>
              <w:t>及时完成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制作宣传品成本</w:t>
            </w:r>
          </w:p>
        </w:tc>
        <w:tc>
          <w:tcPr>
            <w:tcW w:w="2835" w:type="dxa"/>
            <w:vAlign w:val="center"/>
          </w:tcPr>
          <w:p>
            <w:pPr>
              <w:pStyle w:val="10"/>
            </w:pPr>
            <w:r>
              <w:t>制作宣传品的成本</w:t>
            </w:r>
          </w:p>
        </w:tc>
        <w:tc>
          <w:tcPr>
            <w:tcW w:w="2551" w:type="dxa"/>
            <w:vAlign w:val="center"/>
          </w:tcPr>
          <w:p>
            <w:pPr>
              <w:pStyle w:val="10"/>
            </w:pPr>
            <w:r>
              <w:t>≤10元/每份</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通过宣传提高公民安全生产意识</w:t>
            </w:r>
          </w:p>
        </w:tc>
        <w:tc>
          <w:tcPr>
            <w:tcW w:w="2835" w:type="dxa"/>
            <w:vAlign w:val="center"/>
          </w:tcPr>
          <w:p>
            <w:pPr>
              <w:pStyle w:val="10"/>
            </w:pPr>
            <w:r>
              <w:t>通过宣传提高公民安全生产意识</w:t>
            </w:r>
          </w:p>
        </w:tc>
        <w:tc>
          <w:tcPr>
            <w:tcW w:w="2551" w:type="dxa"/>
            <w:vAlign w:val="center"/>
          </w:tcPr>
          <w:p>
            <w:pPr>
              <w:pStyle w:val="10"/>
            </w:pPr>
            <w:r>
              <w:t>有所提升</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宣传活动影响力</w:t>
            </w:r>
          </w:p>
        </w:tc>
        <w:tc>
          <w:tcPr>
            <w:tcW w:w="2835" w:type="dxa"/>
            <w:vAlign w:val="center"/>
          </w:tcPr>
          <w:p>
            <w:pPr>
              <w:pStyle w:val="10"/>
            </w:pPr>
            <w:r>
              <w:t>宣传、活动影响力</w:t>
            </w:r>
          </w:p>
        </w:tc>
        <w:tc>
          <w:tcPr>
            <w:tcW w:w="2551" w:type="dxa"/>
            <w:vAlign w:val="center"/>
          </w:tcPr>
          <w:p>
            <w:pPr>
              <w:pStyle w:val="10"/>
            </w:pPr>
            <w:r>
              <w:t>有所影响</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安全生产事故是否有所减少</w:t>
            </w:r>
          </w:p>
        </w:tc>
        <w:tc>
          <w:tcPr>
            <w:tcW w:w="2835" w:type="dxa"/>
            <w:vAlign w:val="center"/>
          </w:tcPr>
          <w:p>
            <w:pPr>
              <w:pStyle w:val="10"/>
            </w:pPr>
            <w:r>
              <w:t>安全生产事故是否有所减少</w:t>
            </w:r>
          </w:p>
        </w:tc>
        <w:tc>
          <w:tcPr>
            <w:tcW w:w="2551" w:type="dxa"/>
            <w:vAlign w:val="center"/>
          </w:tcPr>
          <w:p>
            <w:pPr>
              <w:pStyle w:val="10"/>
            </w:pPr>
            <w:r>
              <w:t>有所减少</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2、安全生产专家服务费绩效目标表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1.提升执法能力</w:t>
            </w:r>
          </w:p>
          <w:p>
            <w:pPr>
              <w:pStyle w:val="10"/>
            </w:pPr>
            <w:r>
              <w:t>2.减少安全生产事故发生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河古庙镇区域企业安全检查成本</w:t>
            </w:r>
          </w:p>
        </w:tc>
        <w:tc>
          <w:tcPr>
            <w:tcW w:w="2835" w:type="dxa"/>
            <w:vAlign w:val="center"/>
          </w:tcPr>
          <w:p>
            <w:pPr>
              <w:pStyle w:val="10"/>
            </w:pPr>
            <w:r>
              <w:t>对河古庙区域企业安全检查成本</w:t>
            </w:r>
          </w:p>
        </w:tc>
        <w:tc>
          <w:tcPr>
            <w:tcW w:w="2551" w:type="dxa"/>
            <w:vAlign w:val="center"/>
          </w:tcPr>
          <w:p>
            <w:pPr>
              <w:pStyle w:val="10"/>
            </w:pPr>
            <w:r>
              <w:t>≤5万元</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专家参与安全生产检查次数</w:t>
            </w:r>
          </w:p>
        </w:tc>
        <w:tc>
          <w:tcPr>
            <w:tcW w:w="2835" w:type="dxa"/>
            <w:vAlign w:val="center"/>
          </w:tcPr>
          <w:p>
            <w:pPr>
              <w:pStyle w:val="10"/>
            </w:pPr>
            <w:r>
              <w:t>委派专家参与安全生产检查次数</w:t>
            </w:r>
          </w:p>
        </w:tc>
        <w:tc>
          <w:tcPr>
            <w:tcW w:w="2551" w:type="dxa"/>
            <w:vAlign w:val="center"/>
          </w:tcPr>
          <w:p>
            <w:pPr>
              <w:pStyle w:val="10"/>
            </w:pPr>
            <w:r>
              <w:t>≥30次</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聘请天数</w:t>
            </w:r>
          </w:p>
        </w:tc>
        <w:tc>
          <w:tcPr>
            <w:tcW w:w="2835" w:type="dxa"/>
            <w:vAlign w:val="center"/>
          </w:tcPr>
          <w:p>
            <w:pPr>
              <w:pStyle w:val="10"/>
            </w:pPr>
            <w:r>
              <w:t>聘请专家参与执法天数</w:t>
            </w:r>
          </w:p>
        </w:tc>
        <w:tc>
          <w:tcPr>
            <w:tcW w:w="2551" w:type="dxa"/>
            <w:vAlign w:val="center"/>
          </w:tcPr>
          <w:p>
            <w:pPr>
              <w:pStyle w:val="10"/>
            </w:pPr>
            <w:r>
              <w:t>≥30天</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检查企业覆盖率</w:t>
            </w:r>
          </w:p>
        </w:tc>
        <w:tc>
          <w:tcPr>
            <w:tcW w:w="2835" w:type="dxa"/>
            <w:vAlign w:val="center"/>
          </w:tcPr>
          <w:p>
            <w:pPr>
              <w:pStyle w:val="10"/>
            </w:pPr>
            <w:r>
              <w:t>检查企业覆盖率</w:t>
            </w:r>
          </w:p>
        </w:tc>
        <w:tc>
          <w:tcPr>
            <w:tcW w:w="2551" w:type="dxa"/>
            <w:vAlign w:val="center"/>
          </w:tcPr>
          <w:p>
            <w:pPr>
              <w:pStyle w:val="10"/>
            </w:pPr>
            <w:r>
              <w:t>≥90百分比</w:t>
            </w:r>
          </w:p>
        </w:tc>
        <w:tc>
          <w:tcPr>
            <w:tcW w:w="2268" w:type="dxa"/>
            <w:vAlign w:val="center"/>
          </w:tcPr>
          <w:p>
            <w:pPr>
              <w:pStyle w:val="10"/>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隐患整改率</w:t>
            </w:r>
          </w:p>
        </w:tc>
        <w:tc>
          <w:tcPr>
            <w:tcW w:w="2835" w:type="dxa"/>
            <w:vAlign w:val="center"/>
          </w:tcPr>
          <w:p>
            <w:pPr>
              <w:pStyle w:val="10"/>
            </w:pPr>
            <w:r>
              <w:t>实际隐患排查数量占企业隐患总数的比例</w:t>
            </w:r>
          </w:p>
        </w:tc>
        <w:tc>
          <w:tcPr>
            <w:tcW w:w="2551" w:type="dxa"/>
            <w:vAlign w:val="center"/>
          </w:tcPr>
          <w:p>
            <w:pPr>
              <w:pStyle w:val="10"/>
            </w:pPr>
            <w:r>
              <w:t>≥98百分比</w:t>
            </w:r>
          </w:p>
        </w:tc>
        <w:tc>
          <w:tcPr>
            <w:tcW w:w="2268" w:type="dxa"/>
            <w:vAlign w:val="center"/>
          </w:tcPr>
          <w:p>
            <w:pPr>
              <w:pStyle w:val="10"/>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执法能力是否提升</w:t>
            </w:r>
          </w:p>
        </w:tc>
        <w:tc>
          <w:tcPr>
            <w:tcW w:w="2835" w:type="dxa"/>
            <w:vAlign w:val="center"/>
          </w:tcPr>
          <w:p>
            <w:pPr>
              <w:pStyle w:val="10"/>
            </w:pPr>
            <w:r>
              <w:t>执法人员执法能力是否提升</w:t>
            </w:r>
          </w:p>
        </w:tc>
        <w:tc>
          <w:tcPr>
            <w:tcW w:w="2551" w:type="dxa"/>
            <w:vAlign w:val="center"/>
          </w:tcPr>
          <w:p>
            <w:pPr>
              <w:pStyle w:val="10"/>
            </w:pPr>
            <w:r>
              <w:t>是</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安全生产事故发生率</w:t>
            </w:r>
          </w:p>
        </w:tc>
        <w:tc>
          <w:tcPr>
            <w:tcW w:w="2835" w:type="dxa"/>
            <w:vAlign w:val="center"/>
          </w:tcPr>
          <w:p>
            <w:pPr>
              <w:pStyle w:val="10"/>
            </w:pPr>
            <w:r>
              <w:t>检查的企业安全生产事故发生率</w:t>
            </w:r>
          </w:p>
        </w:tc>
        <w:tc>
          <w:tcPr>
            <w:tcW w:w="2551" w:type="dxa"/>
            <w:vAlign w:val="center"/>
          </w:tcPr>
          <w:p>
            <w:pPr>
              <w:pStyle w:val="10"/>
            </w:pPr>
            <w:r>
              <w:t>≤5起</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3、安全生产专项经费f/zd绩效目标表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1.减少安全生产事故发生</w:t>
            </w:r>
            <w:r>
              <w:tab/>
            </w:r>
            <w:r>
              <w:tab/>
            </w:r>
            <w:r>
              <w:tab/>
            </w:r>
            <w:r>
              <w:tab/>
            </w:r>
          </w:p>
          <w:p>
            <w:pPr>
              <w:pStyle w:val="10"/>
            </w:pPr>
          </w:p>
          <w:p>
            <w:pPr>
              <w:pStyle w:val="10"/>
            </w:pPr>
            <w:r>
              <w:t>2."按时发放自收自支人员工资</w:t>
            </w:r>
          </w:p>
          <w:p>
            <w:pPr>
              <w:pStyle w:val="10"/>
            </w:pPr>
            <w:r>
              <w:t>"</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工资发放完成率</w:t>
            </w:r>
          </w:p>
        </w:tc>
        <w:tc>
          <w:tcPr>
            <w:tcW w:w="2835" w:type="dxa"/>
            <w:vAlign w:val="center"/>
          </w:tcPr>
          <w:p>
            <w:pPr>
              <w:pStyle w:val="10"/>
            </w:pPr>
            <w:r>
              <w:t>工资发放完成率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发放工资人数</w:t>
            </w:r>
          </w:p>
        </w:tc>
        <w:tc>
          <w:tcPr>
            <w:tcW w:w="2551" w:type="dxa"/>
            <w:vAlign w:val="center"/>
          </w:tcPr>
          <w:p>
            <w:pPr>
              <w:pStyle w:val="10"/>
            </w:pPr>
            <w:r>
              <w:t>≥1人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依法执法工作完成数量</w:t>
            </w:r>
          </w:p>
        </w:tc>
        <w:tc>
          <w:tcPr>
            <w:tcW w:w="2835" w:type="dxa"/>
            <w:vAlign w:val="center"/>
          </w:tcPr>
          <w:p>
            <w:pPr>
              <w:pStyle w:val="10"/>
            </w:pPr>
            <w:r>
              <w:t>依法对企业执法工作完成数量</w:t>
            </w:r>
          </w:p>
        </w:tc>
        <w:tc>
          <w:tcPr>
            <w:tcW w:w="2551" w:type="dxa"/>
            <w:vAlign w:val="center"/>
          </w:tcPr>
          <w:p>
            <w:pPr>
              <w:pStyle w:val="10"/>
            </w:pPr>
            <w:r>
              <w:t>≥20家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发放工资及各项工作完成及时率</w:t>
            </w:r>
          </w:p>
        </w:tc>
        <w:tc>
          <w:tcPr>
            <w:tcW w:w="2551" w:type="dxa"/>
            <w:vAlign w:val="center"/>
          </w:tcPr>
          <w:p>
            <w:pPr>
              <w:pStyle w:val="10"/>
            </w:pPr>
            <w:r>
              <w:t>及时发放工资、及时完成工作</w:t>
            </w:r>
          </w:p>
        </w:tc>
        <w:tc>
          <w:tcPr>
            <w:tcW w:w="2268" w:type="dxa"/>
            <w:vAlign w:val="center"/>
          </w:tcPr>
          <w:p>
            <w:pPr>
              <w:pStyle w:val="10"/>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行政处罚率（%）</w:t>
            </w:r>
          </w:p>
        </w:tc>
        <w:tc>
          <w:tcPr>
            <w:tcW w:w="2835" w:type="dxa"/>
            <w:vAlign w:val="center"/>
          </w:tcPr>
          <w:p>
            <w:pPr>
              <w:pStyle w:val="10"/>
            </w:pPr>
            <w:r>
              <w:t>对违法行为实施行政处罚的条数占执法发现的违法行为总数的比率</w:t>
            </w:r>
          </w:p>
        </w:tc>
        <w:tc>
          <w:tcPr>
            <w:tcW w:w="2551" w:type="dxa"/>
            <w:vAlign w:val="center"/>
          </w:tcPr>
          <w:p>
            <w:pPr>
              <w:pStyle w:val="10"/>
            </w:pPr>
            <w:r>
              <w:t>≥50百分比</w:t>
            </w:r>
          </w:p>
        </w:tc>
        <w:tc>
          <w:tcPr>
            <w:tcW w:w="2268" w:type="dxa"/>
            <w:vAlign w:val="center"/>
          </w:tcPr>
          <w:p>
            <w:pPr>
              <w:pStyle w:val="10"/>
            </w:pPr>
            <w:r>
              <w:t>《安全生产法》《河北省安全生产管理条例》等有关法律法规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自收自支人员工资发放成本</w:t>
            </w:r>
          </w:p>
        </w:tc>
        <w:tc>
          <w:tcPr>
            <w:tcW w:w="2835" w:type="dxa"/>
            <w:vAlign w:val="center"/>
          </w:tcPr>
          <w:p>
            <w:pPr>
              <w:pStyle w:val="10"/>
            </w:pPr>
            <w:r>
              <w:t>自收自支人员每月工资发放数</w:t>
            </w:r>
          </w:p>
        </w:tc>
        <w:tc>
          <w:tcPr>
            <w:tcW w:w="2551" w:type="dxa"/>
            <w:vAlign w:val="center"/>
          </w:tcPr>
          <w:p>
            <w:pPr>
              <w:pStyle w:val="10"/>
            </w:pPr>
            <w:r>
              <w:t>≥1000元/每月</w:t>
            </w:r>
          </w:p>
        </w:tc>
        <w:tc>
          <w:tcPr>
            <w:tcW w:w="2268" w:type="dxa"/>
            <w:vAlign w:val="center"/>
          </w:tcPr>
          <w:p>
            <w:pPr>
              <w:pStyle w:val="10"/>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隐患整改率</w:t>
            </w:r>
          </w:p>
        </w:tc>
        <w:tc>
          <w:tcPr>
            <w:tcW w:w="2835" w:type="dxa"/>
            <w:vAlign w:val="center"/>
          </w:tcPr>
          <w:p>
            <w:pPr>
              <w:pStyle w:val="10"/>
            </w:pPr>
            <w:r>
              <w:t>隐患排查工作中整改消除的隐患总数与排查发现的隐患总数的比例</w:t>
            </w:r>
          </w:p>
        </w:tc>
        <w:tc>
          <w:tcPr>
            <w:tcW w:w="2551" w:type="dxa"/>
            <w:vAlign w:val="center"/>
          </w:tcPr>
          <w:p>
            <w:pPr>
              <w:pStyle w:val="10"/>
            </w:pPr>
            <w:r>
              <w:t>≥95百分比</w:t>
            </w:r>
          </w:p>
        </w:tc>
        <w:tc>
          <w:tcPr>
            <w:tcW w:w="2268" w:type="dxa"/>
            <w:vAlign w:val="center"/>
          </w:tcPr>
          <w:p>
            <w:pPr>
              <w:pStyle w:val="10"/>
            </w:pPr>
            <w:r>
              <w:t>各组执法人员隐患排查清单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执法能力提升程度</w:t>
            </w:r>
          </w:p>
        </w:tc>
        <w:tc>
          <w:tcPr>
            <w:tcW w:w="2835" w:type="dxa"/>
            <w:vAlign w:val="center"/>
          </w:tcPr>
          <w:p>
            <w:pPr>
              <w:pStyle w:val="10"/>
            </w:pPr>
            <w:r>
              <w:t>提高检测、检查能力提升程度</w:t>
            </w:r>
          </w:p>
        </w:tc>
        <w:tc>
          <w:tcPr>
            <w:tcW w:w="2551" w:type="dxa"/>
            <w:vAlign w:val="center"/>
          </w:tcPr>
          <w:p>
            <w:pPr>
              <w:pStyle w:val="10"/>
            </w:pPr>
            <w:r>
              <w:t>较上年提高</w:t>
            </w:r>
          </w:p>
        </w:tc>
        <w:tc>
          <w:tcPr>
            <w:tcW w:w="2268" w:type="dxa"/>
            <w:vAlign w:val="center"/>
          </w:tcPr>
          <w:p>
            <w:pPr>
              <w:pStyle w:val="10"/>
            </w:pPr>
            <w:r>
              <w:t>部门年度谋划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减少安全生产事件的发生数</w:t>
            </w:r>
          </w:p>
        </w:tc>
        <w:tc>
          <w:tcPr>
            <w:tcW w:w="2835" w:type="dxa"/>
            <w:vAlign w:val="center"/>
          </w:tcPr>
          <w:p>
            <w:pPr>
              <w:pStyle w:val="10"/>
            </w:pPr>
            <w:r>
              <w:t>执法检查为了让企业整改安全生产隐患，减少大的事故发生</w:t>
            </w:r>
          </w:p>
        </w:tc>
        <w:tc>
          <w:tcPr>
            <w:tcW w:w="2551" w:type="dxa"/>
            <w:vAlign w:val="center"/>
          </w:tcPr>
          <w:p>
            <w:pPr>
              <w:pStyle w:val="10"/>
            </w:pPr>
            <w:r>
              <w:t>≤5起</w:t>
            </w:r>
          </w:p>
        </w:tc>
        <w:tc>
          <w:tcPr>
            <w:tcW w:w="2268" w:type="dxa"/>
            <w:vAlign w:val="center"/>
          </w:tcPr>
          <w:p>
            <w:pPr>
              <w:pStyle w:val="10"/>
            </w:pPr>
            <w:r>
              <w:t>根据执法人员统计数据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提高人员生活质量，减少社会矛盾</w:t>
            </w:r>
          </w:p>
        </w:tc>
        <w:tc>
          <w:tcPr>
            <w:tcW w:w="2835" w:type="dxa"/>
            <w:vAlign w:val="center"/>
          </w:tcPr>
          <w:p>
            <w:pPr>
              <w:pStyle w:val="10"/>
            </w:pPr>
            <w:r>
              <w:t>提高人员生活质量，减少社会矛盾</w:t>
            </w:r>
          </w:p>
        </w:tc>
        <w:tc>
          <w:tcPr>
            <w:tcW w:w="2551" w:type="dxa"/>
            <w:vAlign w:val="center"/>
          </w:tcPr>
          <w:p>
            <w:pPr>
              <w:pStyle w:val="10"/>
            </w:pPr>
            <w:r>
              <w:t>减少社会矛盾</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企业对执法的满意程度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4、储备防汛物资绩效目标表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1.汛期来临时物资保障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购买防汛物资数量</w:t>
            </w:r>
          </w:p>
        </w:tc>
        <w:tc>
          <w:tcPr>
            <w:tcW w:w="2835" w:type="dxa"/>
            <w:vAlign w:val="center"/>
          </w:tcPr>
          <w:p>
            <w:pPr>
              <w:pStyle w:val="10"/>
            </w:pPr>
            <w:r>
              <w:t>计划购买防汛物资数量</w:t>
            </w:r>
          </w:p>
        </w:tc>
        <w:tc>
          <w:tcPr>
            <w:tcW w:w="2551" w:type="dxa"/>
            <w:vAlign w:val="center"/>
          </w:tcPr>
          <w:p>
            <w:pPr>
              <w:pStyle w:val="10"/>
            </w:pPr>
            <w:r>
              <w:t>≥100件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购买防汛物资质量合格率</w:t>
            </w:r>
          </w:p>
        </w:tc>
        <w:tc>
          <w:tcPr>
            <w:tcW w:w="2835" w:type="dxa"/>
            <w:vAlign w:val="center"/>
          </w:tcPr>
          <w:p>
            <w:pPr>
              <w:pStyle w:val="10"/>
            </w:pPr>
            <w:r>
              <w:t>计划购买防汛物资的合格率</w:t>
            </w:r>
          </w:p>
        </w:tc>
        <w:tc>
          <w:tcPr>
            <w:tcW w:w="2551" w:type="dxa"/>
            <w:vAlign w:val="center"/>
          </w:tcPr>
          <w:p>
            <w:pPr>
              <w:pStyle w:val="10"/>
            </w:pPr>
            <w:r>
              <w:t>≥99%</w:t>
            </w:r>
          </w:p>
        </w:tc>
        <w:tc>
          <w:tcPr>
            <w:tcW w:w="2268" w:type="dxa"/>
            <w:vAlign w:val="center"/>
          </w:tcPr>
          <w:p>
            <w:pPr>
              <w:pStyle w:val="10"/>
            </w:pPr>
            <w:r>
              <w:t>物品合格证明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购买防汛物资成本</w:t>
            </w:r>
          </w:p>
        </w:tc>
        <w:tc>
          <w:tcPr>
            <w:tcW w:w="2835" w:type="dxa"/>
            <w:vAlign w:val="center"/>
          </w:tcPr>
          <w:p>
            <w:pPr>
              <w:pStyle w:val="10"/>
            </w:pPr>
            <w:r>
              <w:t>计划购买防汛物资成本</w:t>
            </w:r>
          </w:p>
        </w:tc>
        <w:tc>
          <w:tcPr>
            <w:tcW w:w="2551" w:type="dxa"/>
            <w:vAlign w:val="center"/>
          </w:tcPr>
          <w:p>
            <w:pPr>
              <w:pStyle w:val="10"/>
            </w:pPr>
            <w:r>
              <w:t>控制在预算数内</w:t>
            </w:r>
          </w:p>
        </w:tc>
        <w:tc>
          <w:tcPr>
            <w:tcW w:w="2268" w:type="dxa"/>
            <w:vAlign w:val="center"/>
          </w:tcPr>
          <w:p>
            <w:pPr>
              <w:pStyle w:val="10"/>
            </w:pPr>
            <w:r>
              <w:t>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购买防汛物资时限</w:t>
            </w:r>
          </w:p>
        </w:tc>
        <w:tc>
          <w:tcPr>
            <w:tcW w:w="2835" w:type="dxa"/>
            <w:vAlign w:val="center"/>
          </w:tcPr>
          <w:p>
            <w:pPr>
              <w:pStyle w:val="10"/>
            </w:pPr>
            <w:r>
              <w:t>购买防汛物资时限</w:t>
            </w:r>
          </w:p>
        </w:tc>
        <w:tc>
          <w:tcPr>
            <w:tcW w:w="2551" w:type="dxa"/>
            <w:vAlign w:val="center"/>
          </w:tcPr>
          <w:p>
            <w:pPr>
              <w:pStyle w:val="10"/>
            </w:pPr>
            <w:r>
              <w:t>5月底前完成购置</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保障汛期发生后物资供应</w:t>
            </w:r>
            <w:r>
              <w:tab/>
            </w:r>
          </w:p>
          <w:p>
            <w:pPr>
              <w:pStyle w:val="10"/>
            </w:pPr>
          </w:p>
        </w:tc>
        <w:tc>
          <w:tcPr>
            <w:tcW w:w="2835" w:type="dxa"/>
            <w:vAlign w:val="center"/>
          </w:tcPr>
          <w:p>
            <w:pPr>
              <w:pStyle w:val="10"/>
            </w:pPr>
            <w:r>
              <w:t>保障汛期发生后物资供应</w:t>
            </w:r>
          </w:p>
        </w:tc>
        <w:tc>
          <w:tcPr>
            <w:tcW w:w="2551" w:type="dxa"/>
            <w:vAlign w:val="center"/>
          </w:tcPr>
          <w:p>
            <w:pPr>
              <w:pStyle w:val="10"/>
            </w:pPr>
            <w:r>
              <w:t>能</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汛期人员伤亡率</w:t>
            </w:r>
          </w:p>
        </w:tc>
        <w:tc>
          <w:tcPr>
            <w:tcW w:w="2835" w:type="dxa"/>
            <w:vAlign w:val="center"/>
          </w:tcPr>
          <w:p>
            <w:pPr>
              <w:pStyle w:val="10"/>
            </w:pPr>
            <w:r>
              <w:t>汛期人员伤亡率</w:t>
            </w:r>
            <w:r>
              <w:tab/>
            </w:r>
          </w:p>
          <w:p>
            <w:pPr>
              <w:pStyle w:val="10"/>
            </w:pPr>
          </w:p>
        </w:tc>
        <w:tc>
          <w:tcPr>
            <w:tcW w:w="2551" w:type="dxa"/>
            <w:vAlign w:val="center"/>
          </w:tcPr>
          <w:p>
            <w:pPr>
              <w:pStyle w:val="10"/>
            </w:pPr>
            <w:r>
              <w:t>≤0.05%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汛期到来之时及时调配物资</w:t>
            </w:r>
          </w:p>
        </w:tc>
        <w:tc>
          <w:tcPr>
            <w:tcW w:w="2835" w:type="dxa"/>
            <w:vAlign w:val="center"/>
          </w:tcPr>
          <w:p>
            <w:pPr>
              <w:pStyle w:val="10"/>
            </w:pPr>
            <w:r>
              <w:t>汛期到来之时及时调配物资</w:t>
            </w:r>
            <w:r>
              <w:tab/>
            </w:r>
          </w:p>
          <w:p>
            <w:pPr>
              <w:pStyle w:val="10"/>
            </w:pPr>
          </w:p>
        </w:tc>
        <w:tc>
          <w:tcPr>
            <w:tcW w:w="2551" w:type="dxa"/>
            <w:vAlign w:val="center"/>
          </w:tcPr>
          <w:p>
            <w:pPr>
              <w:pStyle w:val="10"/>
            </w:pPr>
            <w:r>
              <w:t>是</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5、地震三网一员培训及宣传经费绩效目标表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1.提高公民的地震防范意识</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宣传资料印刷数量</w:t>
            </w:r>
          </w:p>
        </w:tc>
        <w:tc>
          <w:tcPr>
            <w:tcW w:w="2835" w:type="dxa"/>
            <w:vAlign w:val="center"/>
          </w:tcPr>
          <w:p>
            <w:pPr>
              <w:pStyle w:val="10"/>
            </w:pPr>
            <w:r>
              <w:t>开展宣传资料印刷数量</w:t>
            </w:r>
          </w:p>
        </w:tc>
        <w:tc>
          <w:tcPr>
            <w:tcW w:w="2551" w:type="dxa"/>
            <w:vAlign w:val="center"/>
          </w:tcPr>
          <w:p>
            <w:pPr>
              <w:pStyle w:val="10"/>
            </w:pPr>
            <w:r>
              <w:t>≥1000页</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防震减灾宣传活动完成率</w:t>
            </w:r>
          </w:p>
        </w:tc>
        <w:tc>
          <w:tcPr>
            <w:tcW w:w="2835" w:type="dxa"/>
            <w:vAlign w:val="center"/>
          </w:tcPr>
          <w:p>
            <w:pPr>
              <w:pStyle w:val="10"/>
            </w:pPr>
            <w:r>
              <w:t>防震减灾宣传活动完成率</w:t>
            </w:r>
          </w:p>
        </w:tc>
        <w:tc>
          <w:tcPr>
            <w:tcW w:w="2551" w:type="dxa"/>
            <w:vAlign w:val="center"/>
          </w:tcPr>
          <w:p>
            <w:pPr>
              <w:pStyle w:val="10"/>
            </w:pPr>
            <w:r>
              <w:t>≥99百分比</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根据文件要求减灾活动及时完成</w:t>
            </w:r>
          </w:p>
        </w:tc>
        <w:tc>
          <w:tcPr>
            <w:tcW w:w="2835" w:type="dxa"/>
            <w:vAlign w:val="center"/>
          </w:tcPr>
          <w:p>
            <w:pPr>
              <w:pStyle w:val="10"/>
            </w:pPr>
            <w:r>
              <w:t>根据上级文件要求防震减灾宣传活动是否及时开展</w:t>
            </w:r>
          </w:p>
        </w:tc>
        <w:tc>
          <w:tcPr>
            <w:tcW w:w="2551" w:type="dxa"/>
            <w:vAlign w:val="center"/>
          </w:tcPr>
          <w:p>
            <w:pPr>
              <w:pStyle w:val="10"/>
            </w:pPr>
            <w:r>
              <w:t>是</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宣传资料成本</w:t>
            </w:r>
          </w:p>
        </w:tc>
        <w:tc>
          <w:tcPr>
            <w:tcW w:w="2835" w:type="dxa"/>
            <w:vAlign w:val="center"/>
          </w:tcPr>
          <w:p>
            <w:pPr>
              <w:pStyle w:val="10"/>
            </w:pPr>
            <w:r>
              <w:t>宣传页资料印刷成本</w:t>
            </w:r>
          </w:p>
        </w:tc>
        <w:tc>
          <w:tcPr>
            <w:tcW w:w="2551" w:type="dxa"/>
            <w:vAlign w:val="center"/>
          </w:tcPr>
          <w:p>
            <w:pPr>
              <w:pStyle w:val="10"/>
            </w:pPr>
            <w:r>
              <w:t>≤5元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地震速报及时率</w:t>
            </w:r>
          </w:p>
        </w:tc>
        <w:tc>
          <w:tcPr>
            <w:tcW w:w="2835" w:type="dxa"/>
            <w:vAlign w:val="center"/>
          </w:tcPr>
          <w:p>
            <w:pPr>
              <w:pStyle w:val="10"/>
            </w:pPr>
            <w:r>
              <w:t>3级以上地震在十分钟你准确完成速报次数占全部发生次数的比率</w:t>
            </w:r>
          </w:p>
        </w:tc>
        <w:tc>
          <w:tcPr>
            <w:tcW w:w="2551" w:type="dxa"/>
            <w:vAlign w:val="center"/>
          </w:tcPr>
          <w:p>
            <w:pPr>
              <w:pStyle w:val="10"/>
            </w:pPr>
            <w:r>
              <w:t>≥80百分比</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事故处理率</w:t>
            </w:r>
          </w:p>
        </w:tc>
        <w:tc>
          <w:tcPr>
            <w:tcW w:w="2835" w:type="dxa"/>
            <w:vAlign w:val="center"/>
          </w:tcPr>
          <w:p>
            <w:pPr>
              <w:pStyle w:val="10"/>
            </w:pPr>
            <w:r>
              <w:t>反映地震速报的准确次数占应报次数的比率</w:t>
            </w:r>
          </w:p>
        </w:tc>
        <w:tc>
          <w:tcPr>
            <w:tcW w:w="2551" w:type="dxa"/>
            <w:vAlign w:val="center"/>
          </w:tcPr>
          <w:p>
            <w:pPr>
              <w:pStyle w:val="10"/>
            </w:pPr>
            <w:r>
              <w:t>≥80百分比</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群众对地震自救能力提升</w:t>
            </w:r>
          </w:p>
        </w:tc>
        <w:tc>
          <w:tcPr>
            <w:tcW w:w="2835" w:type="dxa"/>
            <w:vAlign w:val="center"/>
          </w:tcPr>
          <w:p>
            <w:pPr>
              <w:pStyle w:val="10"/>
            </w:pPr>
            <w:r>
              <w:t>群众对地震自救能力是否提升</w:t>
            </w:r>
          </w:p>
        </w:tc>
        <w:tc>
          <w:tcPr>
            <w:tcW w:w="2551" w:type="dxa"/>
            <w:vAlign w:val="center"/>
          </w:tcPr>
          <w:p>
            <w:pPr>
              <w:pStyle w:val="10"/>
            </w:pPr>
            <w:r>
              <w:t>是</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群众对地震知识知晓的满意度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6、购置防汛公务用车绩效目标表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1.保障汛期工作能正常开展，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购置车辆数</w:t>
            </w:r>
          </w:p>
        </w:tc>
        <w:tc>
          <w:tcPr>
            <w:tcW w:w="2835" w:type="dxa"/>
            <w:vAlign w:val="center"/>
          </w:tcPr>
          <w:p>
            <w:pPr>
              <w:pStyle w:val="10"/>
            </w:pPr>
            <w:r>
              <w:t>计划购置更换车辆数</w:t>
            </w:r>
          </w:p>
        </w:tc>
        <w:tc>
          <w:tcPr>
            <w:tcW w:w="2551" w:type="dxa"/>
            <w:vAlign w:val="center"/>
          </w:tcPr>
          <w:p>
            <w:pPr>
              <w:pStyle w:val="10"/>
            </w:pPr>
            <w:r>
              <w:t>1辆</w:t>
            </w:r>
          </w:p>
        </w:tc>
        <w:tc>
          <w:tcPr>
            <w:tcW w:w="2268" w:type="dxa"/>
            <w:vAlign w:val="center"/>
          </w:tcPr>
          <w:p>
            <w:pPr>
              <w:pStyle w:val="10"/>
            </w:pPr>
            <w:r>
              <w:t>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购置车辆合格率</w:t>
            </w:r>
          </w:p>
        </w:tc>
        <w:tc>
          <w:tcPr>
            <w:tcW w:w="2835" w:type="dxa"/>
            <w:vAlign w:val="center"/>
          </w:tcPr>
          <w:p>
            <w:pPr>
              <w:pStyle w:val="10"/>
            </w:pPr>
            <w:r>
              <w:t>购置车辆合格情况</w:t>
            </w:r>
          </w:p>
        </w:tc>
        <w:tc>
          <w:tcPr>
            <w:tcW w:w="2551" w:type="dxa"/>
            <w:vAlign w:val="center"/>
          </w:tcPr>
          <w:p>
            <w:pPr>
              <w:pStyle w:val="10"/>
            </w:pPr>
            <w:r>
              <w:t>≥99%</w:t>
            </w:r>
          </w:p>
        </w:tc>
        <w:tc>
          <w:tcPr>
            <w:tcW w:w="2268" w:type="dxa"/>
            <w:vAlign w:val="center"/>
          </w:tcPr>
          <w:p>
            <w:pPr>
              <w:pStyle w:val="10"/>
            </w:pPr>
            <w:r>
              <w:t>机动车验收合格证书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车辆采购时限</w:t>
            </w:r>
          </w:p>
        </w:tc>
        <w:tc>
          <w:tcPr>
            <w:tcW w:w="2835" w:type="dxa"/>
            <w:vAlign w:val="center"/>
          </w:tcPr>
          <w:p>
            <w:pPr>
              <w:pStyle w:val="10"/>
            </w:pPr>
            <w:r>
              <w:t>计划购置车辆时限</w:t>
            </w:r>
          </w:p>
        </w:tc>
        <w:tc>
          <w:tcPr>
            <w:tcW w:w="2551" w:type="dxa"/>
            <w:vAlign w:val="center"/>
          </w:tcPr>
          <w:p>
            <w:pPr>
              <w:pStyle w:val="10"/>
            </w:pPr>
            <w:r>
              <w:t>5月底前配备完成</w:t>
            </w:r>
          </w:p>
        </w:tc>
        <w:tc>
          <w:tcPr>
            <w:tcW w:w="2268" w:type="dxa"/>
            <w:vAlign w:val="center"/>
          </w:tcPr>
          <w:p>
            <w:pPr>
              <w:pStyle w:val="10"/>
            </w:pPr>
            <w:r>
              <w:t>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购置车辆价格</w:t>
            </w:r>
          </w:p>
        </w:tc>
        <w:tc>
          <w:tcPr>
            <w:tcW w:w="2835" w:type="dxa"/>
            <w:vAlign w:val="center"/>
          </w:tcPr>
          <w:p>
            <w:pPr>
              <w:pStyle w:val="10"/>
            </w:pPr>
            <w:r>
              <w:t>购置车辆成本</w:t>
            </w:r>
          </w:p>
        </w:tc>
        <w:tc>
          <w:tcPr>
            <w:tcW w:w="2551" w:type="dxa"/>
            <w:vAlign w:val="center"/>
          </w:tcPr>
          <w:p>
            <w:pPr>
              <w:pStyle w:val="10"/>
            </w:pPr>
            <w:r>
              <w:t>控制在预算数内</w:t>
            </w:r>
          </w:p>
        </w:tc>
        <w:tc>
          <w:tcPr>
            <w:tcW w:w="2268" w:type="dxa"/>
            <w:vAlign w:val="center"/>
          </w:tcPr>
          <w:p>
            <w:pPr>
              <w:pStyle w:val="10"/>
            </w:pPr>
            <w:r>
              <w:t>平乡县公务用车管理办法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提升工作效率</w:t>
            </w:r>
          </w:p>
        </w:tc>
        <w:tc>
          <w:tcPr>
            <w:tcW w:w="2835" w:type="dxa"/>
            <w:vAlign w:val="center"/>
          </w:tcPr>
          <w:p>
            <w:pPr>
              <w:pStyle w:val="10"/>
            </w:pPr>
            <w:r>
              <w:t>进一步提高汛情工作的开展</w:t>
            </w:r>
          </w:p>
        </w:tc>
        <w:tc>
          <w:tcPr>
            <w:tcW w:w="2551" w:type="dxa"/>
            <w:vAlign w:val="center"/>
          </w:tcPr>
          <w:p>
            <w:pPr>
              <w:pStyle w:val="10"/>
            </w:pPr>
            <w:r>
              <w:t>明显提高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减少环境污染</w:t>
            </w:r>
          </w:p>
        </w:tc>
        <w:tc>
          <w:tcPr>
            <w:tcW w:w="2835" w:type="dxa"/>
            <w:vAlign w:val="center"/>
          </w:tcPr>
          <w:p>
            <w:pPr>
              <w:pStyle w:val="10"/>
            </w:pPr>
            <w:r>
              <w:t>对旧公务用车进行更换，进一步减少污染</w:t>
            </w:r>
          </w:p>
        </w:tc>
        <w:tc>
          <w:tcPr>
            <w:tcW w:w="2551" w:type="dxa"/>
            <w:vAlign w:val="center"/>
          </w:tcPr>
          <w:p>
            <w:pPr>
              <w:pStyle w:val="10"/>
            </w:pPr>
            <w:r>
              <w:t>有所减少</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公车的长期使用性</w:t>
            </w:r>
          </w:p>
        </w:tc>
        <w:tc>
          <w:tcPr>
            <w:tcW w:w="2551" w:type="dxa"/>
            <w:vAlign w:val="center"/>
          </w:tcPr>
          <w:p>
            <w:pPr>
              <w:pStyle w:val="10"/>
            </w:pPr>
            <w:r>
              <w:t>≥90%</w:t>
            </w:r>
          </w:p>
        </w:tc>
        <w:tc>
          <w:tcPr>
            <w:tcW w:w="2268" w:type="dxa"/>
            <w:vAlign w:val="center"/>
          </w:tcPr>
          <w:p>
            <w:pPr>
              <w:pStyle w:val="10"/>
            </w:pPr>
            <w:r>
              <w:t>单位车辆管理办法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车辆使用人员满意度</w:t>
            </w:r>
          </w:p>
        </w:tc>
        <w:tc>
          <w:tcPr>
            <w:tcW w:w="2835" w:type="dxa"/>
            <w:vAlign w:val="center"/>
          </w:tcPr>
          <w:p>
            <w:pPr>
              <w:pStyle w:val="10"/>
            </w:pPr>
            <w:r>
              <w:t>车辆使用人员满意度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7、冀财建【2021】235号河北省财政厅关于提前下达2022年自然灾害救助专项资金预算指标的通知（农房保险补助）绩效目标表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1.减少农户受灾损失</w:t>
            </w:r>
          </w:p>
          <w:p>
            <w:pPr>
              <w:pStyle w:val="10"/>
            </w:pPr>
            <w:r>
              <w:t>2.引导和鼓励农户积极参加，切实增强受灾群众抵御自然灾害的能力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参保农户数量 </w:t>
            </w:r>
          </w:p>
        </w:tc>
        <w:tc>
          <w:tcPr>
            <w:tcW w:w="2835" w:type="dxa"/>
            <w:vAlign w:val="center"/>
          </w:tcPr>
          <w:p>
            <w:pPr>
              <w:pStyle w:val="10"/>
            </w:pPr>
            <w:r>
              <w:t>参保农户数量</w:t>
            </w:r>
          </w:p>
        </w:tc>
        <w:tc>
          <w:tcPr>
            <w:tcW w:w="2551" w:type="dxa"/>
            <w:vAlign w:val="center"/>
          </w:tcPr>
          <w:p>
            <w:pPr>
              <w:pStyle w:val="10"/>
            </w:pPr>
            <w:r>
              <w:t>≥60000户</w:t>
            </w:r>
          </w:p>
        </w:tc>
        <w:tc>
          <w:tcPr>
            <w:tcW w:w="2268" w:type="dxa"/>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农户参保覆盖率</w:t>
            </w:r>
          </w:p>
        </w:tc>
        <w:tc>
          <w:tcPr>
            <w:tcW w:w="2835" w:type="dxa"/>
            <w:vAlign w:val="center"/>
          </w:tcPr>
          <w:p>
            <w:pPr>
              <w:pStyle w:val="10"/>
            </w:pPr>
            <w:r>
              <w:t>参保农户占总农户的比率</w:t>
            </w:r>
          </w:p>
        </w:tc>
        <w:tc>
          <w:tcPr>
            <w:tcW w:w="2551" w:type="dxa"/>
            <w:vAlign w:val="center"/>
          </w:tcPr>
          <w:p>
            <w:pPr>
              <w:pStyle w:val="10"/>
            </w:pPr>
            <w:r>
              <w:t>≥90百分比</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农户参保时间</w:t>
            </w:r>
          </w:p>
        </w:tc>
        <w:tc>
          <w:tcPr>
            <w:tcW w:w="2835" w:type="dxa"/>
            <w:vAlign w:val="center"/>
          </w:tcPr>
          <w:p>
            <w:pPr>
              <w:pStyle w:val="10"/>
            </w:pPr>
            <w:r>
              <w:t>农户参保时间</w:t>
            </w:r>
          </w:p>
        </w:tc>
        <w:tc>
          <w:tcPr>
            <w:tcW w:w="2551" w:type="dxa"/>
            <w:vAlign w:val="center"/>
          </w:tcPr>
          <w:p>
            <w:pPr>
              <w:pStyle w:val="10"/>
            </w:pPr>
            <w:r>
              <w:t>每年7月份</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每户农户参保成本</w:t>
            </w:r>
          </w:p>
        </w:tc>
        <w:tc>
          <w:tcPr>
            <w:tcW w:w="2835" w:type="dxa"/>
            <w:vAlign w:val="center"/>
          </w:tcPr>
          <w:p>
            <w:pPr>
              <w:pStyle w:val="10"/>
            </w:pPr>
            <w:r>
              <w:t>每户农户参保成本</w:t>
            </w:r>
          </w:p>
        </w:tc>
        <w:tc>
          <w:tcPr>
            <w:tcW w:w="2551" w:type="dxa"/>
            <w:vAlign w:val="center"/>
          </w:tcPr>
          <w:p>
            <w:pPr>
              <w:pStyle w:val="10"/>
            </w:pPr>
            <w:r>
              <w:t>5元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减少受灾农户损失</w:t>
            </w:r>
          </w:p>
        </w:tc>
        <w:tc>
          <w:tcPr>
            <w:tcW w:w="2835" w:type="dxa"/>
            <w:vAlign w:val="center"/>
          </w:tcPr>
          <w:p>
            <w:pPr>
              <w:pStyle w:val="10"/>
            </w:pPr>
            <w:r>
              <w:t>通过理赔减少受灾农户损失</w:t>
            </w:r>
          </w:p>
        </w:tc>
        <w:tc>
          <w:tcPr>
            <w:tcW w:w="2551" w:type="dxa"/>
            <w:vAlign w:val="center"/>
          </w:tcPr>
          <w:p>
            <w:pPr>
              <w:pStyle w:val="10"/>
            </w:pPr>
            <w:r>
              <w:t>是</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农房保险报销是否及时</w:t>
            </w:r>
          </w:p>
        </w:tc>
        <w:tc>
          <w:tcPr>
            <w:tcW w:w="2835" w:type="dxa"/>
            <w:vAlign w:val="center"/>
          </w:tcPr>
          <w:p>
            <w:pPr>
              <w:pStyle w:val="10"/>
            </w:pPr>
            <w:r>
              <w:t>农房保险报销是否及时</w:t>
            </w:r>
          </w:p>
        </w:tc>
        <w:tc>
          <w:tcPr>
            <w:tcW w:w="2551" w:type="dxa"/>
            <w:vAlign w:val="center"/>
          </w:tcPr>
          <w:p>
            <w:pPr>
              <w:pStyle w:val="10"/>
            </w:pPr>
            <w:r>
              <w:t>≤15天</w:t>
            </w:r>
          </w:p>
        </w:tc>
        <w:tc>
          <w:tcPr>
            <w:tcW w:w="2268" w:type="dxa"/>
            <w:vAlign w:val="center"/>
          </w:tcPr>
          <w:p>
            <w:pPr>
              <w:pStyle w:val="10"/>
            </w:pPr>
            <w: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农房保险理赔率</w:t>
            </w:r>
          </w:p>
        </w:tc>
        <w:tc>
          <w:tcPr>
            <w:tcW w:w="2835" w:type="dxa"/>
            <w:vAlign w:val="center"/>
          </w:tcPr>
          <w:p>
            <w:pPr>
              <w:pStyle w:val="10"/>
            </w:pPr>
            <w:r>
              <w:t>保险赔付农房数量占保险农房数量的比率</w:t>
            </w:r>
          </w:p>
        </w:tc>
        <w:tc>
          <w:tcPr>
            <w:tcW w:w="2551" w:type="dxa"/>
            <w:vAlign w:val="center"/>
          </w:tcPr>
          <w:p>
            <w:pPr>
              <w:pStyle w:val="10"/>
            </w:pPr>
            <w:r>
              <w:t>≥95百分比</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8、林下防火经费绩效目标表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1.通过宣传减少火灾</w:t>
            </w:r>
            <w:r>
              <w:tab/>
            </w:r>
            <w:r>
              <w:tab/>
            </w:r>
            <w:r>
              <w:tab/>
            </w:r>
            <w:r>
              <w:tab/>
            </w:r>
          </w:p>
          <w:p>
            <w:pPr>
              <w:pStyle w:val="10"/>
            </w:pPr>
          </w:p>
          <w:p>
            <w:pPr>
              <w:pStyle w:val="10"/>
            </w:pPr>
            <w:r>
              <w:t>2.保护森林资源、确保全县森林资源安全</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制作宣传条幅数量</w:t>
            </w:r>
          </w:p>
        </w:tc>
        <w:tc>
          <w:tcPr>
            <w:tcW w:w="2835" w:type="dxa"/>
            <w:vAlign w:val="center"/>
          </w:tcPr>
          <w:p>
            <w:pPr>
              <w:pStyle w:val="10"/>
            </w:pPr>
            <w:r>
              <w:t>制作宣传条幅数量</w:t>
            </w:r>
          </w:p>
        </w:tc>
        <w:tc>
          <w:tcPr>
            <w:tcW w:w="2551" w:type="dxa"/>
            <w:vAlign w:val="center"/>
          </w:tcPr>
          <w:p>
            <w:pPr>
              <w:pStyle w:val="10"/>
            </w:pPr>
            <w:r>
              <w:t>≥100条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宣传活动完成率</w:t>
            </w:r>
          </w:p>
        </w:tc>
        <w:tc>
          <w:tcPr>
            <w:tcW w:w="2835" w:type="dxa"/>
            <w:vAlign w:val="center"/>
          </w:tcPr>
          <w:p>
            <w:pPr>
              <w:pStyle w:val="10"/>
            </w:pPr>
            <w:r>
              <w:t>宣传活动完成率</w:t>
            </w:r>
          </w:p>
        </w:tc>
        <w:tc>
          <w:tcPr>
            <w:tcW w:w="2551" w:type="dxa"/>
            <w:vAlign w:val="center"/>
          </w:tcPr>
          <w:p>
            <w:pPr>
              <w:pStyle w:val="10"/>
            </w:pPr>
            <w:r>
              <w:t>≥98百分比</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每年森林防火期间宣传完成情况</w:t>
            </w:r>
          </w:p>
        </w:tc>
        <w:tc>
          <w:tcPr>
            <w:tcW w:w="2835" w:type="dxa"/>
            <w:vAlign w:val="center"/>
          </w:tcPr>
          <w:p>
            <w:pPr>
              <w:pStyle w:val="10"/>
            </w:pPr>
            <w:r>
              <w:t>每年森林防火日活动完成情况</w:t>
            </w:r>
          </w:p>
        </w:tc>
        <w:tc>
          <w:tcPr>
            <w:tcW w:w="2551" w:type="dxa"/>
            <w:vAlign w:val="center"/>
          </w:tcPr>
          <w:p>
            <w:pPr>
              <w:pStyle w:val="10"/>
            </w:pPr>
            <w:r>
              <w:t>按时完成</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制作宣传条幅成本</w:t>
            </w:r>
          </w:p>
        </w:tc>
        <w:tc>
          <w:tcPr>
            <w:tcW w:w="2835" w:type="dxa"/>
            <w:vAlign w:val="center"/>
          </w:tcPr>
          <w:p>
            <w:pPr>
              <w:pStyle w:val="10"/>
            </w:pPr>
            <w:r>
              <w:t>制作宣传条幅成本</w:t>
            </w:r>
          </w:p>
        </w:tc>
        <w:tc>
          <w:tcPr>
            <w:tcW w:w="2551" w:type="dxa"/>
            <w:vAlign w:val="center"/>
          </w:tcPr>
          <w:p>
            <w:pPr>
              <w:pStyle w:val="10"/>
            </w:pPr>
            <w:r>
              <w:t>≤70元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扩大防火安全宣传效应</w:t>
            </w:r>
          </w:p>
        </w:tc>
        <w:tc>
          <w:tcPr>
            <w:tcW w:w="2835" w:type="dxa"/>
            <w:vAlign w:val="center"/>
          </w:tcPr>
          <w:p>
            <w:pPr>
              <w:pStyle w:val="10"/>
            </w:pPr>
            <w:r>
              <w:t>扩大防火安全宣传效应</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通过宣传防火提高群众防火意识</w:t>
            </w:r>
          </w:p>
        </w:tc>
        <w:tc>
          <w:tcPr>
            <w:tcW w:w="2835" w:type="dxa"/>
            <w:vAlign w:val="center"/>
          </w:tcPr>
          <w:p>
            <w:pPr>
              <w:pStyle w:val="10"/>
            </w:pPr>
            <w:r>
              <w:t>通过宣传防火提高群众防火意识</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林业健康发展</w:t>
            </w:r>
          </w:p>
        </w:tc>
        <w:tc>
          <w:tcPr>
            <w:tcW w:w="2835" w:type="dxa"/>
            <w:vAlign w:val="center"/>
          </w:tcPr>
          <w:p>
            <w:pPr>
              <w:pStyle w:val="10"/>
            </w:pPr>
            <w:r>
              <w:t>林业健康发展可持续影响是否明显</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9、农房保险（县级配套）绩效目标表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1.减少农户受灾损失</w:t>
            </w:r>
            <w:r>
              <w:tab/>
            </w:r>
            <w:r>
              <w:tab/>
            </w:r>
            <w:r>
              <w:tab/>
            </w:r>
            <w:r>
              <w:tab/>
            </w:r>
            <w:r>
              <w:tab/>
            </w:r>
            <w:r>
              <w:tab/>
            </w:r>
          </w:p>
          <w:p>
            <w:pPr>
              <w:pStyle w:val="10"/>
            </w:pPr>
          </w:p>
          <w:p>
            <w:pPr>
              <w:pStyle w:val="10"/>
            </w:pPr>
            <w:r>
              <w:t>2.引导和鼓励农户积极参加，切实增强受灾群众抵御自然灾害的能力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参保农户数量 </w:t>
            </w:r>
          </w:p>
        </w:tc>
        <w:tc>
          <w:tcPr>
            <w:tcW w:w="2835" w:type="dxa"/>
            <w:vAlign w:val="center"/>
          </w:tcPr>
          <w:p>
            <w:pPr>
              <w:pStyle w:val="10"/>
            </w:pPr>
            <w:r>
              <w:t>参保农户数量</w:t>
            </w:r>
          </w:p>
        </w:tc>
        <w:tc>
          <w:tcPr>
            <w:tcW w:w="2551" w:type="dxa"/>
            <w:vAlign w:val="center"/>
          </w:tcPr>
          <w:p>
            <w:pPr>
              <w:pStyle w:val="10"/>
            </w:pPr>
            <w:r>
              <w:t>≥60000户</w:t>
            </w:r>
          </w:p>
        </w:tc>
        <w:tc>
          <w:tcPr>
            <w:tcW w:w="2268" w:type="dxa"/>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农户参保覆盖率</w:t>
            </w:r>
          </w:p>
        </w:tc>
        <w:tc>
          <w:tcPr>
            <w:tcW w:w="2835" w:type="dxa"/>
            <w:vAlign w:val="center"/>
          </w:tcPr>
          <w:p>
            <w:pPr>
              <w:pStyle w:val="10"/>
            </w:pPr>
            <w:r>
              <w:t>参保农户占总农户的比率</w:t>
            </w:r>
          </w:p>
        </w:tc>
        <w:tc>
          <w:tcPr>
            <w:tcW w:w="2551" w:type="dxa"/>
            <w:vAlign w:val="center"/>
          </w:tcPr>
          <w:p>
            <w:pPr>
              <w:pStyle w:val="10"/>
            </w:pPr>
            <w:r>
              <w:t>≥90百分比</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农户参保时间</w:t>
            </w:r>
          </w:p>
        </w:tc>
        <w:tc>
          <w:tcPr>
            <w:tcW w:w="2835" w:type="dxa"/>
            <w:vAlign w:val="center"/>
          </w:tcPr>
          <w:p>
            <w:pPr>
              <w:pStyle w:val="10"/>
            </w:pPr>
            <w:r>
              <w:t>农户参保时间</w:t>
            </w:r>
          </w:p>
        </w:tc>
        <w:tc>
          <w:tcPr>
            <w:tcW w:w="2551" w:type="dxa"/>
            <w:vAlign w:val="center"/>
          </w:tcPr>
          <w:p>
            <w:pPr>
              <w:pStyle w:val="10"/>
            </w:pPr>
            <w:r>
              <w:t>每年7月份</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每户农户参保成本</w:t>
            </w:r>
          </w:p>
        </w:tc>
        <w:tc>
          <w:tcPr>
            <w:tcW w:w="2835" w:type="dxa"/>
            <w:vAlign w:val="center"/>
          </w:tcPr>
          <w:p>
            <w:pPr>
              <w:pStyle w:val="10"/>
            </w:pPr>
            <w:r>
              <w:t>每户农户参保成本</w:t>
            </w:r>
          </w:p>
        </w:tc>
        <w:tc>
          <w:tcPr>
            <w:tcW w:w="2551" w:type="dxa"/>
            <w:vAlign w:val="center"/>
          </w:tcPr>
          <w:p>
            <w:pPr>
              <w:pStyle w:val="10"/>
            </w:pPr>
            <w:r>
              <w:t>2元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减少受灾农户损失</w:t>
            </w:r>
          </w:p>
        </w:tc>
        <w:tc>
          <w:tcPr>
            <w:tcW w:w="2835" w:type="dxa"/>
            <w:vAlign w:val="center"/>
          </w:tcPr>
          <w:p>
            <w:pPr>
              <w:pStyle w:val="10"/>
            </w:pPr>
            <w:r>
              <w:t>通过理赔减少受灾农户损失</w:t>
            </w:r>
          </w:p>
        </w:tc>
        <w:tc>
          <w:tcPr>
            <w:tcW w:w="2551" w:type="dxa"/>
            <w:vAlign w:val="center"/>
          </w:tcPr>
          <w:p>
            <w:pPr>
              <w:pStyle w:val="10"/>
            </w:pPr>
            <w:r>
              <w:t>是</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农房保险报销是否及时</w:t>
            </w:r>
          </w:p>
        </w:tc>
        <w:tc>
          <w:tcPr>
            <w:tcW w:w="2835" w:type="dxa"/>
            <w:vAlign w:val="center"/>
          </w:tcPr>
          <w:p>
            <w:pPr>
              <w:pStyle w:val="10"/>
            </w:pPr>
            <w:r>
              <w:t>农房保险报销是否及时</w:t>
            </w:r>
          </w:p>
        </w:tc>
        <w:tc>
          <w:tcPr>
            <w:tcW w:w="2551" w:type="dxa"/>
            <w:vAlign w:val="center"/>
          </w:tcPr>
          <w:p>
            <w:pPr>
              <w:pStyle w:val="10"/>
            </w:pPr>
            <w:r>
              <w:t>≤15天</w:t>
            </w:r>
          </w:p>
        </w:tc>
        <w:tc>
          <w:tcPr>
            <w:tcW w:w="2268" w:type="dxa"/>
            <w:vAlign w:val="center"/>
          </w:tcPr>
          <w:p>
            <w:pPr>
              <w:pStyle w:val="10"/>
            </w:pPr>
            <w: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农房保险理赔率</w:t>
            </w:r>
          </w:p>
        </w:tc>
        <w:tc>
          <w:tcPr>
            <w:tcW w:w="2835" w:type="dxa"/>
            <w:vAlign w:val="center"/>
          </w:tcPr>
          <w:p>
            <w:pPr>
              <w:pStyle w:val="10"/>
            </w:pPr>
            <w:r>
              <w:t>保险赔付农房数量占保险农房数量的比率</w:t>
            </w:r>
          </w:p>
        </w:tc>
        <w:tc>
          <w:tcPr>
            <w:tcW w:w="2551" w:type="dxa"/>
            <w:vAlign w:val="center"/>
          </w:tcPr>
          <w:p>
            <w:pPr>
              <w:pStyle w:val="10"/>
            </w:pPr>
            <w:r>
              <w:t>≥95百分比</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10、应急救援及应急演练经费绩效目标表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1.开展此次演练提高对突发水旱灾害救援能力</w:t>
            </w:r>
            <w:r>
              <w:tab/>
            </w:r>
            <w:r>
              <w:tab/>
            </w:r>
            <w:r>
              <w:tab/>
            </w:r>
            <w:r>
              <w:tab/>
            </w:r>
          </w:p>
          <w:p>
            <w:pPr>
              <w:pStyle w:val="10"/>
            </w:pPr>
          </w:p>
          <w:p>
            <w:pPr>
              <w:pStyle w:val="10"/>
            </w:pPr>
            <w:r>
              <w:t>2.保障人民群众生命财产安全</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购买沙袋数量</w:t>
            </w:r>
          </w:p>
        </w:tc>
        <w:tc>
          <w:tcPr>
            <w:tcW w:w="2835" w:type="dxa"/>
            <w:vAlign w:val="center"/>
          </w:tcPr>
          <w:p>
            <w:pPr>
              <w:pStyle w:val="10"/>
            </w:pPr>
            <w:r>
              <w:t>开展演练需购买的沙袋数量</w:t>
            </w:r>
          </w:p>
        </w:tc>
        <w:tc>
          <w:tcPr>
            <w:tcW w:w="2551" w:type="dxa"/>
            <w:vAlign w:val="center"/>
          </w:tcPr>
          <w:p>
            <w:pPr>
              <w:pStyle w:val="10"/>
            </w:pPr>
            <w:r>
              <w:t>≥100个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应急演练完成时间</w:t>
            </w:r>
          </w:p>
        </w:tc>
        <w:tc>
          <w:tcPr>
            <w:tcW w:w="2835" w:type="dxa"/>
            <w:vAlign w:val="center"/>
          </w:tcPr>
          <w:p>
            <w:pPr>
              <w:pStyle w:val="10"/>
            </w:pPr>
            <w:r>
              <w:t>应急演练按上级要求及时完成</w:t>
            </w:r>
          </w:p>
        </w:tc>
        <w:tc>
          <w:tcPr>
            <w:tcW w:w="2551" w:type="dxa"/>
            <w:vAlign w:val="center"/>
          </w:tcPr>
          <w:p>
            <w:pPr>
              <w:pStyle w:val="10"/>
            </w:pPr>
            <w:r>
              <w:t>≥1次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应急演练工作完成率</w:t>
            </w:r>
          </w:p>
        </w:tc>
        <w:tc>
          <w:tcPr>
            <w:tcW w:w="2835" w:type="dxa"/>
            <w:vAlign w:val="center"/>
          </w:tcPr>
          <w:p>
            <w:pPr>
              <w:pStyle w:val="10"/>
            </w:pPr>
            <w:r>
              <w:t>应急演练实际完成工作量占计划完成工作量率</w:t>
            </w:r>
          </w:p>
        </w:tc>
        <w:tc>
          <w:tcPr>
            <w:tcW w:w="2551" w:type="dxa"/>
            <w:vAlign w:val="center"/>
          </w:tcPr>
          <w:p>
            <w:pPr>
              <w:pStyle w:val="10"/>
            </w:pPr>
            <w:r>
              <w:t>文件要求时间</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开展演练购买沙袋成本</w:t>
            </w:r>
          </w:p>
        </w:tc>
        <w:tc>
          <w:tcPr>
            <w:tcW w:w="2835" w:type="dxa"/>
            <w:vAlign w:val="center"/>
          </w:tcPr>
          <w:p>
            <w:pPr>
              <w:pStyle w:val="10"/>
            </w:pPr>
            <w:r>
              <w:t>开展演练需购买的沙袋成本</w:t>
            </w:r>
          </w:p>
        </w:tc>
        <w:tc>
          <w:tcPr>
            <w:tcW w:w="2551" w:type="dxa"/>
            <w:vAlign w:val="center"/>
          </w:tcPr>
          <w:p>
            <w:pPr>
              <w:pStyle w:val="10"/>
            </w:pPr>
            <w:r>
              <w:t>≤10元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应急抢险队伍能力提升水平</w:t>
            </w:r>
          </w:p>
        </w:tc>
        <w:tc>
          <w:tcPr>
            <w:tcW w:w="2835" w:type="dxa"/>
            <w:vAlign w:val="center"/>
          </w:tcPr>
          <w:p>
            <w:pPr>
              <w:pStyle w:val="10"/>
            </w:pPr>
            <w:r>
              <w:t>提升应急抢险队伍能力</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群众自救互救能力提升水平</w:t>
            </w:r>
          </w:p>
        </w:tc>
        <w:tc>
          <w:tcPr>
            <w:tcW w:w="2835" w:type="dxa"/>
            <w:vAlign w:val="center"/>
          </w:tcPr>
          <w:p>
            <w:pPr>
              <w:pStyle w:val="10"/>
            </w:pPr>
            <w:r>
              <w:t>群众自救互救能力提升水平</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防汛责任人履职能力提升水平</w:t>
            </w:r>
          </w:p>
        </w:tc>
        <w:tc>
          <w:tcPr>
            <w:tcW w:w="2835" w:type="dxa"/>
            <w:vAlign w:val="center"/>
          </w:tcPr>
          <w:p>
            <w:pPr>
              <w:pStyle w:val="10"/>
            </w:pPr>
            <w:r>
              <w:t>增强组织协调能力，提高应急救援效果。</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参加演练单位对活动的满意度</w:t>
            </w:r>
          </w:p>
        </w:tc>
        <w:tc>
          <w:tcPr>
            <w:tcW w:w="2551" w:type="dxa"/>
            <w:vAlign w:val="center"/>
          </w:tcPr>
          <w:p>
            <w:pPr>
              <w:pStyle w:val="10"/>
            </w:pPr>
            <w:r>
              <w:t>≥95百分比</w:t>
            </w:r>
          </w:p>
        </w:tc>
        <w:tc>
          <w:tcPr>
            <w:tcW w:w="2268" w:type="dxa"/>
            <w:vAlign w:val="center"/>
          </w:tcPr>
          <w:p>
            <w:pPr>
              <w:pStyle w:val="10"/>
            </w:pPr>
            <w:r>
              <w:t>走访问卷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11、自然灾害第一次全国普查经费yp绩效目标表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1.2022年底之前全面掌握平乡县域内自然灾害风险情况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清查、调查任务覆盖数量</w:t>
            </w:r>
          </w:p>
        </w:tc>
        <w:tc>
          <w:tcPr>
            <w:tcW w:w="2835" w:type="dxa"/>
            <w:vAlign w:val="center"/>
          </w:tcPr>
          <w:p>
            <w:pPr>
              <w:pStyle w:val="10"/>
            </w:pPr>
            <w:r>
              <w:t>覆盖乡镇数量</w:t>
            </w:r>
          </w:p>
        </w:tc>
        <w:tc>
          <w:tcPr>
            <w:tcW w:w="2551" w:type="dxa"/>
            <w:vAlign w:val="center"/>
          </w:tcPr>
          <w:p>
            <w:pPr>
              <w:pStyle w:val="10"/>
            </w:pPr>
            <w:r>
              <w:t>7个</w:t>
            </w:r>
          </w:p>
        </w:tc>
        <w:tc>
          <w:tcPr>
            <w:tcW w:w="2268" w:type="dxa"/>
            <w:vAlign w:val="center"/>
          </w:tcPr>
          <w:p>
            <w:pPr>
              <w:pStyle w:val="10"/>
            </w:pPr>
            <w:r>
              <w:t>区域规划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普查工作完成率</w:t>
            </w:r>
          </w:p>
        </w:tc>
        <w:tc>
          <w:tcPr>
            <w:tcW w:w="2835" w:type="dxa"/>
            <w:vAlign w:val="center"/>
          </w:tcPr>
          <w:p>
            <w:pPr>
              <w:pStyle w:val="10"/>
            </w:pPr>
            <w:r>
              <w:t>实际普查工作占应普查工作比率</w:t>
            </w:r>
          </w:p>
        </w:tc>
        <w:tc>
          <w:tcPr>
            <w:tcW w:w="2551" w:type="dxa"/>
            <w:vAlign w:val="center"/>
          </w:tcPr>
          <w:p>
            <w:pPr>
              <w:pStyle w:val="10"/>
            </w:pPr>
            <w:r>
              <w:t>≥95%</w:t>
            </w:r>
          </w:p>
        </w:tc>
        <w:tc>
          <w:tcPr>
            <w:tcW w:w="2268" w:type="dxa"/>
            <w:vAlign w:val="center"/>
          </w:tcPr>
          <w:p>
            <w:pPr>
              <w:pStyle w:val="10"/>
            </w:pPr>
            <w:r>
              <w:t>专家评审结果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普查完成时间</w:t>
            </w:r>
          </w:p>
        </w:tc>
        <w:tc>
          <w:tcPr>
            <w:tcW w:w="2835" w:type="dxa"/>
            <w:vAlign w:val="center"/>
          </w:tcPr>
          <w:p>
            <w:pPr>
              <w:pStyle w:val="10"/>
            </w:pPr>
            <w:r>
              <w:t>普查完成时间</w:t>
            </w:r>
          </w:p>
        </w:tc>
        <w:tc>
          <w:tcPr>
            <w:tcW w:w="2551" w:type="dxa"/>
            <w:vAlign w:val="center"/>
          </w:tcPr>
          <w:p>
            <w:pPr>
              <w:pStyle w:val="10"/>
            </w:pPr>
            <w:r>
              <w:t>2022年底之前</w:t>
            </w:r>
          </w:p>
        </w:tc>
        <w:tc>
          <w:tcPr>
            <w:tcW w:w="2268" w:type="dxa"/>
            <w:vAlign w:val="center"/>
          </w:tcPr>
          <w:p>
            <w:pPr>
              <w:pStyle w:val="10"/>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普查项目成本</w:t>
            </w:r>
          </w:p>
        </w:tc>
        <w:tc>
          <w:tcPr>
            <w:tcW w:w="2835" w:type="dxa"/>
            <w:vAlign w:val="center"/>
          </w:tcPr>
          <w:p>
            <w:pPr>
              <w:pStyle w:val="10"/>
            </w:pPr>
            <w:r>
              <w:t>普查项目成本</w:t>
            </w:r>
          </w:p>
        </w:tc>
        <w:tc>
          <w:tcPr>
            <w:tcW w:w="2551" w:type="dxa"/>
            <w:vAlign w:val="center"/>
          </w:tcPr>
          <w:p>
            <w:pPr>
              <w:pStyle w:val="10"/>
            </w:pPr>
            <w:r>
              <w:t>控制在预算数内</w:t>
            </w:r>
          </w:p>
        </w:tc>
        <w:tc>
          <w:tcPr>
            <w:tcW w:w="2268" w:type="dxa"/>
            <w:vAlign w:val="center"/>
          </w:tcPr>
          <w:p>
            <w:pPr>
              <w:pStyle w:val="10"/>
            </w:pPr>
            <w:r>
              <w:t>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普查工作对提升基层自然灾害防治能力的作用</w:t>
            </w:r>
          </w:p>
        </w:tc>
        <w:tc>
          <w:tcPr>
            <w:tcW w:w="2835" w:type="dxa"/>
            <w:vAlign w:val="center"/>
          </w:tcPr>
          <w:p>
            <w:pPr>
              <w:pStyle w:val="10"/>
            </w:pPr>
            <w:r>
              <w:t>普查工作对提升基层自然灾害防治能力的作用</w:t>
            </w:r>
          </w:p>
        </w:tc>
        <w:tc>
          <w:tcPr>
            <w:tcW w:w="2551" w:type="dxa"/>
            <w:vAlign w:val="center"/>
          </w:tcPr>
          <w:p>
            <w:pPr>
              <w:pStyle w:val="10"/>
            </w:pPr>
            <w:r>
              <w:t>效果显著</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数据共享涉及部门数量</w:t>
            </w:r>
          </w:p>
        </w:tc>
        <w:tc>
          <w:tcPr>
            <w:tcW w:w="2835" w:type="dxa"/>
            <w:vAlign w:val="center"/>
          </w:tcPr>
          <w:p>
            <w:pPr>
              <w:pStyle w:val="10"/>
            </w:pPr>
            <w:r>
              <w:t>数据共享涉及部门数量</w:t>
            </w:r>
          </w:p>
        </w:tc>
        <w:tc>
          <w:tcPr>
            <w:tcW w:w="2551" w:type="dxa"/>
            <w:vAlign w:val="center"/>
          </w:tcPr>
          <w:p>
            <w:pPr>
              <w:pStyle w:val="10"/>
            </w:pPr>
            <w:r>
              <w:t>不少于3个</w:t>
            </w:r>
          </w:p>
        </w:tc>
        <w:tc>
          <w:tcPr>
            <w:tcW w:w="2268" w:type="dxa"/>
            <w:vAlign w:val="center"/>
          </w:tcPr>
          <w:p>
            <w:pPr>
              <w:pStyle w:val="10"/>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普查成果为自然灾害防治、应急管理等工作提供科学依据，减轻灾害损失</w:t>
            </w:r>
          </w:p>
        </w:tc>
        <w:tc>
          <w:tcPr>
            <w:tcW w:w="2835" w:type="dxa"/>
            <w:vAlign w:val="center"/>
          </w:tcPr>
          <w:p>
            <w:pPr>
              <w:pStyle w:val="10"/>
            </w:pPr>
            <w:r>
              <w:t>普查成果为自然灾害防治、应急管理等工作提供科学依据，减轻灾害损失</w:t>
            </w:r>
          </w:p>
        </w:tc>
        <w:tc>
          <w:tcPr>
            <w:tcW w:w="2551" w:type="dxa"/>
            <w:vAlign w:val="center"/>
          </w:tcPr>
          <w:p>
            <w:pPr>
              <w:pStyle w:val="10"/>
            </w:pPr>
            <w:r>
              <w:t>效果显著</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通过普查摸清以前灾害情况</w:t>
            </w:r>
          </w:p>
        </w:tc>
        <w:tc>
          <w:tcPr>
            <w:tcW w:w="2835" w:type="dxa"/>
            <w:vAlign w:val="center"/>
          </w:tcPr>
          <w:p>
            <w:pPr>
              <w:pStyle w:val="10"/>
            </w:pPr>
            <w:r>
              <w:t>通过普查摸清以前灾害情况</w:t>
            </w:r>
          </w:p>
        </w:tc>
        <w:tc>
          <w:tcPr>
            <w:tcW w:w="2551" w:type="dxa"/>
            <w:vAlign w:val="center"/>
          </w:tcPr>
          <w:p>
            <w:pPr>
              <w:pStyle w:val="10"/>
            </w:pPr>
            <w:r>
              <w:t>基本清楚</w:t>
            </w:r>
          </w:p>
        </w:tc>
        <w:tc>
          <w:tcPr>
            <w:tcW w:w="2268" w:type="dxa"/>
            <w:vAlign w:val="center"/>
          </w:tcPr>
          <w:p>
            <w:pPr>
              <w:pStyle w:val="10"/>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调查群众满意度</w:t>
            </w:r>
          </w:p>
        </w:tc>
        <w:tc>
          <w:tcPr>
            <w:tcW w:w="2835" w:type="dxa"/>
            <w:vAlign w:val="center"/>
          </w:tcPr>
          <w:p>
            <w:pPr>
              <w:pStyle w:val="10"/>
            </w:pPr>
            <w:r>
              <w:t>调查群众满意度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2022年，平乡县应急管理局安排政府采购预算48.28万元。具体内容见下表。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426平乡县应急管理局</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48.28</w:t>
            </w:r>
          </w:p>
        </w:tc>
        <w:tc>
          <w:tcPr>
            <w:tcW w:w="964" w:type="dxa"/>
            <w:vAlign w:val="center"/>
          </w:tcPr>
          <w:p>
            <w:pPr>
              <w:pStyle w:val="13"/>
            </w:pPr>
            <w:r>
              <w:t>48.28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平乡县应急管理局本级小计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48.28</w:t>
            </w:r>
          </w:p>
        </w:tc>
        <w:tc>
          <w:tcPr>
            <w:tcW w:w="964" w:type="dxa"/>
            <w:vAlign w:val="center"/>
          </w:tcPr>
          <w:p>
            <w:pPr>
              <w:pStyle w:val="13"/>
            </w:pPr>
            <w:r>
              <w:t>48.28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冀财建【2021】235号河北省财政厅关于提前下达2022年自然灾害救助专项资金预算指标的通知（农房保险补助）</w:t>
            </w:r>
          </w:p>
        </w:tc>
        <w:tc>
          <w:tcPr>
            <w:tcW w:w="964" w:type="dxa"/>
            <w:vAlign w:val="center"/>
          </w:tcPr>
          <w:p>
            <w:pPr>
              <w:pStyle w:val="9"/>
            </w:pPr>
            <w:r>
              <w:t>38.14</w:t>
            </w:r>
          </w:p>
        </w:tc>
        <w:tc>
          <w:tcPr>
            <w:tcW w:w="1134" w:type="dxa"/>
            <w:vAlign w:val="center"/>
          </w:tcPr>
          <w:p>
            <w:pPr>
              <w:pStyle w:val="10"/>
            </w:pPr>
            <w:r>
              <w:t>其他保险服务</w:t>
            </w:r>
          </w:p>
        </w:tc>
        <w:tc>
          <w:tcPr>
            <w:tcW w:w="1134" w:type="dxa"/>
            <w:vAlign w:val="center"/>
          </w:tcPr>
          <w:p>
            <w:pPr>
              <w:pStyle w:val="10"/>
            </w:pPr>
            <w:r>
              <w:t>C150499</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34.28</w:t>
            </w:r>
          </w:p>
        </w:tc>
        <w:tc>
          <w:tcPr>
            <w:tcW w:w="964" w:type="dxa"/>
            <w:vAlign w:val="center"/>
          </w:tcPr>
          <w:p>
            <w:pPr>
              <w:pStyle w:val="9"/>
            </w:pPr>
            <w:r>
              <w:t>34.28</w:t>
            </w:r>
          </w:p>
        </w:tc>
        <w:tc>
          <w:tcPr>
            <w:tcW w:w="964" w:type="dxa"/>
            <w:vAlign w:val="center"/>
          </w:tcPr>
          <w:p>
            <w:pPr>
              <w:pStyle w:val="9"/>
            </w:pPr>
            <w:r>
              <w:t>34.28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农房保险（县级配套）</w:t>
            </w:r>
          </w:p>
        </w:tc>
        <w:tc>
          <w:tcPr>
            <w:tcW w:w="964" w:type="dxa"/>
            <w:vAlign w:val="center"/>
          </w:tcPr>
          <w:p>
            <w:pPr>
              <w:pStyle w:val="9"/>
            </w:pPr>
            <w:r>
              <w:t>14.00</w:t>
            </w:r>
          </w:p>
        </w:tc>
        <w:tc>
          <w:tcPr>
            <w:tcW w:w="1134" w:type="dxa"/>
            <w:vAlign w:val="center"/>
          </w:tcPr>
          <w:p>
            <w:pPr>
              <w:pStyle w:val="10"/>
            </w:pPr>
            <w:r>
              <w:t>其他保险服务</w:t>
            </w:r>
          </w:p>
        </w:tc>
        <w:tc>
          <w:tcPr>
            <w:tcW w:w="1134" w:type="dxa"/>
            <w:vAlign w:val="center"/>
          </w:tcPr>
          <w:p>
            <w:pPr>
              <w:pStyle w:val="10"/>
            </w:pPr>
            <w:r>
              <w:t>C150499</w:t>
            </w:r>
          </w:p>
        </w:tc>
        <w:tc>
          <w:tcPr>
            <w:tcW w:w="709" w:type="dxa"/>
            <w:vAlign w:val="center"/>
          </w:tcPr>
          <w:p>
            <w:pPr>
              <w:pStyle w:val="11"/>
            </w:pPr>
            <w:r>
              <w:t>1</w:t>
            </w:r>
          </w:p>
        </w:tc>
        <w:tc>
          <w:tcPr>
            <w:tcW w:w="850" w:type="dxa"/>
            <w:vAlign w:val="center"/>
          </w:tcPr>
          <w:p>
            <w:pPr>
              <w:pStyle w:val="9"/>
            </w:pPr>
            <w:r>
              <w:t>1</w:t>
            </w:r>
          </w:p>
        </w:tc>
        <w:tc>
          <w:tcPr>
            <w:tcW w:w="850" w:type="dxa"/>
            <w:vAlign w:val="center"/>
          </w:tcPr>
          <w:p>
            <w:pPr>
              <w:pStyle w:val="9"/>
            </w:pPr>
            <w:r>
              <w:t>14.00</w:t>
            </w:r>
          </w:p>
        </w:tc>
        <w:tc>
          <w:tcPr>
            <w:tcW w:w="964" w:type="dxa"/>
            <w:vAlign w:val="center"/>
          </w:tcPr>
          <w:p>
            <w:pPr>
              <w:pStyle w:val="9"/>
            </w:pPr>
            <w:r>
              <w:t>14.00</w:t>
            </w:r>
          </w:p>
        </w:tc>
        <w:tc>
          <w:tcPr>
            <w:tcW w:w="964" w:type="dxa"/>
            <w:vAlign w:val="center"/>
          </w:tcPr>
          <w:p>
            <w:pPr>
              <w:pStyle w:val="9"/>
            </w:pPr>
            <w:r>
              <w:t>14.00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平乡县应急管理局（含所属单位）上年末固定资产金额为300.76万元（详见下表）。本年度拟购置固定资产总额为0.00万元，已按要求列入政府采购预算，详见政府采购预算表。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426平乡县应急管理局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w:t>
            </w:r>
          </w:p>
        </w:tc>
        <w:tc>
          <w:tcPr>
            <w:tcW w:w="2835" w:type="dxa"/>
            <w:vAlign w:val="center"/>
          </w:tcPr>
          <w:p>
            <w:pPr>
              <w:pStyle w:val="9"/>
            </w:pPr>
            <w:r>
              <w:t>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4453</w:t>
            </w:r>
          </w:p>
        </w:tc>
        <w:tc>
          <w:tcPr>
            <w:tcW w:w="2835" w:type="dxa"/>
            <w:vAlign w:val="center"/>
          </w:tcPr>
          <w:p>
            <w:pPr>
              <w:pStyle w:val="9"/>
            </w:pPr>
            <w:r>
              <w:t>259.11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hint="eastAsia" w:eastAsia="方正仿宋_GBK"/>
          <w:color w:val="000000"/>
          <w:sz w:val="28"/>
          <w:lang w:val="en-US" w:eastAsia="zh-CN"/>
        </w:rPr>
        <w:t>本部门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default"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w:t>
      </w:r>
      <w:r>
        <w:rPr>
          <w:rFonts w:hint="eastAsia" w:eastAsia="方正仿宋_GBK"/>
          <w:color w:val="000000"/>
          <w:sz w:val="28"/>
          <w:lang w:val="en-US" w:eastAsia="zh-CN"/>
        </w:rPr>
        <w:t>明事项。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1E"/>
    <w:rsid w:val="00064A1E"/>
    <w:rsid w:val="00C4212C"/>
    <w:rsid w:val="00E62929"/>
    <w:rsid w:val="049F4314"/>
    <w:rsid w:val="29585C4A"/>
    <w:rsid w:val="2EB54EC8"/>
    <w:rsid w:val="3BFE4358"/>
    <w:rsid w:val="47FBDFC0"/>
    <w:rsid w:val="4BBE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14676</Words>
  <Characters>16560</Characters>
  <Lines>293</Lines>
  <Paragraphs>82</Paragraphs>
  <TotalTime>16</TotalTime>
  <ScaleCrop>false</ScaleCrop>
  <LinksUpToDate>false</LinksUpToDate>
  <CharactersWithSpaces>16852</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2022-03-08T11:02:00Z</dcterms:created>
  <dc:creator>Administrator</dc:creator>
  <cp:lastModifiedBy>aadmin</cp:lastModifiedBy>
  <dcterms:modified xsi:type="dcterms:W3CDTF">2024-07-18T10:43:02Z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36764E72424E887E36819866824B48C8</vt:lpwstr>
  </property>
</Properties>
</file>