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501平乡县信访局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368.72</w:t>
            </w:r>
          </w:p>
        </w:tc>
        <w:tc>
          <w:tcPr>
            <w:tcW w:w="1971" w:type="dxa"/>
            <w:vAlign w:val="center"/>
          </w:tcPr>
          <w:p>
            <w:pPr>
              <w:pStyle w:val="14"/>
            </w:pPr>
            <w:r>
              <w:t>一、一般公共服务支出</w:t>
            </w:r>
          </w:p>
        </w:tc>
        <w:tc>
          <w:tcPr>
            <w:tcW w:w="1971" w:type="dxa"/>
            <w:vAlign w:val="center"/>
          </w:tcPr>
          <w:p>
            <w:pPr>
              <w:pStyle w:val="13"/>
            </w:pPr>
            <w:r>
              <w:t>295.22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368.72</w:t>
            </w:r>
          </w:p>
        </w:tc>
        <w:tc>
          <w:tcPr>
            <w:tcW w:w="1971" w:type="dxa"/>
            <w:vAlign w:val="center"/>
          </w:tcPr>
          <w:p>
            <w:pPr>
              <w:pStyle w:val="16"/>
            </w:pPr>
            <w:r>
              <w:t>本年支出合计</w:t>
            </w:r>
          </w:p>
        </w:tc>
        <w:tc>
          <w:tcPr>
            <w:tcW w:w="1971" w:type="dxa"/>
            <w:vAlign w:val="center"/>
          </w:tcPr>
          <w:p>
            <w:pPr>
              <w:pStyle w:val="17"/>
            </w:pPr>
            <w:r>
              <w:t>368.72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368.72</w:t>
            </w:r>
          </w:p>
        </w:tc>
        <w:tc>
          <w:tcPr>
            <w:tcW w:w="1971" w:type="dxa"/>
            <w:vAlign w:val="center"/>
          </w:tcPr>
          <w:p>
            <w:pPr>
              <w:pStyle w:val="16"/>
            </w:pPr>
            <w:r>
              <w:t>支出总计</w:t>
            </w:r>
          </w:p>
        </w:tc>
        <w:tc>
          <w:tcPr>
            <w:tcW w:w="1971" w:type="dxa"/>
            <w:vAlign w:val="center"/>
          </w:tcPr>
          <w:p>
            <w:pPr>
              <w:pStyle w:val="17"/>
            </w:pPr>
            <w:r>
              <w:t>368.72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501平乡县信访局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368.72</w:t>
            </w:r>
          </w:p>
        </w:tc>
        <w:tc>
          <w:tcPr>
            <w:tcW w:w="758" w:type="dxa"/>
            <w:vAlign w:val="center"/>
          </w:tcPr>
          <w:p>
            <w:pPr>
              <w:pStyle w:val="17"/>
            </w:pPr>
            <w:r>
              <w:t>368.72</w:t>
            </w:r>
          </w:p>
        </w:tc>
        <w:tc>
          <w:tcPr>
            <w:tcW w:w="758" w:type="dxa"/>
            <w:vAlign w:val="center"/>
          </w:tcPr>
          <w:p>
            <w:pPr>
              <w:pStyle w:val="17"/>
            </w:pPr>
            <w:r>
              <w:t>368.72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r>
              <w:t>295.22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34.00</w:t>
            </w:r>
          </w:p>
        </w:tc>
        <w:tc>
          <w:tcPr>
            <w:tcW w:w="758" w:type="dxa"/>
            <w:vAlign w:val="center"/>
          </w:tcPr>
          <w:p>
            <w:pPr>
              <w:pStyle w:val="13"/>
            </w:pPr>
            <w:r>
              <w:t>34.00</w:t>
            </w:r>
          </w:p>
        </w:tc>
        <w:tc>
          <w:tcPr>
            <w:tcW w:w="758" w:type="dxa"/>
            <w:vAlign w:val="center"/>
          </w:tcPr>
          <w:p>
            <w:pPr>
              <w:pStyle w:val="13"/>
            </w:pPr>
            <w:r>
              <w:t>34.00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34.00</w:t>
            </w:r>
          </w:p>
        </w:tc>
        <w:tc>
          <w:tcPr>
            <w:tcW w:w="758" w:type="dxa"/>
            <w:vAlign w:val="center"/>
          </w:tcPr>
          <w:p>
            <w:pPr>
              <w:pStyle w:val="13"/>
            </w:pPr>
            <w:r>
              <w:t>34.00</w:t>
            </w:r>
          </w:p>
        </w:tc>
        <w:tc>
          <w:tcPr>
            <w:tcW w:w="758" w:type="dxa"/>
            <w:vAlign w:val="center"/>
          </w:tcPr>
          <w:p>
            <w:pPr>
              <w:pStyle w:val="13"/>
            </w:pPr>
            <w:r>
              <w:t>34.00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6.00</w:t>
            </w:r>
          </w:p>
        </w:tc>
        <w:tc>
          <w:tcPr>
            <w:tcW w:w="758" w:type="dxa"/>
            <w:vAlign w:val="center"/>
          </w:tcPr>
          <w:p>
            <w:pPr>
              <w:pStyle w:val="13"/>
            </w:pPr>
            <w:r>
              <w:t>6.00</w:t>
            </w:r>
          </w:p>
        </w:tc>
        <w:tc>
          <w:tcPr>
            <w:tcW w:w="758" w:type="dxa"/>
            <w:vAlign w:val="center"/>
          </w:tcPr>
          <w:p>
            <w:pPr>
              <w:pStyle w:val="13"/>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r>
              <w:t>16.50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368.72</w:t>
            </w:r>
          </w:p>
        </w:tc>
        <w:tc>
          <w:tcPr>
            <w:tcW w:w="1095" w:type="dxa"/>
            <w:vAlign w:val="center"/>
          </w:tcPr>
          <w:p>
            <w:pPr>
              <w:pStyle w:val="17"/>
            </w:pPr>
            <w:r>
              <w:t>291.50</w:t>
            </w:r>
          </w:p>
        </w:tc>
        <w:tc>
          <w:tcPr>
            <w:tcW w:w="1095" w:type="dxa"/>
            <w:vAlign w:val="center"/>
          </w:tcPr>
          <w:p>
            <w:pPr>
              <w:pStyle w:val="17"/>
            </w:pPr>
            <w:r>
              <w:t>77.22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295.22</w:t>
            </w:r>
          </w:p>
        </w:tc>
        <w:tc>
          <w:tcPr>
            <w:tcW w:w="1095" w:type="dxa"/>
            <w:vAlign w:val="center"/>
          </w:tcPr>
          <w:p>
            <w:pPr>
              <w:pStyle w:val="13"/>
            </w:pPr>
            <w:r>
              <w:t>218.00</w:t>
            </w:r>
          </w:p>
        </w:tc>
        <w:tc>
          <w:tcPr>
            <w:tcW w:w="1095" w:type="dxa"/>
            <w:vAlign w:val="center"/>
          </w:tcPr>
          <w:p>
            <w:pPr>
              <w:pStyle w:val="13"/>
            </w:pPr>
            <w:r>
              <w:t>77.22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295.22</w:t>
            </w:r>
          </w:p>
        </w:tc>
        <w:tc>
          <w:tcPr>
            <w:tcW w:w="1095" w:type="dxa"/>
            <w:vAlign w:val="center"/>
          </w:tcPr>
          <w:p>
            <w:pPr>
              <w:pStyle w:val="13"/>
            </w:pPr>
            <w:r>
              <w:t>218.00</w:t>
            </w:r>
          </w:p>
        </w:tc>
        <w:tc>
          <w:tcPr>
            <w:tcW w:w="1095" w:type="dxa"/>
            <w:vAlign w:val="center"/>
          </w:tcPr>
          <w:p>
            <w:pPr>
              <w:pStyle w:val="13"/>
            </w:pPr>
            <w:r>
              <w:t>77.22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2010308</w:t>
            </w:r>
          </w:p>
        </w:tc>
        <w:tc>
          <w:tcPr>
            <w:tcW w:w="1095" w:type="dxa"/>
            <w:vAlign w:val="center"/>
          </w:tcPr>
          <w:p>
            <w:pPr>
              <w:pStyle w:val="14"/>
            </w:pPr>
            <w:r>
              <w:t>信访事务</w:t>
            </w:r>
          </w:p>
        </w:tc>
        <w:tc>
          <w:tcPr>
            <w:tcW w:w="1095" w:type="dxa"/>
            <w:vAlign w:val="center"/>
          </w:tcPr>
          <w:p>
            <w:pPr>
              <w:pStyle w:val="13"/>
            </w:pPr>
            <w:r>
              <w:t>295.22</w:t>
            </w:r>
          </w:p>
        </w:tc>
        <w:tc>
          <w:tcPr>
            <w:tcW w:w="1095" w:type="dxa"/>
            <w:vAlign w:val="center"/>
          </w:tcPr>
          <w:p>
            <w:pPr>
              <w:pStyle w:val="13"/>
            </w:pPr>
            <w:r>
              <w:t>218.00</w:t>
            </w:r>
          </w:p>
        </w:tc>
        <w:tc>
          <w:tcPr>
            <w:tcW w:w="1095" w:type="dxa"/>
            <w:vAlign w:val="center"/>
          </w:tcPr>
          <w:p>
            <w:pPr>
              <w:pStyle w:val="13"/>
            </w:pPr>
            <w:r>
              <w:t>77.22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34.00</w:t>
            </w:r>
          </w:p>
        </w:tc>
        <w:tc>
          <w:tcPr>
            <w:tcW w:w="1095" w:type="dxa"/>
            <w:vAlign w:val="center"/>
          </w:tcPr>
          <w:p>
            <w:pPr>
              <w:pStyle w:val="13"/>
            </w:pPr>
            <w:r>
              <w:t>34.00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34.00</w:t>
            </w:r>
          </w:p>
        </w:tc>
        <w:tc>
          <w:tcPr>
            <w:tcW w:w="1095" w:type="dxa"/>
            <w:vAlign w:val="center"/>
          </w:tcPr>
          <w:p>
            <w:pPr>
              <w:pStyle w:val="13"/>
            </w:pPr>
            <w:r>
              <w:t>34.00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28.00</w:t>
            </w: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6.00</w:t>
            </w:r>
          </w:p>
        </w:tc>
        <w:tc>
          <w:tcPr>
            <w:tcW w:w="1095" w:type="dxa"/>
            <w:vAlign w:val="center"/>
          </w:tcPr>
          <w:p>
            <w:pPr>
              <w:pStyle w:val="13"/>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16.50</w:t>
            </w:r>
          </w:p>
        </w:tc>
        <w:tc>
          <w:tcPr>
            <w:tcW w:w="1095" w:type="dxa"/>
            <w:vAlign w:val="center"/>
          </w:tcPr>
          <w:p>
            <w:pPr>
              <w:pStyle w:val="13"/>
            </w:pPr>
            <w:r>
              <w:t>16.50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16.50</w:t>
            </w:r>
          </w:p>
        </w:tc>
        <w:tc>
          <w:tcPr>
            <w:tcW w:w="1095" w:type="dxa"/>
            <w:vAlign w:val="center"/>
          </w:tcPr>
          <w:p>
            <w:pPr>
              <w:pStyle w:val="13"/>
            </w:pPr>
            <w:r>
              <w:t>16.50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16.50</w:t>
            </w:r>
          </w:p>
        </w:tc>
        <w:tc>
          <w:tcPr>
            <w:tcW w:w="1095" w:type="dxa"/>
            <w:vAlign w:val="center"/>
          </w:tcPr>
          <w:p>
            <w:pPr>
              <w:pStyle w:val="13"/>
            </w:pPr>
            <w:r>
              <w:t>16.50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23.00</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23.00</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23.00</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232" w:type="dxa"/>
            <w:tcBorders>
              <w:top w:val="single" w:color="FFFFFF" w:sz="6" w:space="0"/>
              <w:left w:val="single" w:color="FFFFFF" w:sz="6" w:space="0"/>
              <w:right w:val="single" w:color="FFFFFF" w:sz="6" w:space="0"/>
            </w:tcBorders>
            <w:vAlign w:val="center"/>
          </w:tcPr>
          <w:p>
            <w:pPr>
              <w:pStyle w:val="10"/>
            </w:pPr>
            <w:r>
              <w:t>预</w:t>
            </w:r>
            <w:r>
              <w:rPr>
                <w:rFonts w:hint="eastAsia"/>
                <w:lang w:eastAsia="zh-CN"/>
              </w:rPr>
              <w:t>算年度</w:t>
            </w:r>
            <w:r>
              <w:t>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368.72</w:t>
            </w:r>
          </w:p>
        </w:tc>
        <w:tc>
          <w:tcPr>
            <w:tcW w:w="1232" w:type="dxa"/>
            <w:vAlign w:val="center"/>
          </w:tcPr>
          <w:p>
            <w:pPr>
              <w:pStyle w:val="14"/>
            </w:pPr>
            <w:r>
              <w:t>一、一般公共服务支出</w:t>
            </w:r>
          </w:p>
        </w:tc>
        <w:tc>
          <w:tcPr>
            <w:tcW w:w="1232" w:type="dxa"/>
            <w:vAlign w:val="center"/>
          </w:tcPr>
          <w:p>
            <w:pPr>
              <w:pStyle w:val="13"/>
            </w:pPr>
            <w:r>
              <w:t>295.22</w:t>
            </w:r>
          </w:p>
        </w:tc>
        <w:tc>
          <w:tcPr>
            <w:tcW w:w="1232" w:type="dxa"/>
            <w:vAlign w:val="center"/>
          </w:tcPr>
          <w:p>
            <w:pPr>
              <w:pStyle w:val="13"/>
            </w:pPr>
            <w:r>
              <w:t>295.22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34.00</w:t>
            </w:r>
          </w:p>
        </w:tc>
        <w:tc>
          <w:tcPr>
            <w:tcW w:w="1232" w:type="dxa"/>
            <w:vAlign w:val="center"/>
          </w:tcPr>
          <w:p>
            <w:pPr>
              <w:pStyle w:val="13"/>
            </w:pPr>
            <w:r>
              <w:t>34.00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16.50</w:t>
            </w:r>
          </w:p>
        </w:tc>
        <w:tc>
          <w:tcPr>
            <w:tcW w:w="1232" w:type="dxa"/>
            <w:vAlign w:val="center"/>
          </w:tcPr>
          <w:p>
            <w:pPr>
              <w:pStyle w:val="13"/>
            </w:pPr>
            <w:r>
              <w:t>16.50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23.00</w:t>
            </w:r>
          </w:p>
        </w:tc>
        <w:tc>
          <w:tcPr>
            <w:tcW w:w="1232" w:type="dxa"/>
            <w:vAlign w:val="center"/>
          </w:tcPr>
          <w:p>
            <w:pPr>
              <w:pStyle w:val="13"/>
            </w:pPr>
            <w:r>
              <w:t>23.00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368.72</w:t>
            </w:r>
          </w:p>
        </w:tc>
        <w:tc>
          <w:tcPr>
            <w:tcW w:w="1232" w:type="dxa"/>
            <w:vAlign w:val="center"/>
          </w:tcPr>
          <w:p>
            <w:pPr>
              <w:pStyle w:val="16"/>
            </w:pPr>
            <w:r>
              <w:t>本年支出合计</w:t>
            </w:r>
          </w:p>
        </w:tc>
        <w:tc>
          <w:tcPr>
            <w:tcW w:w="1232" w:type="dxa"/>
            <w:vAlign w:val="center"/>
          </w:tcPr>
          <w:p>
            <w:pPr>
              <w:pStyle w:val="17"/>
            </w:pPr>
            <w:r>
              <w:t>368.72</w:t>
            </w:r>
          </w:p>
        </w:tc>
        <w:tc>
          <w:tcPr>
            <w:tcW w:w="1232" w:type="dxa"/>
            <w:vAlign w:val="center"/>
          </w:tcPr>
          <w:p>
            <w:pPr>
              <w:pStyle w:val="17"/>
            </w:pPr>
            <w:r>
              <w:t>368.72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368.72</w:t>
            </w:r>
          </w:p>
        </w:tc>
        <w:tc>
          <w:tcPr>
            <w:tcW w:w="1232" w:type="dxa"/>
            <w:vAlign w:val="center"/>
          </w:tcPr>
          <w:p>
            <w:pPr>
              <w:pStyle w:val="16"/>
            </w:pPr>
            <w:r>
              <w:t>支出总计</w:t>
            </w:r>
          </w:p>
        </w:tc>
        <w:tc>
          <w:tcPr>
            <w:tcW w:w="1232" w:type="dxa"/>
            <w:vAlign w:val="center"/>
          </w:tcPr>
          <w:p>
            <w:pPr>
              <w:pStyle w:val="17"/>
            </w:pPr>
            <w:r>
              <w:t>368.72</w:t>
            </w:r>
          </w:p>
        </w:tc>
        <w:tc>
          <w:tcPr>
            <w:tcW w:w="1232" w:type="dxa"/>
            <w:vAlign w:val="center"/>
          </w:tcPr>
          <w:p>
            <w:pPr>
              <w:pStyle w:val="17"/>
            </w:pPr>
            <w:r>
              <w:t>368.72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368.72</w:t>
            </w:r>
          </w:p>
        </w:tc>
        <w:tc>
          <w:tcPr>
            <w:tcW w:w="1643" w:type="dxa"/>
            <w:vAlign w:val="center"/>
          </w:tcPr>
          <w:p>
            <w:pPr>
              <w:pStyle w:val="17"/>
            </w:pPr>
            <w:r>
              <w:t>291.50</w:t>
            </w:r>
          </w:p>
        </w:tc>
        <w:tc>
          <w:tcPr>
            <w:tcW w:w="1643" w:type="dxa"/>
            <w:vAlign w:val="center"/>
          </w:tcPr>
          <w:p>
            <w:pPr>
              <w:pStyle w:val="17"/>
            </w:pPr>
            <w:r>
              <w:t>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295.22</w:t>
            </w:r>
          </w:p>
        </w:tc>
        <w:tc>
          <w:tcPr>
            <w:tcW w:w="1643" w:type="dxa"/>
            <w:vAlign w:val="center"/>
          </w:tcPr>
          <w:p>
            <w:pPr>
              <w:pStyle w:val="13"/>
            </w:pPr>
            <w:r>
              <w:t>218.00</w:t>
            </w:r>
          </w:p>
        </w:tc>
        <w:tc>
          <w:tcPr>
            <w:tcW w:w="1643" w:type="dxa"/>
            <w:vAlign w:val="center"/>
          </w:tcPr>
          <w:p>
            <w:pPr>
              <w:pStyle w:val="13"/>
            </w:pPr>
            <w:r>
              <w:t>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295.22</w:t>
            </w:r>
          </w:p>
        </w:tc>
        <w:tc>
          <w:tcPr>
            <w:tcW w:w="1643" w:type="dxa"/>
            <w:vAlign w:val="center"/>
          </w:tcPr>
          <w:p>
            <w:pPr>
              <w:pStyle w:val="13"/>
            </w:pPr>
            <w:r>
              <w:t>218.00</w:t>
            </w:r>
          </w:p>
        </w:tc>
        <w:tc>
          <w:tcPr>
            <w:tcW w:w="1643" w:type="dxa"/>
            <w:vAlign w:val="center"/>
          </w:tcPr>
          <w:p>
            <w:pPr>
              <w:pStyle w:val="13"/>
            </w:pPr>
            <w:r>
              <w:t>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2010308</w:t>
            </w:r>
          </w:p>
        </w:tc>
        <w:tc>
          <w:tcPr>
            <w:tcW w:w="1643" w:type="dxa"/>
            <w:vAlign w:val="center"/>
          </w:tcPr>
          <w:p>
            <w:pPr>
              <w:pStyle w:val="14"/>
            </w:pPr>
            <w:r>
              <w:t>信访事务</w:t>
            </w:r>
          </w:p>
        </w:tc>
        <w:tc>
          <w:tcPr>
            <w:tcW w:w="1643" w:type="dxa"/>
            <w:vAlign w:val="center"/>
          </w:tcPr>
          <w:p>
            <w:pPr>
              <w:pStyle w:val="13"/>
            </w:pPr>
            <w:r>
              <w:t>295.22</w:t>
            </w:r>
          </w:p>
        </w:tc>
        <w:tc>
          <w:tcPr>
            <w:tcW w:w="1643" w:type="dxa"/>
            <w:vAlign w:val="center"/>
          </w:tcPr>
          <w:p>
            <w:pPr>
              <w:pStyle w:val="13"/>
            </w:pPr>
            <w:r>
              <w:t>218.00</w:t>
            </w:r>
          </w:p>
        </w:tc>
        <w:tc>
          <w:tcPr>
            <w:tcW w:w="1643" w:type="dxa"/>
            <w:vAlign w:val="center"/>
          </w:tcPr>
          <w:p>
            <w:pPr>
              <w:pStyle w:val="13"/>
            </w:pPr>
            <w:r>
              <w:t>77.22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34.00</w:t>
            </w:r>
          </w:p>
        </w:tc>
        <w:tc>
          <w:tcPr>
            <w:tcW w:w="1643" w:type="dxa"/>
            <w:vAlign w:val="center"/>
          </w:tcPr>
          <w:p>
            <w:pPr>
              <w:pStyle w:val="13"/>
            </w:pPr>
            <w:r>
              <w:t>34.00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34.00</w:t>
            </w:r>
          </w:p>
        </w:tc>
        <w:tc>
          <w:tcPr>
            <w:tcW w:w="1643" w:type="dxa"/>
            <w:vAlign w:val="center"/>
          </w:tcPr>
          <w:p>
            <w:pPr>
              <w:pStyle w:val="13"/>
            </w:pPr>
            <w:r>
              <w:t>34.00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28.00</w:t>
            </w:r>
          </w:p>
        </w:tc>
        <w:tc>
          <w:tcPr>
            <w:tcW w:w="1643" w:type="dxa"/>
            <w:vAlign w:val="center"/>
          </w:tcPr>
          <w:p>
            <w:pPr>
              <w:pStyle w:val="13"/>
            </w:pPr>
            <w:r>
              <w:t>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16.50</w:t>
            </w:r>
          </w:p>
        </w:tc>
        <w:tc>
          <w:tcPr>
            <w:tcW w:w="1643" w:type="dxa"/>
            <w:vAlign w:val="center"/>
          </w:tcPr>
          <w:p>
            <w:pPr>
              <w:pStyle w:val="13"/>
            </w:pPr>
            <w:r>
              <w:t>16.50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16.50</w:t>
            </w:r>
          </w:p>
        </w:tc>
        <w:tc>
          <w:tcPr>
            <w:tcW w:w="1643" w:type="dxa"/>
            <w:vAlign w:val="center"/>
          </w:tcPr>
          <w:p>
            <w:pPr>
              <w:pStyle w:val="13"/>
            </w:pPr>
            <w:r>
              <w:t>16.50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16.50</w:t>
            </w:r>
          </w:p>
        </w:tc>
        <w:tc>
          <w:tcPr>
            <w:tcW w:w="1643" w:type="dxa"/>
            <w:vAlign w:val="center"/>
          </w:tcPr>
          <w:p>
            <w:pPr>
              <w:pStyle w:val="13"/>
            </w:pPr>
            <w:r>
              <w:t>16.50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23.00</w:t>
            </w:r>
          </w:p>
        </w:tc>
        <w:tc>
          <w:tcPr>
            <w:tcW w:w="1643" w:type="dxa"/>
            <w:vAlign w:val="center"/>
          </w:tcPr>
          <w:p>
            <w:pPr>
              <w:pStyle w:val="13"/>
            </w:pPr>
            <w:r>
              <w:t>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23.00</w:t>
            </w:r>
          </w:p>
        </w:tc>
        <w:tc>
          <w:tcPr>
            <w:tcW w:w="1643" w:type="dxa"/>
            <w:vAlign w:val="center"/>
          </w:tcPr>
          <w:p>
            <w:pPr>
              <w:pStyle w:val="13"/>
            </w:pPr>
            <w:r>
              <w:t>23.00</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23.00</w:t>
            </w:r>
          </w:p>
        </w:tc>
        <w:tc>
          <w:tcPr>
            <w:tcW w:w="1643" w:type="dxa"/>
            <w:vAlign w:val="center"/>
          </w:tcPr>
          <w:p>
            <w:pPr>
              <w:pStyle w:val="13"/>
            </w:pPr>
            <w:r>
              <w:t>23.00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291.50</w:t>
            </w:r>
          </w:p>
        </w:tc>
        <w:tc>
          <w:tcPr>
            <w:tcW w:w="1643" w:type="dxa"/>
            <w:vAlign w:val="center"/>
          </w:tcPr>
          <w:p>
            <w:pPr>
              <w:pStyle w:val="17"/>
            </w:pPr>
            <w:r>
              <w:t>278.00</w:t>
            </w:r>
          </w:p>
        </w:tc>
        <w:tc>
          <w:tcPr>
            <w:tcW w:w="1643" w:type="dxa"/>
            <w:vAlign w:val="center"/>
          </w:tcPr>
          <w:p>
            <w:pPr>
              <w:pStyle w:val="17"/>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269.90</w:t>
            </w:r>
          </w:p>
        </w:tc>
        <w:tc>
          <w:tcPr>
            <w:tcW w:w="1643" w:type="dxa"/>
            <w:vAlign w:val="center"/>
          </w:tcPr>
          <w:p>
            <w:pPr>
              <w:pStyle w:val="13"/>
            </w:pPr>
            <w:r>
              <w:t>269.90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162.00</w:t>
            </w:r>
          </w:p>
        </w:tc>
        <w:tc>
          <w:tcPr>
            <w:tcW w:w="1643" w:type="dxa"/>
            <w:vAlign w:val="center"/>
          </w:tcPr>
          <w:p>
            <w:pPr>
              <w:pStyle w:val="13"/>
            </w:pPr>
            <w:r>
              <w:t>162.00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6.50</w:t>
            </w:r>
          </w:p>
        </w:tc>
        <w:tc>
          <w:tcPr>
            <w:tcW w:w="1643" w:type="dxa"/>
            <w:vAlign w:val="center"/>
          </w:tcPr>
          <w:p>
            <w:pPr>
              <w:pStyle w:val="13"/>
            </w:pPr>
            <w:r>
              <w:t>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21.50</w:t>
            </w:r>
          </w:p>
        </w:tc>
        <w:tc>
          <w:tcPr>
            <w:tcW w:w="1643" w:type="dxa"/>
            <w:vAlign w:val="center"/>
          </w:tcPr>
          <w:p>
            <w:pPr>
              <w:pStyle w:val="13"/>
            </w:pPr>
            <w:r>
              <w:t>21.50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5.50</w:t>
            </w:r>
          </w:p>
        </w:tc>
        <w:tc>
          <w:tcPr>
            <w:tcW w:w="1643" w:type="dxa"/>
            <w:vAlign w:val="center"/>
          </w:tcPr>
          <w:p>
            <w:pPr>
              <w:pStyle w:val="13"/>
            </w:pPr>
            <w:r>
              <w:t>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28.00</w:t>
            </w:r>
          </w:p>
        </w:tc>
        <w:tc>
          <w:tcPr>
            <w:tcW w:w="1643" w:type="dxa"/>
            <w:vAlign w:val="center"/>
          </w:tcPr>
          <w:p>
            <w:pPr>
              <w:pStyle w:val="13"/>
            </w:pPr>
            <w:r>
              <w:t>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13.00</w:t>
            </w:r>
          </w:p>
        </w:tc>
        <w:tc>
          <w:tcPr>
            <w:tcW w:w="1643" w:type="dxa"/>
            <w:vAlign w:val="center"/>
          </w:tcPr>
          <w:p>
            <w:pPr>
              <w:pStyle w:val="13"/>
            </w:pPr>
            <w:r>
              <w:t>13.00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0.90</w:t>
            </w:r>
          </w:p>
        </w:tc>
        <w:tc>
          <w:tcPr>
            <w:tcW w:w="1643" w:type="dxa"/>
            <w:vAlign w:val="center"/>
          </w:tcPr>
          <w:p>
            <w:pPr>
              <w:pStyle w:val="13"/>
            </w:pPr>
            <w:r>
              <w:t>0.90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23.00</w:t>
            </w:r>
          </w:p>
        </w:tc>
        <w:tc>
          <w:tcPr>
            <w:tcW w:w="1643" w:type="dxa"/>
            <w:vAlign w:val="center"/>
          </w:tcPr>
          <w:p>
            <w:pPr>
              <w:pStyle w:val="13"/>
            </w:pPr>
            <w:r>
              <w:t>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13.50</w:t>
            </w:r>
          </w:p>
        </w:tc>
        <w:tc>
          <w:tcPr>
            <w:tcW w:w="1643" w:type="dxa"/>
            <w:vAlign w:val="center"/>
          </w:tcPr>
          <w:p>
            <w:pPr>
              <w:pStyle w:val="13"/>
            </w:pPr>
          </w:p>
        </w:tc>
        <w:tc>
          <w:tcPr>
            <w:tcW w:w="1643"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1.91</w:t>
            </w:r>
          </w:p>
        </w:tc>
        <w:tc>
          <w:tcPr>
            <w:tcW w:w="1643" w:type="dxa"/>
            <w:vAlign w:val="center"/>
          </w:tcPr>
          <w:p>
            <w:pPr>
              <w:pStyle w:val="13"/>
            </w:pPr>
          </w:p>
        </w:tc>
        <w:tc>
          <w:tcPr>
            <w:tcW w:w="1643" w:type="dxa"/>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0.46</w:t>
            </w:r>
          </w:p>
        </w:tc>
        <w:tc>
          <w:tcPr>
            <w:tcW w:w="1643" w:type="dxa"/>
            <w:vAlign w:val="center"/>
          </w:tcPr>
          <w:p>
            <w:pPr>
              <w:pStyle w:val="13"/>
            </w:pPr>
          </w:p>
        </w:tc>
        <w:tc>
          <w:tcPr>
            <w:tcW w:w="1643"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0.58</w:t>
            </w:r>
          </w:p>
        </w:tc>
        <w:tc>
          <w:tcPr>
            <w:tcW w:w="1643" w:type="dxa"/>
            <w:vAlign w:val="center"/>
          </w:tcPr>
          <w:p>
            <w:pPr>
              <w:pStyle w:val="13"/>
            </w:pPr>
          </w:p>
        </w:tc>
        <w:tc>
          <w:tcPr>
            <w:tcW w:w="1643"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7.86</w:t>
            </w:r>
          </w:p>
        </w:tc>
        <w:tc>
          <w:tcPr>
            <w:tcW w:w="1643" w:type="dxa"/>
            <w:vAlign w:val="center"/>
          </w:tcPr>
          <w:p>
            <w:pPr>
              <w:pStyle w:val="13"/>
            </w:pPr>
          </w:p>
        </w:tc>
        <w:tc>
          <w:tcPr>
            <w:tcW w:w="1643" w:type="dxa"/>
            <w:vAlign w:val="center"/>
          </w:tcPr>
          <w:p>
            <w:pPr>
              <w:pStyle w:val="13"/>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8.10</w:t>
            </w:r>
          </w:p>
        </w:tc>
        <w:tc>
          <w:tcPr>
            <w:tcW w:w="1643" w:type="dxa"/>
            <w:vAlign w:val="center"/>
          </w:tcPr>
          <w:p>
            <w:pPr>
              <w:pStyle w:val="13"/>
            </w:pPr>
            <w:r>
              <w:t>8.10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7.70</w:t>
            </w:r>
          </w:p>
        </w:tc>
        <w:tc>
          <w:tcPr>
            <w:tcW w:w="1643" w:type="dxa"/>
            <w:vAlign w:val="center"/>
          </w:tcPr>
          <w:p>
            <w:pPr>
              <w:pStyle w:val="13"/>
            </w:pPr>
            <w:r>
              <w:t>7.70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0.40</w:t>
            </w:r>
          </w:p>
        </w:tc>
        <w:tc>
          <w:tcPr>
            <w:tcW w:w="1643" w:type="dxa"/>
            <w:vAlign w:val="center"/>
          </w:tcPr>
          <w:p>
            <w:pPr>
              <w:pStyle w:val="13"/>
            </w:pPr>
            <w:r>
              <w:t>0.40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501平乡县信访局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平乡县信访局2023年部门预算信息公开情况说明</w:t>
      </w:r>
    </w:p>
    <w:p>
      <w:pPr>
        <w:jc w:val="center"/>
      </w:pPr>
      <w:r>
        <w:rPr>
          <w:rFonts w:ascii="方正小标宋_GBK" w:hAnsi="方正小标宋_GBK" w:eastAsia="方正小标宋_GBK" w:cs="方正小标宋_GBK"/>
          <w:color w:val="000000"/>
          <w:sz w:val="44"/>
        </w:rPr>
        <w:t>平乡县信访局2023年部门预算信息公开情况说明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按照《预算法》、《地方预决算公开操作规程》和《关于进一步推进预算公开工作的实施意见》规定，现将平乡县信访局2023年部门预算公开如下：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办理正常信访业务，办理人民群众来信、来访、网上信访；处理全县群众到市赴省进京上访案件。负责人民群众建议征集工作.必要时可以要求信访人、有关组织和人员说明情况.或者向其他组织和人员调查核实,有关组织和人员应当配合.信访机关确定承办单位或者承办人,与信访人签到《信访事项办理双向责任书》,明确双方责任和义务。</w:t>
      </w:r>
    </w:p>
    <w:p>
      <w:pPr>
        <w:pStyle w:val="19"/>
      </w:pPr>
      <w:r>
        <w:t>2、参与、组织、协调、指导全县维护社会政治稳定工作,保障国家和省市县重大政治活动的顺利进行,参与处理影响社会政治稳定的突发性、群体性事件。对非访、突发性及群体事件，有权协助公安机关维护重点区域的正常工作秩序；处置影响社会政治稳定的各类非访、突发性、群体性事件；负责组织协调、稳控劝返、服务保障工作。</w:t>
      </w:r>
    </w:p>
    <w:p>
      <w:pPr>
        <w:pStyle w:val="19"/>
      </w:pPr>
      <w:r>
        <w:t>3、信访事项督查、复查复核听证，负责指导全县信访督查、复查复核、听证等工作，并对相关事项进行审核、上报；负责三跨三分离案件的办理工作；负责信访疑难案件的督办。对于重大复杂疑难信访事项或者信访人提出听证申请的,信访机关可以举行信访听证,邀请律师专家学者社会团体等第三方参与.听证应当公开举行,但涉及国家秘密商业秘密或者个人隐私的除外。</w:t>
      </w:r>
    </w:p>
    <w:p>
      <w:pPr>
        <w:pStyle w:val="19"/>
      </w:pPr>
      <w:r>
        <w:t>4、协助国家信访局、省信访局、市信访局及有关部门工作，协助国家信访局、省信访局、市信访局处理平乡县群众进京、赴省、到市上访；负责对乡镇、党委、政府和县直部门信访工作责任目标进行考核,对全县社会治安综合治理和维护社会政治稳定年度责任目标中有关信访工作进行考核。</w:t>
      </w:r>
    </w:p>
    <w:p>
      <w:pPr>
        <w:pStyle w:val="19"/>
      </w:pPr>
      <w:r>
        <w:t>5、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平乡县信访局本级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部门预算的编制实行综合预算管理，即全部收入和支出都反映在预算中。平乡县信访局机关及所属事业单位的收支包含在部门预算中。</w:t>
      </w:r>
    </w:p>
    <w:p>
      <w:pPr>
        <w:pStyle w:val="20"/>
        <w:rPr>
          <w:rFonts w:hint="eastAsia"/>
        </w:rPr>
      </w:pPr>
      <w:r>
        <w:rPr>
          <w:rFonts w:hint="eastAsia"/>
        </w:rPr>
        <w:t>1、收入说明</w:t>
      </w:r>
    </w:p>
    <w:p>
      <w:pPr>
        <w:pStyle w:val="20"/>
        <w:rPr>
          <w:rFonts w:hint="eastAsia"/>
        </w:rPr>
      </w:pPr>
      <w:r>
        <w:rPr>
          <w:rFonts w:hint="eastAsia"/>
        </w:rPr>
        <w:t>反映本</w:t>
      </w:r>
      <w:r>
        <w:rPr>
          <w:rFonts w:hint="eastAsia"/>
          <w:lang w:val="en-US" w:eastAsia="zh-CN"/>
        </w:rPr>
        <w:t>部门</w:t>
      </w:r>
      <w:r>
        <w:rPr>
          <w:rFonts w:hint="eastAsia"/>
        </w:rPr>
        <w:t>当年全部收入。2023年预算收入368.72万元，其中：一般公共预算收入368.72万元，基金预算收入0万元，国有资本经营预算收入0万元；财政专户核拨收入0万元，其他来源收入0万元，上年结转0万元。</w:t>
      </w:r>
    </w:p>
    <w:p>
      <w:pPr>
        <w:pStyle w:val="20"/>
        <w:rPr>
          <w:rFonts w:hint="eastAsia"/>
        </w:rPr>
      </w:pPr>
      <w:r>
        <w:rPr>
          <w:rFonts w:hint="eastAsia"/>
        </w:rPr>
        <w:t>2、支出说明</w:t>
      </w:r>
    </w:p>
    <w:p>
      <w:pPr>
        <w:pStyle w:val="20"/>
        <w:rPr>
          <w:rFonts w:hint="eastAsia"/>
        </w:rPr>
      </w:pPr>
      <w:r>
        <w:rPr>
          <w:rFonts w:hint="eastAsia"/>
        </w:rPr>
        <w:t>收支预算总表支出栏、基本支出表、项目支出表按经济分类和支出功能分类科目编制，反映信访局年度</w:t>
      </w:r>
      <w:r>
        <w:rPr>
          <w:rFonts w:hint="eastAsia"/>
          <w:lang w:val="en-US" w:eastAsia="zh-CN"/>
        </w:rPr>
        <w:t>部门</w:t>
      </w:r>
      <w:r>
        <w:rPr>
          <w:rFonts w:hint="eastAsia"/>
        </w:rPr>
        <w:t>预算中支出预算的总体情况。2023年</w:t>
      </w:r>
      <w:r>
        <w:rPr>
          <w:rFonts w:hint="eastAsia"/>
          <w:lang w:val="en-US" w:eastAsia="zh-CN"/>
        </w:rPr>
        <w:t>部门</w:t>
      </w:r>
      <w:r>
        <w:rPr>
          <w:rFonts w:hint="eastAsia"/>
        </w:rPr>
        <w:t>支出预算为368.72万元，其中基本支出291.5万元，包括人员经费278万元和日常公用经费13.5万元；项目支出77.22万元，主要为信访日常工作经费等。</w:t>
      </w:r>
    </w:p>
    <w:p>
      <w:pPr>
        <w:pStyle w:val="20"/>
        <w:rPr>
          <w:rFonts w:hint="eastAsia"/>
        </w:rPr>
      </w:pPr>
      <w:r>
        <w:rPr>
          <w:rFonts w:hint="eastAsia"/>
        </w:rPr>
        <w:t>3、比上年增减情况</w:t>
      </w:r>
    </w:p>
    <w:p>
      <w:pPr>
        <w:pStyle w:val="20"/>
        <w:rPr>
          <w:rFonts w:hint="eastAsia"/>
        </w:rPr>
      </w:pPr>
      <w:r>
        <w:rPr>
          <w:rFonts w:hint="eastAsia"/>
        </w:rPr>
        <w:t>2023年部门预算收支安排368.72万元，较2022年增加12.41万元，其中：基本支出增加20.11万元，主要是增加人员经费；项目支出减少7.7万元，主要是缩减经费。</w:t>
      </w:r>
      <w:bookmarkStart w:id="18" w:name="_GoBack"/>
      <w:bookmarkEnd w:id="18"/>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2023年，我部门机关运行经费共计安排13.5万元，主要用于保证机关正常运转的办公费、工会费和福利费等支出。</w:t>
      </w:r>
    </w:p>
    <w:p>
      <w:pPr>
        <w:pStyle w:val="21"/>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2"/>
      </w:pPr>
      <w:r>
        <w:t>2023年，我部门财政拨款“三公”经费预算安排1.4万元，其中：因公出国（境）费0万元；公务用车购置及运维费1.4万元（其中：公务用车运行维护费1.4万元，公务用车购置费0万元)；公务接待费0万元。“三公”经费与上年无增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以贯彻落实党的精神为指导，紧紧围绕各级决策部署，及时就地解决群众信访问题，引导群众依法上访，促进社会和谐稳定，全面推进“阳光信访”“责任信访”和“法治信访”工作制度改革，为平乡又快又好发展作出新贡献。</w:t>
      </w:r>
    </w:p>
    <w:p>
      <w:pPr>
        <w:pStyle w:val="23"/>
      </w:pPr>
      <w:r>
        <w:t>健全维护群众权益机制，做好重要信访事项的办理工作。扎实做好重要信访事项的督查督办工作，完善信访事项复查复核工作，进一步规范程序，提高质量，严格实行“访诉分离”，引导群众通过法定途径维护合法利益。</w:t>
      </w:r>
    </w:p>
    <w:p>
      <w:pPr>
        <w:pStyle w:val="23"/>
      </w:pPr>
      <w:r>
        <w:t>全力推进信访积案化解。深入贯彻落实</w:t>
      </w:r>
      <w:r>
        <w:rPr>
          <w:rFonts w:hint="eastAsia"/>
          <w:lang w:eastAsia="zh-CN"/>
        </w:rPr>
        <w:t>上级</w:t>
      </w:r>
      <w:r>
        <w:t>关于加强和改进新时期信访工作的一系列决策部署，紧紧围绕“诉求合理的解决问题到位、诉求无理的思想教育到位、生活困难的帮扶救助到位、行为违法的依法处理”要求，全力推动信访积案及时就地化解，促进全县信访工作全面持续好转。</w:t>
      </w:r>
    </w:p>
    <w:p>
      <w:pPr>
        <w:pStyle w:val="23"/>
      </w:pPr>
      <w:r>
        <w:t> 将信访事项按期办结率达到96%以上，信访事项按期受理率达到96%以上，到市、赴省进京上访量小于等于200人次。</w:t>
      </w:r>
    </w:p>
    <w:p>
      <w:pPr>
        <w:spacing w:line="500" w:lineRule="exact"/>
        <w:ind w:firstLine="560"/>
      </w:pPr>
      <w:r>
        <w:rPr>
          <w:rFonts w:eastAsia="方正仿宋_GBK" w:cs="Times New Roman"/>
          <w:color w:val="000000"/>
          <w:sz w:val="28"/>
        </w:rPr>
        <w:t>（二）分项绩效目标</w:t>
      </w:r>
    </w:p>
    <w:p>
      <w:pPr>
        <w:pStyle w:val="24"/>
      </w:pPr>
      <w:r>
        <w:t>1、绩效目标：办理正常信访业务，办理人民群众来信、来访、网上信访；处理全县群众到市赴省进京上访案件。参与、组织、协调、指导全县维护社会政治稳定工作,保障国家和省市县重大政治活动的顺利进行,参与处理影响社会政治稳定的突发性、群体性事件.对非访、突发性及群体事件，有权协助公安机关维护重点区域的正常工作秩序；协助国家信访局、省信访局、市信访局处理平乡县群众进京、赴省、到市上访；负责对乡镇、党委、政府和县直部门信访工作责任目标进行考核,对全县社会治安综合治理和维护社会政治稳定年度责任目标中有关信访工作进行考核。</w:t>
      </w:r>
    </w:p>
    <w:p>
      <w:pPr>
        <w:pStyle w:val="24"/>
      </w:pPr>
      <w:r>
        <w:t>绩效指标：信访事项按期办结率达到96%以上，信访事项按期受理率达到96%以上，到市、赴省进京上访量小于等于200人次。</w:t>
      </w:r>
    </w:p>
    <w:p>
      <w:pPr>
        <w:pStyle w:val="24"/>
      </w:pPr>
      <w:r>
        <w:t>2、绩效目标：综合事务管理，拟定信访工作方针政策和地方性法规；调研提出信访工作对策建议；督促检查和指导全县信访工作；信访先进表彰、业务培训、人民建议征集；信息化建设和运维管理；机要邮件正常传递；负责局机关行政后勤、资产、物业管理；负责县级领导信访接待日的组织工作。</w:t>
      </w:r>
    </w:p>
    <w:p>
      <w:pPr>
        <w:pStyle w:val="24"/>
      </w:pPr>
      <w:r>
        <w:t>绩效指标：接待上访群众满意率达到80%以上，单位年终考核成绩达到良以上，重点工作完成率达到98%以上。</w:t>
      </w:r>
    </w:p>
    <w:p>
      <w:pPr>
        <w:spacing w:line="500" w:lineRule="exact"/>
        <w:ind w:firstLine="560"/>
      </w:pPr>
      <w:r>
        <w:rPr>
          <w:rFonts w:eastAsia="方正仿宋_GBK" w:cs="Times New Roman"/>
          <w:color w:val="000000"/>
          <w:sz w:val="28"/>
        </w:rPr>
        <w:t>（三）工作保障措施</w:t>
      </w:r>
    </w:p>
    <w:p>
      <w:pPr>
        <w:pStyle w:val="25"/>
      </w:pPr>
      <w:r>
        <w:t>以贯彻落实党</w:t>
      </w:r>
      <w:r>
        <w:rPr>
          <w:rFonts w:hint="eastAsia"/>
          <w:lang w:eastAsia="zh-CN"/>
        </w:rPr>
        <w:t>的精神</w:t>
      </w:r>
      <w:r>
        <w:t>为指导，紧紧围绕各级决策部署，及时就地解决群众信访问题，引导群众依法上访，促进社会和谐稳定，全面推进“阳光信访”“责任信访”和“法治信访”工作制度改革，规范信访工作行为、群众信访行为，提升服务能力、落实能力，形成法治、为民、公正、透明的新型信访模式，最大限度解决群众合理诉求、提升信访工作公信力，为平乡又快又好发展作出新贡献。</w:t>
      </w:r>
    </w:p>
    <w:p>
      <w:pPr>
        <w:pStyle w:val="25"/>
      </w:pPr>
      <w:r>
        <w:t>一是制度建设。制定完善预算绩效管理制度、资金管理办法、工作保障制度等，为全年预算绩效目标的实现奠定制度基础。</w:t>
      </w:r>
    </w:p>
    <w:p>
      <w:pPr>
        <w:pStyle w:val="25"/>
      </w:pPr>
      <w:r>
        <w:t>二是支出管理。通过优化支出结构、编细编实预算、加快履行政府采购手续、尽快启动项目、及时支付资金、6月底前细化代编预算、按规定及时下达资金等多种措施，确保支出进度达标。</w:t>
      </w:r>
    </w:p>
    <w:p>
      <w:pPr>
        <w:pStyle w:val="25"/>
      </w:pPr>
      <w:r>
        <w:t>三是加强绩效运行监控，进一步完善部门预算绩效目标。清晰反映预算资金的预期产出和效果，并以相应的绩效指标予以细化、量化。</w:t>
      </w:r>
    </w:p>
    <w:p>
      <w:pPr>
        <w:pStyle w:val="25"/>
      </w:pPr>
      <w:r>
        <w:t>四是规范财务资产管理。完善财务管理制度，严格审批程序加强固定资产登记，使用和报废处置管理，做到支出合理。</w:t>
      </w:r>
    </w:p>
    <w:p>
      <w:pPr>
        <w:pStyle w:val="25"/>
      </w:pPr>
      <w:r>
        <w:t>五是加强内部监督。单位成立内部监督领导小组，定期和不定期对绩效运行情况、重大支出决策、资产处置及其他重要经济业务事项的决策和执行进行督导，对会计资料进行内部审计，确保财政资金安全有效。</w:t>
      </w:r>
    </w:p>
    <w:p>
      <w:pPr>
        <w:pStyle w:val="25"/>
      </w:pPr>
      <w:r>
        <w:t>六是做好绩效自评。按要求开展上年度部门预算绩效自评和重点评价工作，对评价中发现的问题及时整改，调整优化支出结构，提高财政资金使用效益。</w:t>
      </w:r>
    </w:p>
    <w:p>
      <w:pPr>
        <w:pStyle w:val="25"/>
      </w:pPr>
      <w:r>
        <w:t>七是加强宣传培训调研。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1、信访工作经费绩效目标表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1.及时就地解决群众信访问题，引导群众依法上访，促进社会和谐稳定</w:t>
            </w:r>
          </w:p>
          <w:p>
            <w:pPr>
              <w:pStyle w:val="14"/>
            </w:pPr>
            <w:r>
              <w:t>2.保障信访部门工作正常运转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到市登记访量</w:t>
            </w:r>
          </w:p>
        </w:tc>
        <w:tc>
          <w:tcPr>
            <w:tcW w:w="2466" w:type="dxa"/>
            <w:vAlign w:val="center"/>
          </w:tcPr>
          <w:p>
            <w:pPr>
              <w:pStyle w:val="14"/>
            </w:pPr>
            <w:r>
              <w:t>到市级登记上访人次</w:t>
            </w:r>
          </w:p>
        </w:tc>
        <w:tc>
          <w:tcPr>
            <w:tcW w:w="2466" w:type="dxa"/>
            <w:vAlign w:val="center"/>
          </w:tcPr>
          <w:p>
            <w:pPr>
              <w:pStyle w:val="14"/>
            </w:pPr>
            <w:r>
              <w:t>≥200人次</w:t>
            </w:r>
          </w:p>
        </w:tc>
        <w:tc>
          <w:tcPr>
            <w:tcW w:w="2466" w:type="dxa"/>
            <w:vAlign w:val="center"/>
          </w:tcPr>
          <w:p>
            <w:pPr>
              <w:pStyle w:val="14"/>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设备采购验收合格率</w:t>
            </w:r>
          </w:p>
        </w:tc>
        <w:tc>
          <w:tcPr>
            <w:tcW w:w="2466" w:type="dxa"/>
            <w:vAlign w:val="center"/>
          </w:tcPr>
          <w:p>
            <w:pPr>
              <w:pStyle w:val="14"/>
            </w:pPr>
            <w:r>
              <w:t>设备采购验收合格率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年度任务完成率</w:t>
            </w:r>
          </w:p>
        </w:tc>
        <w:tc>
          <w:tcPr>
            <w:tcW w:w="2466" w:type="dxa"/>
            <w:vAlign w:val="center"/>
          </w:tcPr>
          <w:p>
            <w:pPr>
              <w:pStyle w:val="14"/>
            </w:pPr>
            <w:r>
              <w:t>年度任务完成率</w:t>
            </w:r>
          </w:p>
        </w:tc>
        <w:tc>
          <w:tcPr>
            <w:tcW w:w="2466" w:type="dxa"/>
            <w:vAlign w:val="center"/>
          </w:tcPr>
          <w:p>
            <w:pPr>
              <w:pStyle w:val="14"/>
            </w:pPr>
            <w:r>
              <w:t>≥90%</w:t>
            </w:r>
          </w:p>
        </w:tc>
        <w:tc>
          <w:tcPr>
            <w:tcW w:w="2466" w:type="dxa"/>
            <w:vAlign w:val="center"/>
          </w:tcPr>
          <w:p>
            <w:pPr>
              <w:pStyle w:val="14"/>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信访经费</w:t>
            </w:r>
          </w:p>
        </w:tc>
        <w:tc>
          <w:tcPr>
            <w:tcW w:w="2466" w:type="dxa"/>
            <w:vAlign w:val="center"/>
          </w:tcPr>
          <w:p>
            <w:pPr>
              <w:pStyle w:val="14"/>
            </w:pPr>
            <w:r>
              <w:t>信访工作差旅费、租赁费、印刷费、办公费等</w:t>
            </w:r>
          </w:p>
        </w:tc>
        <w:tc>
          <w:tcPr>
            <w:tcW w:w="2466" w:type="dxa"/>
            <w:vAlign w:val="center"/>
          </w:tcPr>
          <w:p>
            <w:pPr>
              <w:pStyle w:val="14"/>
            </w:pPr>
            <w:r>
              <w:t>≤64.3万元</w:t>
            </w:r>
          </w:p>
        </w:tc>
        <w:tc>
          <w:tcPr>
            <w:tcW w:w="2466" w:type="dxa"/>
            <w:vAlign w:val="center"/>
          </w:tcPr>
          <w:p>
            <w:pPr>
              <w:pStyle w:val="14"/>
            </w:pPr>
            <w:r>
              <w:t>平乡县差旅费报销文件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固定资产购置</w:t>
            </w:r>
          </w:p>
        </w:tc>
        <w:tc>
          <w:tcPr>
            <w:tcW w:w="2466" w:type="dxa"/>
            <w:vAlign w:val="center"/>
          </w:tcPr>
          <w:p>
            <w:pPr>
              <w:pStyle w:val="14"/>
            </w:pPr>
            <w:r>
              <w:t>购置办公设备</w:t>
            </w:r>
          </w:p>
        </w:tc>
        <w:tc>
          <w:tcPr>
            <w:tcW w:w="2466" w:type="dxa"/>
            <w:vAlign w:val="center"/>
          </w:tcPr>
          <w:p>
            <w:pPr>
              <w:pStyle w:val="14"/>
            </w:pPr>
            <w:r>
              <w:t>≤5万元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各项任务及时完成数占总任务比例</w:t>
            </w:r>
          </w:p>
        </w:tc>
        <w:tc>
          <w:tcPr>
            <w:tcW w:w="2466" w:type="dxa"/>
            <w:vAlign w:val="center"/>
          </w:tcPr>
          <w:p>
            <w:pPr>
              <w:pStyle w:val="14"/>
            </w:pPr>
            <w:r>
              <w:t>≥95%</w:t>
            </w:r>
          </w:p>
        </w:tc>
        <w:tc>
          <w:tcPr>
            <w:tcW w:w="2466" w:type="dxa"/>
            <w:vAlign w:val="center"/>
          </w:tcPr>
          <w:p>
            <w:pPr>
              <w:pStyle w:val="14"/>
            </w:pPr>
            <w:r>
              <w:t>邢台市信访局考核办法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上访人员认可度</w:t>
            </w:r>
          </w:p>
        </w:tc>
        <w:tc>
          <w:tcPr>
            <w:tcW w:w="2466" w:type="dxa"/>
            <w:vAlign w:val="center"/>
          </w:tcPr>
          <w:p>
            <w:pPr>
              <w:pStyle w:val="14"/>
            </w:pPr>
            <w:r>
              <w:t>上访人员对工作人员解决信访问题方案的认可度</w:t>
            </w:r>
          </w:p>
        </w:tc>
        <w:tc>
          <w:tcPr>
            <w:tcW w:w="2466" w:type="dxa"/>
            <w:vAlign w:val="center"/>
          </w:tcPr>
          <w:p>
            <w:pPr>
              <w:pStyle w:val="14"/>
            </w:pPr>
            <w:r>
              <w:t>≥90%</w:t>
            </w:r>
          </w:p>
        </w:tc>
        <w:tc>
          <w:tcPr>
            <w:tcW w:w="2466" w:type="dxa"/>
            <w:vAlign w:val="center"/>
          </w:tcPr>
          <w:p>
            <w:pPr>
              <w:pStyle w:val="14"/>
            </w:pPr>
            <w:r>
              <w:t>信访登记台账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群众上访下降率（%）</w:t>
            </w:r>
          </w:p>
        </w:tc>
        <w:tc>
          <w:tcPr>
            <w:tcW w:w="2466" w:type="dxa"/>
            <w:vAlign w:val="center"/>
          </w:tcPr>
          <w:p>
            <w:pPr>
              <w:pStyle w:val="14"/>
            </w:pPr>
            <w:r>
              <w:t>同期群众上访下降数占比例</w:t>
            </w:r>
          </w:p>
        </w:tc>
        <w:tc>
          <w:tcPr>
            <w:tcW w:w="2466" w:type="dxa"/>
            <w:vAlign w:val="center"/>
          </w:tcPr>
          <w:p>
            <w:pPr>
              <w:pStyle w:val="14"/>
            </w:pPr>
            <w:r>
              <w:t>≥20%</w:t>
            </w:r>
          </w:p>
        </w:tc>
        <w:tc>
          <w:tcPr>
            <w:tcW w:w="2466" w:type="dxa"/>
            <w:vAlign w:val="center"/>
          </w:tcPr>
          <w:p>
            <w:pPr>
              <w:pStyle w:val="14"/>
            </w:pPr>
            <w: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信访事项办结率</w:t>
            </w:r>
          </w:p>
        </w:tc>
        <w:tc>
          <w:tcPr>
            <w:tcW w:w="2466" w:type="dxa"/>
            <w:vAlign w:val="center"/>
          </w:tcPr>
          <w:p>
            <w:pPr>
              <w:pStyle w:val="14"/>
            </w:pPr>
            <w:r>
              <w:t>信访案件办结数占总信访案件数比例</w:t>
            </w:r>
          </w:p>
        </w:tc>
        <w:tc>
          <w:tcPr>
            <w:tcW w:w="2466" w:type="dxa"/>
            <w:vAlign w:val="center"/>
          </w:tcPr>
          <w:p>
            <w:pPr>
              <w:pStyle w:val="14"/>
            </w:pPr>
            <w:r>
              <w:t>≥95%</w:t>
            </w:r>
          </w:p>
        </w:tc>
        <w:tc>
          <w:tcPr>
            <w:tcW w:w="2466" w:type="dxa"/>
            <w:vAlign w:val="center"/>
          </w:tcPr>
          <w:p>
            <w:pPr>
              <w:pStyle w:val="14"/>
            </w:pPr>
            <w:r>
              <w:t>网上信访系统查询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通过问卷调查方式了解信访群众对信访工作的满意程度。</w:t>
            </w:r>
          </w:p>
        </w:tc>
        <w:tc>
          <w:tcPr>
            <w:tcW w:w="2466" w:type="dxa"/>
            <w:vAlign w:val="center"/>
          </w:tcPr>
          <w:p>
            <w:pPr>
              <w:pStyle w:val="14"/>
            </w:pPr>
            <w:r>
              <w:t>≥80%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主管部门满意度</w:t>
            </w:r>
          </w:p>
        </w:tc>
        <w:tc>
          <w:tcPr>
            <w:tcW w:w="2466" w:type="dxa"/>
            <w:vAlign w:val="center"/>
          </w:tcPr>
          <w:p>
            <w:pPr>
              <w:pStyle w:val="14"/>
            </w:pPr>
            <w:r>
              <w:t>通过问卷调查方式了解主管部门对信访工作的满意程度。</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2、疑难信访问题服务中心老干部下乡费用项目绩效目标表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1.通过原县人大</w:t>
            </w:r>
            <w:r>
              <w:rPr>
                <w:rFonts w:hint="eastAsia"/>
                <w:lang w:eastAsia="zh-CN"/>
              </w:rPr>
              <w:t>常委会</w:t>
            </w:r>
            <w:r>
              <w:t>副主任郭章显等6人的共同努力，专门下乡解决全县疑难信访积案，使全县信访工作稳定，问题解决在基层，达到不上访，不越级访。</w:t>
            </w:r>
          </w:p>
          <w:p>
            <w:pPr>
              <w:pStyle w:val="14"/>
            </w:pPr>
            <w:r>
              <w:t>2.按时按标准发放老干部下乡费用。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发放补助人员数量</w:t>
            </w:r>
          </w:p>
        </w:tc>
        <w:tc>
          <w:tcPr>
            <w:tcW w:w="2466" w:type="dxa"/>
            <w:vAlign w:val="center"/>
          </w:tcPr>
          <w:p>
            <w:pPr>
              <w:pStyle w:val="14"/>
            </w:pPr>
            <w:r>
              <w:t>6人</w:t>
            </w:r>
          </w:p>
        </w:tc>
        <w:tc>
          <w:tcPr>
            <w:tcW w:w="2466" w:type="dxa"/>
            <w:vAlign w:val="center"/>
          </w:tcPr>
          <w:p>
            <w:pPr>
              <w:pStyle w:val="14"/>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发放完成率</w:t>
            </w:r>
          </w:p>
        </w:tc>
        <w:tc>
          <w:tcPr>
            <w:tcW w:w="2466" w:type="dxa"/>
            <w:vAlign w:val="center"/>
          </w:tcPr>
          <w:p>
            <w:pPr>
              <w:pStyle w:val="14"/>
            </w:pPr>
            <w:r>
              <w:t>实际发放资金占总预算资金比例</w:t>
            </w:r>
          </w:p>
        </w:tc>
        <w:tc>
          <w:tcPr>
            <w:tcW w:w="2466" w:type="dxa"/>
            <w:vAlign w:val="center"/>
          </w:tcPr>
          <w:p>
            <w:pPr>
              <w:pStyle w:val="14"/>
            </w:pPr>
            <w:r>
              <w:t>100%</w:t>
            </w:r>
          </w:p>
        </w:tc>
        <w:tc>
          <w:tcPr>
            <w:tcW w:w="2466" w:type="dxa"/>
            <w:vAlign w:val="center"/>
          </w:tcPr>
          <w:p>
            <w:pPr>
              <w:pStyle w:val="14"/>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资金是否为每半年准时发放</w:t>
            </w:r>
          </w:p>
        </w:tc>
        <w:tc>
          <w:tcPr>
            <w:tcW w:w="2466" w:type="dxa"/>
            <w:vAlign w:val="center"/>
          </w:tcPr>
          <w:p>
            <w:pPr>
              <w:pStyle w:val="14"/>
            </w:pPr>
            <w:r>
              <w:t>6月初、12月初各发放一次</w:t>
            </w:r>
          </w:p>
        </w:tc>
        <w:tc>
          <w:tcPr>
            <w:tcW w:w="2466" w:type="dxa"/>
            <w:vAlign w:val="center"/>
          </w:tcPr>
          <w:p>
            <w:pPr>
              <w:pStyle w:val="14"/>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人均发放标准</w:t>
            </w:r>
          </w:p>
        </w:tc>
        <w:tc>
          <w:tcPr>
            <w:tcW w:w="2466" w:type="dxa"/>
            <w:vAlign w:val="center"/>
          </w:tcPr>
          <w:p>
            <w:pPr>
              <w:pStyle w:val="14"/>
            </w:pPr>
            <w:r>
              <w:t>1100元/人/月</w:t>
            </w:r>
          </w:p>
        </w:tc>
        <w:tc>
          <w:tcPr>
            <w:tcW w:w="2466" w:type="dxa"/>
            <w:vAlign w:val="center"/>
          </w:tcPr>
          <w:p>
            <w:pPr>
              <w:pStyle w:val="14"/>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上访群众对解决问题认可度</w:t>
            </w:r>
          </w:p>
        </w:tc>
        <w:tc>
          <w:tcPr>
            <w:tcW w:w="2466" w:type="dxa"/>
            <w:vAlign w:val="center"/>
          </w:tcPr>
          <w:p>
            <w:pPr>
              <w:pStyle w:val="14"/>
            </w:pPr>
            <w:r>
              <w:t>老干部下乡解决上访群众问题得到群众认可程度</w:t>
            </w:r>
          </w:p>
        </w:tc>
        <w:tc>
          <w:tcPr>
            <w:tcW w:w="2466" w:type="dxa"/>
            <w:vAlign w:val="center"/>
          </w:tcPr>
          <w:p>
            <w:pPr>
              <w:pStyle w:val="14"/>
            </w:pPr>
            <w:r>
              <w:t>≥95%</w:t>
            </w:r>
          </w:p>
        </w:tc>
        <w:tc>
          <w:tcPr>
            <w:tcW w:w="2466" w:type="dxa"/>
            <w:vAlign w:val="center"/>
          </w:tcPr>
          <w:p>
            <w:pPr>
              <w:pStyle w:val="14"/>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群众上访下降率（%）</w:t>
            </w:r>
          </w:p>
        </w:tc>
        <w:tc>
          <w:tcPr>
            <w:tcW w:w="2466" w:type="dxa"/>
            <w:vAlign w:val="center"/>
          </w:tcPr>
          <w:p>
            <w:pPr>
              <w:pStyle w:val="14"/>
            </w:pPr>
            <w:r>
              <w:t>群众上访下降比例</w:t>
            </w:r>
          </w:p>
        </w:tc>
        <w:tc>
          <w:tcPr>
            <w:tcW w:w="2466" w:type="dxa"/>
            <w:vAlign w:val="center"/>
          </w:tcPr>
          <w:p>
            <w:pPr>
              <w:pStyle w:val="14"/>
            </w:pPr>
            <w:r>
              <w:t>≥5%</w:t>
            </w:r>
          </w:p>
        </w:tc>
        <w:tc>
          <w:tcPr>
            <w:tcW w:w="2466" w:type="dxa"/>
            <w:vAlign w:val="center"/>
          </w:tcPr>
          <w:p>
            <w:pPr>
              <w:pStyle w:val="14"/>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化解矛盾率(%)</w:t>
            </w:r>
          </w:p>
        </w:tc>
        <w:tc>
          <w:tcPr>
            <w:tcW w:w="2466" w:type="dxa"/>
            <w:vAlign w:val="center"/>
          </w:tcPr>
          <w:p>
            <w:pPr>
              <w:pStyle w:val="14"/>
            </w:pPr>
            <w:r>
              <w:t>化解信访案件数占总案件数比例</w:t>
            </w:r>
          </w:p>
        </w:tc>
        <w:tc>
          <w:tcPr>
            <w:tcW w:w="2466" w:type="dxa"/>
            <w:vAlign w:val="center"/>
          </w:tcPr>
          <w:p>
            <w:pPr>
              <w:pStyle w:val="14"/>
            </w:pPr>
            <w:r>
              <w:t>≥95%</w:t>
            </w:r>
          </w:p>
        </w:tc>
        <w:tc>
          <w:tcPr>
            <w:tcW w:w="2466" w:type="dxa"/>
            <w:vAlign w:val="center"/>
          </w:tcPr>
          <w:p>
            <w:pPr>
              <w:pStyle w:val="14"/>
            </w:pPr>
            <w:r>
              <w:t>信访考核办法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信访群众对案件答复满意度</w:t>
            </w:r>
          </w:p>
        </w:tc>
        <w:tc>
          <w:tcPr>
            <w:tcW w:w="2466" w:type="dxa"/>
            <w:vAlign w:val="center"/>
          </w:tcPr>
          <w:p>
            <w:pPr>
              <w:pStyle w:val="14"/>
            </w:pPr>
            <w:r>
              <w:t>≥80%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费用发放满意度</w:t>
            </w:r>
          </w:p>
        </w:tc>
        <w:tc>
          <w:tcPr>
            <w:tcW w:w="2466" w:type="dxa"/>
            <w:vAlign w:val="center"/>
          </w:tcPr>
          <w:p>
            <w:pPr>
              <w:pStyle w:val="14"/>
            </w:pPr>
            <w:r>
              <w:t>老干部对费用发放满意度</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2023年，平乡县信访局安排政府采购预算0.00万元。具体内容见下表。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501平乡县信访局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平乡县信访局（含所属单位）上年末固定资产金额为58.91万元（详见下表）。本年度拟购置固定资产总额为0.00万元，已按要求列入政府采购预算，详见政府采购预算表。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501平乡县信访局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179</w:t>
            </w:r>
          </w:p>
        </w:tc>
        <w:tc>
          <w:tcPr>
            <w:tcW w:w="4933" w:type="dxa"/>
            <w:vAlign w:val="center"/>
          </w:tcPr>
          <w:p>
            <w:pPr>
              <w:pStyle w:val="13"/>
            </w:pPr>
            <w:r>
              <w:t>58.91</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rPr>
          <w:rFonts w:eastAsia="方正仿宋_GBK" w:cs="Times New Roman"/>
          <w:color w:val="000000"/>
          <w:sz w:val="28"/>
        </w:rPr>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rPr>
          <w:rFonts w:eastAsia="方正仿宋_GBK" w:cs="Times New Roman"/>
          <w:color w:val="000000"/>
          <w:sz w:val="28"/>
        </w:rPr>
      </w:pP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9F064"/>
    <w:multiLevelType w:val="singleLevel"/>
    <w:tmpl w:val="D359F06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BkZjYwZmI3ZmI0N2M0MTM0MjE4YTY4YjY5ODZhNDQifQ=="/>
  </w:docVars>
  <w:rsids>
    <w:rsidRoot w:val="00D57597"/>
    <w:rsid w:val="000C2638"/>
    <w:rsid w:val="00D57597"/>
    <w:rsid w:val="00FA5363"/>
    <w:rsid w:val="03660CBA"/>
    <w:rsid w:val="084B4348"/>
    <w:rsid w:val="18960F5F"/>
    <w:rsid w:val="18FB0793"/>
    <w:rsid w:val="415F1A32"/>
    <w:rsid w:val="44B72DBE"/>
    <w:rsid w:val="54583396"/>
    <w:rsid w:val="5EF2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2023-04-10T09:59:12Z</dcterms:created>
  <dcterms:modified xsi:type="dcterms:W3CDTF">2023-04-10T01:59:12Z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2023-04-10T09:59:07Z</dcterms:created>
  <dcterms:modified xsi:type="dcterms:W3CDTF">2023-04-10T01:59:07Z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2023-04-10T09:59:06Z</dcterms:created>
  <dcterms:modified xsi:type="dcterms:W3CDTF">2023-04-10T01:59:06Z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2023-04-10T09:59:07Z</dcterms:created>
  <dcterms:modified xsi:type="dcterms:W3CDTF">2023-04-10T01:59:07Z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2023-04-10T09:59:11Z</dcterms:created>
  <dcterms:modified xsi:type="dcterms:W3CDTF">2023-04-10T01:59:11Z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2023-04-10T09:59:11Z</dcterms:created>
  <dcterms:modified xsi:type="dcterms:W3CDTF">2023-04-10T01:59:11Z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2023-04-10T09:59:06Z</dcterms:created>
  <dcterms:modified xsi:type="dcterms:W3CDTF">2023-04-10T01:59:06Z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2023-04-10T09:59:12Z</dcterms:created>
  <dcterms:modified xsi:type="dcterms:W3CDTF">2023-04-10T01:59:12Z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2023-04-10T09:59:07Z</dcterms:created>
  <dcterms:modified xsi:type="dcterms:W3CDTF">2023-04-10T01:59:07Z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9127D0-7E3F-49AB-AE42-F2C5A34C0648}">
  <ds:schemaRefs/>
</ds:datastoreItem>
</file>

<file path=customXml/itemProps11.xml><?xml version="1.0" encoding="utf-8"?>
<ds:datastoreItem xmlns:ds="http://schemas.openxmlformats.org/officeDocument/2006/customXml" ds:itemID="{7DC75BB1-1FA7-49C3-8271-1913FA96D59F}">
  <ds:schemaRefs/>
</ds:datastoreItem>
</file>

<file path=customXml/itemProps12.xml><?xml version="1.0" encoding="utf-8"?>
<ds:datastoreItem xmlns:ds="http://schemas.openxmlformats.org/officeDocument/2006/customXml" ds:itemID="{DB6FA99A-DB70-4474-9500-7B0ADCF70135}">
  <ds:schemaRefs/>
</ds:datastoreItem>
</file>

<file path=customXml/itemProps13.xml><?xml version="1.0" encoding="utf-8"?>
<ds:datastoreItem xmlns:ds="http://schemas.openxmlformats.org/officeDocument/2006/customXml" ds:itemID="{218FCA65-7E6E-4FA1-A3A3-7192EE30CAC8}">
  <ds:schemaRefs/>
</ds:datastoreItem>
</file>

<file path=customXml/itemProps14.xml><?xml version="1.0" encoding="utf-8"?>
<ds:datastoreItem xmlns:ds="http://schemas.openxmlformats.org/officeDocument/2006/customXml" ds:itemID="{F968388F-F1F2-475D-AF08-5F22F6C8AC4E}">
  <ds:schemaRefs/>
</ds:datastoreItem>
</file>

<file path=customXml/itemProps15.xml><?xml version="1.0" encoding="utf-8"?>
<ds:datastoreItem xmlns:ds="http://schemas.openxmlformats.org/officeDocument/2006/customXml" ds:itemID="{91C00CA7-EC40-494E-9866-CDA258AA8F25}">
  <ds:schemaRefs/>
</ds:datastoreItem>
</file>

<file path=customXml/itemProps16.xml><?xml version="1.0" encoding="utf-8"?>
<ds:datastoreItem xmlns:ds="http://schemas.openxmlformats.org/officeDocument/2006/customXml" ds:itemID="{21D85590-5573-42B5-8C55-DDC90453F02B}">
  <ds:schemaRefs/>
</ds:datastoreItem>
</file>

<file path=customXml/itemProps17.xml><?xml version="1.0" encoding="utf-8"?>
<ds:datastoreItem xmlns:ds="http://schemas.openxmlformats.org/officeDocument/2006/customXml" ds:itemID="{5957AFA1-98A7-4897-9622-FBF56F97D20C}">
  <ds:schemaRefs/>
</ds:datastoreItem>
</file>

<file path=customXml/itemProps18.xml><?xml version="1.0" encoding="utf-8"?>
<ds:datastoreItem xmlns:ds="http://schemas.openxmlformats.org/officeDocument/2006/customXml" ds:itemID="{85DC87FB-92EA-4B70-A22B-567B4941E63F}">
  <ds:schemaRefs/>
</ds:datastoreItem>
</file>

<file path=customXml/itemProps19.xml><?xml version="1.0" encoding="utf-8"?>
<ds:datastoreItem xmlns:ds="http://schemas.openxmlformats.org/officeDocument/2006/customXml" ds:itemID="{9BA9F7C0-70F6-417E-9A2E-1A8EA1BA8D16}">
  <ds:schemaRefs/>
</ds:datastoreItem>
</file>

<file path=customXml/itemProps2.xml><?xml version="1.0" encoding="utf-8"?>
<ds:datastoreItem xmlns:ds="http://schemas.openxmlformats.org/officeDocument/2006/customXml" ds:itemID="{74AAD46B-9A78-46D4-9EB3-4D2BF784087F}">
  <ds:schemaRefs/>
</ds:datastoreItem>
</file>

<file path=customXml/itemProps3.xml><?xml version="1.0" encoding="utf-8"?>
<ds:datastoreItem xmlns:ds="http://schemas.openxmlformats.org/officeDocument/2006/customXml" ds:itemID="{701AED05-A8B6-4B38-93EE-CB2CAFA9824A}">
  <ds:schemaRefs/>
</ds:datastoreItem>
</file>

<file path=customXml/itemProps4.xml><?xml version="1.0" encoding="utf-8"?>
<ds:datastoreItem xmlns:ds="http://schemas.openxmlformats.org/officeDocument/2006/customXml" ds:itemID="{2E7F1A91-DAFB-428D-9351-ABCE3B1DA3DE}">
  <ds:schemaRefs/>
</ds:datastoreItem>
</file>

<file path=customXml/itemProps5.xml><?xml version="1.0" encoding="utf-8"?>
<ds:datastoreItem xmlns:ds="http://schemas.openxmlformats.org/officeDocument/2006/customXml" ds:itemID="{AA6B17A9-3321-49FF-9224-9CA1BB979D45}">
  <ds:schemaRefs/>
</ds:datastoreItem>
</file>

<file path=customXml/itemProps6.xml><?xml version="1.0" encoding="utf-8"?>
<ds:datastoreItem xmlns:ds="http://schemas.openxmlformats.org/officeDocument/2006/customXml" ds:itemID="{0109E63D-08EF-4CD8-8B13-8CF449770DB5}">
  <ds:schemaRefs/>
</ds:datastoreItem>
</file>

<file path=customXml/itemProps7.xml><?xml version="1.0" encoding="utf-8"?>
<ds:datastoreItem xmlns:ds="http://schemas.openxmlformats.org/officeDocument/2006/customXml" ds:itemID="{B40E4B57-15AC-4B70-8D62-4296DAD4AFC3}">
  <ds:schemaRefs/>
</ds:datastoreItem>
</file>

<file path=customXml/itemProps8.xml><?xml version="1.0" encoding="utf-8"?>
<ds:datastoreItem xmlns:ds="http://schemas.openxmlformats.org/officeDocument/2006/customXml" ds:itemID="{C7445145-47D7-481F-9D72-589A8054874E}">
  <ds:schemaRefs/>
</ds:datastoreItem>
</file>

<file path=customXml/itemProps9.xml><?xml version="1.0" encoding="utf-8"?>
<ds:datastoreItem xmlns:ds="http://schemas.openxmlformats.org/officeDocument/2006/customXml" ds:itemID="{59F02DFA-CACF-445F-A744-79A71F5F044E}">
  <ds:schemaRefs/>
</ds:datastoreItem>
</file>

<file path=docProps/app.xml><?xml version="1.0" encoding="utf-8"?>
<Properties xmlns="http://schemas.openxmlformats.org/officeDocument/2006/extended-properties" xmlns:vt="http://schemas.openxmlformats.org/officeDocument/2006/docPropsVTypes">
  <Template>Normal</Template>
  <Pages>39</Pages>
  <Words>1849</Words>
  <Characters>10544</Characters>
  <Lines>87</Lines>
  <Paragraphs>24</Paragraphs>
  <TotalTime>0</TotalTime>
  <ScaleCrop>false</ScaleCrop>
  <LinksUpToDate>false</LinksUpToDate>
  <CharactersWithSpaces>12369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2023-04-10T09:59:00Z</dcterms:created>
  <dc:creator>DELL</dc:creator>
  <cp:lastModifiedBy>DELL</cp:lastModifiedBy>
  <dcterms:modified xsi:type="dcterms:W3CDTF">2024-08-13T11:08:42Z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B334A8687D0D422DA02CE49FB69887AE</vt:lpwstr>
  </property>
</Properties>
</file>