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想</w:t>
      </w:r>
      <w:bookmarkStart w:id="0" w:name="_GoBack"/>
      <w:bookmarkEnd w:id="0"/>
    </w:p>
    <w:p>
      <w:pPr>
        <w:widowControl/>
        <w:spacing w:line="480" w:lineRule="exact"/>
        <w:jc w:val="left"/>
        <w:rPr>
          <w:rFonts w:ascii="宋体" w:hAnsi="宋体" w:eastAsia="宋体" w:cs="宋体"/>
          <w:b/>
          <w:color w:val="000000"/>
          <w:kern w:val="0"/>
          <w:sz w:val="44"/>
          <w:szCs w:val="44"/>
          <w:shd w:val="clear" w:color="auto" w:fill="FFFFFF"/>
        </w:rPr>
      </w:pPr>
      <w:r>
        <w:rPr>
          <w:rFonts w:hint="eastAsia" w:ascii="仿宋" w:hAnsi="仿宋" w:eastAsia="仿宋" w:cs="仿宋"/>
          <w:kern w:val="0"/>
          <w:sz w:val="32"/>
          <w:szCs w:val="32"/>
          <w:shd w:val="clear" w:color="auto" w:fill="FFFFFF"/>
        </w:rPr>
        <w:t>附件6：</w:t>
      </w:r>
    </w:p>
    <w:p>
      <w:pPr>
        <w:spacing w:line="480" w:lineRule="exact"/>
        <w:rPr>
          <w:rFonts w:ascii="宋体" w:hAnsi="宋体" w:eastAsia="宋体" w:cs="宋体"/>
          <w:b/>
          <w:color w:val="000000"/>
          <w:kern w:val="0"/>
          <w:sz w:val="44"/>
          <w:szCs w:val="44"/>
          <w:shd w:val="clear" w:color="auto" w:fill="FFFFFF"/>
        </w:rPr>
      </w:pPr>
      <w:r>
        <w:rPr>
          <w:rFonts w:hint="eastAsia" w:ascii="宋体" w:hAnsi="宋体"/>
          <w:b/>
          <w:sz w:val="44"/>
          <w:szCs w:val="44"/>
        </w:rPr>
        <w:t xml:space="preserve"> 丰州学区整体支出绩效评价</w:t>
      </w:r>
      <w:r>
        <w:rPr>
          <w:rFonts w:hint="eastAsia" w:ascii="宋体" w:hAnsi="宋体" w:eastAsia="宋体" w:cs="宋体"/>
          <w:b/>
          <w:color w:val="000000"/>
          <w:kern w:val="0"/>
          <w:sz w:val="44"/>
          <w:szCs w:val="44"/>
          <w:shd w:val="clear" w:color="auto" w:fill="FFFFFF"/>
        </w:rPr>
        <w:t>指标体系评分表</w:t>
      </w:r>
    </w:p>
    <w:p>
      <w:pPr>
        <w:spacing w:line="480" w:lineRule="exact"/>
        <w:rPr>
          <w:rFonts w:ascii="宋体" w:hAnsi="宋体" w:eastAsia="宋体" w:cs="宋体"/>
          <w:b/>
          <w:color w:val="000000"/>
          <w:kern w:val="0"/>
          <w:sz w:val="44"/>
          <w:szCs w:val="44"/>
          <w:shd w:val="clear" w:color="auto" w:fill="FFFFFF"/>
        </w:rPr>
      </w:pP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职责明确</w:t>
            </w:r>
            <w:r>
              <w:rPr>
                <w:rFonts w:hint="eastAsia" w:ascii="仿宋_GB2312" w:hAnsi="新宋体" w:eastAsia="仿宋_GB2312" w:cs="仿宋_GB2312"/>
                <w:kern w:val="0"/>
                <w:szCs w:val="21"/>
              </w:rPr>
              <w:t xml:space="preserve"> </w:t>
            </w:r>
            <w:r>
              <w:rPr>
                <w:rFonts w:ascii="仿宋_GB2312" w:hAnsi="新宋体" w:eastAsia="仿宋_GB2312" w:cs="仿宋_GB2312"/>
                <w:kern w:val="0"/>
                <w:szCs w:val="21"/>
              </w:rPr>
              <w:t>（1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符合（1）；</w:t>
            </w:r>
          </w:p>
          <w:p>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）－min（</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pPr>
              <w:widowControl/>
              <w:spacing w:line="240" w:lineRule="exact"/>
              <w:jc w:val="left"/>
              <w:rPr>
                <w:szCs w:val="21"/>
              </w:rPr>
            </w:pPr>
            <w:r>
              <w:rPr>
                <w:rFonts w:ascii="仿宋_GB2312" w:hAnsi="新宋体" w:eastAsia="仿宋_GB2312" w:cs="仿宋_GB2312"/>
                <w:kern w:val="0"/>
                <w:szCs w:val="21"/>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pPr>
              <w:widowControl/>
              <w:spacing w:line="240" w:lineRule="exact"/>
              <w:jc w:val="left"/>
              <w:rPr>
                <w:szCs w:val="21"/>
              </w:rPr>
            </w:pPr>
            <w:r>
              <w:rPr>
                <w:rFonts w:ascii="仿宋_GB2312" w:hAnsi="新宋体" w:eastAsia="仿宋_GB2312" w:cs="仿宋_GB2312"/>
                <w:kern w:val="0"/>
                <w:szCs w:val="21"/>
              </w:rPr>
              <w:t>3.项目的重大开支经过评估论证；</w:t>
            </w:r>
          </w:p>
          <w:p>
            <w:pPr>
              <w:widowControl/>
              <w:spacing w:line="240" w:lineRule="exact"/>
              <w:jc w:val="left"/>
              <w:rPr>
                <w:szCs w:val="21"/>
              </w:rPr>
            </w:pPr>
            <w:r>
              <w:rPr>
                <w:rFonts w:ascii="仿宋_GB2312" w:hAnsi="新宋体" w:eastAsia="仿宋_GB2312" w:cs="仿宋_GB2312"/>
                <w:kern w:val="0"/>
                <w:szCs w:val="21"/>
              </w:rPr>
              <w:t>4.符合部门预算批复的用途；</w:t>
            </w:r>
          </w:p>
          <w:p>
            <w:pPr>
              <w:widowControl/>
              <w:spacing w:line="240" w:lineRule="exact"/>
              <w:jc w:val="left"/>
              <w:rPr>
                <w:szCs w:val="21"/>
              </w:rPr>
            </w:pPr>
            <w:r>
              <w:rPr>
                <w:rFonts w:ascii="仿宋_GB2312" w:hAnsi="新宋体" w:eastAsia="仿宋_GB2312" w:cs="仿宋_GB2312"/>
                <w:kern w:val="0"/>
                <w:szCs w:val="21"/>
              </w:rPr>
              <w:t>5.不存在截留情况；</w:t>
            </w:r>
          </w:p>
          <w:p>
            <w:pPr>
              <w:widowControl/>
              <w:spacing w:line="240" w:lineRule="exact"/>
              <w:jc w:val="left"/>
              <w:rPr>
                <w:szCs w:val="21"/>
              </w:rPr>
            </w:pPr>
            <w:r>
              <w:rPr>
                <w:rFonts w:ascii="仿宋_GB2312" w:hAnsi="新宋体" w:eastAsia="仿宋_GB2312" w:cs="仿宋_GB2312"/>
                <w:kern w:val="0"/>
                <w:szCs w:val="21"/>
              </w:rPr>
              <w:t>6.不存在挤占情况；</w:t>
            </w:r>
          </w:p>
          <w:p>
            <w:pPr>
              <w:widowControl/>
              <w:spacing w:line="240" w:lineRule="exact"/>
              <w:jc w:val="left"/>
              <w:rPr>
                <w:szCs w:val="21"/>
              </w:rPr>
            </w:pPr>
            <w:r>
              <w:rPr>
                <w:rFonts w:ascii="仿宋_GB2312" w:hAnsi="新宋体" w:eastAsia="仿宋_GB2312" w:cs="仿宋_GB2312"/>
                <w:kern w:val="0"/>
                <w:szCs w:val="21"/>
              </w:rPr>
              <w:t>7.不存在挪用情况；</w:t>
            </w:r>
          </w:p>
          <w:p>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全部符合（8）；</w:t>
            </w:r>
          </w:p>
          <w:p>
            <w:pPr>
              <w:widowControl/>
              <w:spacing w:line="240" w:lineRule="exact"/>
              <w:jc w:val="left"/>
              <w:rPr>
                <w:szCs w:val="21"/>
              </w:rPr>
            </w:pPr>
            <w:r>
              <w:rPr>
                <w:rFonts w:ascii="仿宋_GB2312" w:hAnsi="新宋体" w:eastAsia="仿宋_GB2312" w:cs="仿宋_GB2312"/>
                <w:kern w:val="0"/>
                <w:szCs w:val="21"/>
              </w:rPr>
              <w:t>符合其中七项（6）；</w:t>
            </w:r>
          </w:p>
          <w:p>
            <w:pPr>
              <w:widowControl/>
              <w:spacing w:line="240" w:lineRule="exact"/>
              <w:jc w:val="left"/>
              <w:rPr>
                <w:szCs w:val="21"/>
              </w:rPr>
            </w:pPr>
            <w:r>
              <w:rPr>
                <w:rFonts w:ascii="仿宋_GB2312" w:hAnsi="新宋体" w:eastAsia="仿宋_GB2312" w:cs="仿宋_GB2312"/>
                <w:kern w:val="0"/>
                <w:szCs w:val="21"/>
              </w:rPr>
              <w:t>符合其中六项（4）；</w:t>
            </w:r>
          </w:p>
          <w:p>
            <w:pPr>
              <w:widowControl/>
              <w:spacing w:line="240" w:lineRule="exact"/>
              <w:jc w:val="left"/>
              <w:rPr>
                <w:szCs w:val="21"/>
              </w:rPr>
            </w:pPr>
            <w:r>
              <w:rPr>
                <w:rFonts w:ascii="仿宋_GB2312" w:hAnsi="新宋体" w:eastAsia="仿宋_GB2312" w:cs="仿宋_GB2312"/>
                <w:kern w:val="0"/>
                <w:szCs w:val="21"/>
              </w:rPr>
              <w:t>符合其中五项（2）；</w:t>
            </w:r>
          </w:p>
          <w:p>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1.公开预决算信息；</w:t>
            </w:r>
          </w:p>
          <w:p>
            <w:pPr>
              <w:widowControl/>
              <w:spacing w:line="240" w:lineRule="exact"/>
              <w:jc w:val="left"/>
              <w:rPr>
                <w:szCs w:val="21"/>
              </w:rPr>
            </w:pPr>
            <w:r>
              <w:rPr>
                <w:rFonts w:ascii="仿宋_GB2312" w:hAnsi="新宋体" w:eastAsia="仿宋_GB2312" w:cs="仿宋_GB2312"/>
                <w:kern w:val="0"/>
                <w:szCs w:val="21"/>
              </w:rPr>
              <w:t>2.按规定内容公开预决算信息；</w:t>
            </w:r>
          </w:p>
          <w:p>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1.基本财务管理制度健全；</w:t>
            </w:r>
          </w:p>
          <w:p>
            <w:pPr>
              <w:widowControl/>
              <w:spacing w:line="240" w:lineRule="exact"/>
              <w:jc w:val="left"/>
              <w:rPr>
                <w:szCs w:val="21"/>
              </w:rPr>
            </w:pPr>
            <w:r>
              <w:rPr>
                <w:rFonts w:ascii="仿宋_GB2312" w:hAnsi="新宋体" w:eastAsia="仿宋_GB2312" w:cs="仿宋_GB2312"/>
                <w:kern w:val="0"/>
                <w:szCs w:val="21"/>
              </w:rPr>
              <w:t>2.基础数据信息和会计信息资料真实；</w:t>
            </w:r>
          </w:p>
          <w:p>
            <w:pPr>
              <w:widowControl/>
              <w:spacing w:line="240" w:lineRule="exact"/>
              <w:jc w:val="left"/>
              <w:rPr>
                <w:szCs w:val="21"/>
              </w:rPr>
            </w:pPr>
            <w:r>
              <w:rPr>
                <w:rFonts w:ascii="仿宋_GB2312" w:hAnsi="新宋体" w:eastAsia="仿宋_GB2312" w:cs="仿宋_GB2312"/>
                <w:kern w:val="0"/>
                <w:szCs w:val="21"/>
              </w:rPr>
              <w:t>3.基础数据信息和会计信息资料完整；</w:t>
            </w:r>
          </w:p>
          <w:p>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符合全部四项（4）；</w:t>
            </w:r>
          </w:p>
          <w:p>
            <w:pPr>
              <w:widowControl/>
              <w:spacing w:line="240" w:lineRule="exact"/>
              <w:jc w:val="left"/>
              <w:rPr>
                <w:szCs w:val="21"/>
              </w:rPr>
            </w:pPr>
            <w:r>
              <w:rPr>
                <w:rFonts w:ascii="仿宋_GB2312" w:hAnsi="新宋体" w:eastAsia="仿宋_GB2312" w:cs="仿宋_GB2312"/>
                <w:kern w:val="0"/>
                <w:szCs w:val="21"/>
              </w:rPr>
              <w:t>符合其中三项（2）；</w:t>
            </w:r>
          </w:p>
          <w:p>
            <w:pPr>
              <w:widowControl/>
              <w:spacing w:line="240" w:lineRule="exact"/>
              <w:jc w:val="left"/>
              <w:rPr>
                <w:szCs w:val="21"/>
              </w:rPr>
            </w:pPr>
            <w:r>
              <w:rPr>
                <w:rFonts w:ascii="仿宋_GB2312" w:hAnsi="新宋体" w:eastAsia="仿宋_GB2312" w:cs="仿宋_GB2312"/>
                <w:kern w:val="0"/>
                <w:szCs w:val="21"/>
              </w:rPr>
              <w:t>符合其中两项（1）；</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1.资产保存完整；</w:t>
            </w:r>
          </w:p>
          <w:p>
            <w:pPr>
              <w:widowControl/>
              <w:spacing w:line="240" w:lineRule="exact"/>
              <w:jc w:val="left"/>
              <w:rPr>
                <w:szCs w:val="21"/>
              </w:rPr>
            </w:pPr>
            <w:r>
              <w:rPr>
                <w:rFonts w:ascii="仿宋_GB2312" w:hAnsi="新宋体" w:eastAsia="仿宋_GB2312" w:cs="仿宋_GB2312"/>
                <w:kern w:val="0"/>
                <w:szCs w:val="21"/>
              </w:rPr>
              <w:t>2.资产账务管理是否合规，帐实相符；</w:t>
            </w:r>
          </w:p>
          <w:p>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符合全部三项（3）；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根据年度主要任务分解表的的具体任务，逐项评价任务量化指标完成情况、实施效果和责任制建立情况。用以反映和考核部门（单位）履职工作任务目标的完成情况。评价要点：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p>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bl>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rPr>
          <w:rFonts w:ascii="仿宋" w:hAnsi="仿宋" w:eastAsia="仿宋" w:cs="仿宋"/>
          <w:b/>
          <w:bCs/>
          <w:sz w:val="30"/>
          <w:szCs w:val="30"/>
        </w:rPr>
      </w:pPr>
      <w:r>
        <w:rPr>
          <w:rFonts w:hint="eastAsia" w:ascii="仿宋" w:hAnsi="仿宋" w:eastAsia="仿宋" w:cs="仿宋"/>
          <w:b/>
          <w:bCs/>
          <w:sz w:val="30"/>
          <w:szCs w:val="30"/>
        </w:rPr>
        <w:t>部门整体支出绩效评价报告主要内容包括：</w:t>
      </w:r>
    </w:p>
    <w:p>
      <w:pPr>
        <w:ind w:firstLine="642" w:firstLineChars="200"/>
        <w:rPr>
          <w:rFonts w:ascii="仿宋" w:hAnsi="仿宋" w:eastAsia="仿宋" w:cs="仿宋"/>
          <w:b/>
          <w:sz w:val="32"/>
          <w:szCs w:val="32"/>
        </w:rPr>
      </w:pPr>
      <w:r>
        <w:rPr>
          <w:rFonts w:hint="eastAsia" w:ascii="仿宋" w:hAnsi="仿宋" w:eastAsia="仿宋" w:cs="仿宋"/>
          <w:b/>
          <w:sz w:val="32"/>
          <w:szCs w:val="32"/>
        </w:rPr>
        <w:t>一、基本概况。</w:t>
      </w:r>
    </w:p>
    <w:p>
      <w:pPr>
        <w:ind w:firstLine="642" w:firstLineChars="200"/>
        <w:rPr>
          <w:rFonts w:ascii="仿宋" w:hAnsi="仿宋" w:eastAsia="仿宋" w:cs="仿宋"/>
          <w:b/>
          <w:sz w:val="32"/>
          <w:szCs w:val="32"/>
        </w:rPr>
      </w:pPr>
      <w:r>
        <w:rPr>
          <w:rFonts w:hint="eastAsia" w:ascii="仿宋" w:hAnsi="仿宋" w:eastAsia="仿宋" w:cs="仿宋"/>
          <w:b/>
          <w:sz w:val="32"/>
          <w:szCs w:val="32"/>
        </w:rPr>
        <w:t>1、部门主要职责职能</w:t>
      </w:r>
    </w:p>
    <w:p>
      <w:pPr>
        <w:pStyle w:val="17"/>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加强基础教育，以推进义务教育均衡发展为重点，深入推进基础教育教学改革，切实减轻小学生的课业负担，加强小学德育教育工作，全面实施素质教育。</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（一）贯彻落实党和国家教育工作的方针、政策和法律法规。</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（二）指导各级各类学校的教育教学改革，负责教育基本信息的统计、分析和发布。</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（三）综合管理全县基础教育、工作；负责推进义务教育均衡发展和促进教育公平，负责义务教育的管理和协调；负责社会力量举办的各级各类学校的管理工作。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（四）负责推进并指导各级各类学校的教育教学改革和科研工作；负责全面实施素质教育，提高教学质量和水平。</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（五）负责指导辖区的教育督导工作，负责并指导基础教育发展水平、质量的监测工作。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（六）负责管理本部门教育经费和县拨教育经费并对各项经费使用情况进行审计监督；实施对家庭困难学生的资助工作。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（七）按照干部管理权限和程序，办理调动、奖惩、离退休审批手续；负责学校后备干部的管理及队伍建设工作。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（八）指导学校的党建、思想政治、维护稳定和德育、体育、卫生与艺术教育、国防教育工作；负责学校的法制建设和安全稳定工作的监督管理；负责管理并指导各学校心理健康教育工作。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（九）负责各级各类学校学籍管理工作。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（十）负责规划、指导教育、教学工作；根据教学大纲，落实学科教学计划，负责教学常规管理、课程改革和教育教学改革试点及推广工作。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（十一）负责语言文字工作，组织协调并监督检查汉语文字规范及标准的实施，推广和普及普通话。</w:t>
      </w:r>
    </w:p>
    <w:p>
      <w:pPr>
        <w:ind w:firstLine="642" w:firstLineChars="200"/>
        <w:jc w:val="left"/>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、部门履职总体目标</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年，我学区</w:t>
      </w:r>
      <w:r>
        <w:rPr>
          <w:rFonts w:ascii="仿宋" w:hAnsi="仿宋" w:eastAsia="仿宋" w:cs="仿宋"/>
          <w:sz w:val="32"/>
          <w:szCs w:val="32"/>
        </w:rPr>
        <w:t>积极构建与经济社会发展、与人民群众需求相适应的教育体系</w:t>
      </w:r>
      <w:r>
        <w:rPr>
          <w:rFonts w:hint="eastAsia" w:ascii="仿宋" w:hAnsi="仿宋" w:eastAsia="仿宋" w:cs="仿宋"/>
          <w:sz w:val="32"/>
          <w:szCs w:val="32"/>
        </w:rPr>
        <w:t>以习近平新时代中国特色社会主义思想为指导，贯彻党的教育方针，落实“立德树人”根本任务。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（一）、着力加强党的领导，统领教育各项工作</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学习、宣传、贯彻、落实党的十九大精神。通过抓好大学习、组织大宣讲、营造大氛围、开展大调研、推进大落实等系列活动和“不忘初心、牢记使命”主题教育，广泛开展十九大精神进校园等系列活动，坚持在“学懂”“弄通”“做实”上狠下功夫，深刻领会十九大精神实质，理清发展思路，明确奋斗目标，狠抓工作落实。</w:t>
      </w:r>
    </w:p>
    <w:p>
      <w:pPr>
        <w:spacing w:line="600" w:lineRule="exact"/>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规范党建阵地建设。学校党组织办公场所规范，有独立的办公室，有党组织标识牌，有办公设施；有发展党员工作流程，有本单位党员名册、入党积极分子名册、入党申请人名册；有年度党建工作计划、发展党员工作计划、党风廉政教育计划；有党费收缴档案、党组织活动档案、先进事迹档案、影像档案；有“三会一课”记录、民主生活会记录、谈心谈话记录、廉政教育记录等。</w:t>
      </w:r>
      <w:r>
        <w:rPr>
          <w:rFonts w:ascii="仿宋" w:hAnsi="仿宋" w:eastAsia="仿宋" w:cs="仿宋"/>
          <w:sz w:val="32"/>
          <w:szCs w:val="32"/>
        </w:rPr>
        <w:br w:type="textWrapping"/>
      </w:r>
      <w:r>
        <w:rPr>
          <w:rFonts w:ascii="仿宋" w:hAnsi="仿宋" w:eastAsia="仿宋" w:cs="仿宋"/>
          <w:sz w:val="32"/>
          <w:szCs w:val="32"/>
        </w:rPr>
        <w:t xml:space="preserve">    4.</w:t>
      </w:r>
      <w:r>
        <w:rPr>
          <w:rFonts w:hint="eastAsia" w:ascii="仿宋" w:hAnsi="仿宋" w:eastAsia="仿宋" w:cs="仿宋"/>
          <w:sz w:val="32"/>
          <w:szCs w:val="32"/>
        </w:rPr>
        <w:t>规范党建制度建设。一是规范学习教育制度。制定年度学习教育计划，党员每周一参加党组织举办的集中性学习活动。建立健全学习培训档案，全面准确记录党员学习培训情况。二是规范“三会一课”、民主评议党员等基本制度。坚持每季度召开</w:t>
      </w:r>
      <w:r>
        <w:rPr>
          <w:rFonts w:ascii="仿宋" w:hAnsi="仿宋" w:eastAsia="仿宋" w:cs="仿宋"/>
          <w:sz w:val="32"/>
          <w:szCs w:val="32"/>
        </w:rPr>
        <w:t>1</w:t>
      </w:r>
      <w:r>
        <w:rPr>
          <w:rFonts w:hint="eastAsia" w:ascii="仿宋" w:hAnsi="仿宋" w:eastAsia="仿宋" w:cs="仿宋"/>
          <w:sz w:val="32"/>
          <w:szCs w:val="32"/>
        </w:rPr>
        <w:t>次支部党员大会，每月召开</w:t>
      </w:r>
      <w:r>
        <w:rPr>
          <w:rFonts w:ascii="仿宋" w:hAnsi="仿宋" w:eastAsia="仿宋" w:cs="仿宋"/>
          <w:sz w:val="32"/>
          <w:szCs w:val="32"/>
        </w:rPr>
        <w:t>1</w:t>
      </w:r>
      <w:r>
        <w:rPr>
          <w:rFonts w:hint="eastAsia" w:ascii="仿宋" w:hAnsi="仿宋" w:eastAsia="仿宋" w:cs="仿宋"/>
          <w:sz w:val="32"/>
          <w:szCs w:val="32"/>
        </w:rPr>
        <w:t>次支部委员会，三是规范发展党员制度。严格贯彻党员发展制度，严把“入口”关，规范入党发展对象、入党积极分子、预备党员保持比例，推进党员后备力量建设。四是党员示范岗制度。党员充分发挥基层党组织的战斗堡垒和党员的先锋模范作用，引领学校正风正气。</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狠抓党风廉政建设。查处和纠正损害师生利益、反映强烈的不正之风和腐败问题，时刻绷紧廉洁自律之弦。对易发生问题的教辅征订、校服订购、收费、有偿家教、食堂承包、项目招投标、干部选拔、评选表彰、职称评聘等方面，加强规范性制度建设，落实党务、校务公开制度，完善学校教代会运行机制，保障师生、家长和社会的知情权、参与权和监督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（三）、深入推进教育改革，全面提高教育质量</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持之以恒抓两支队伍建设。严格队伍管理，加强师德师风建设，强化师资培训，缩小城乡教师的教学水平差距，提高队伍整体素质。</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坚持实施素质教育。从基础教育抓起，全面推行魏书生教育思想和李希贵教学改革。继续抓好教学教研工作，监管教学工作全过程，大力提升教学质量。</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（四）、抓好德育管理和活动育人，贯彻立德树人根本任务</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大力推进文明校园创建。开展“最美少年”“书香校园”主题实践活动，开展德育工作经典案例征集。充分挖掘平乡红色文化、传统文化、自行车文化等时代价值。</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强化师德师风建设。以习近平新时代中国特色社会主义思想武装教职工头脑，抓实抓好教育系统意识形态工作，建立常态化政治理论学习制度。加强职业理想、心理健康教育，引导教师自觉遵守《中小学教师职业道德规范》，牢固树立“四个意识”，坚定理想信念，争做“四有”好老师。把师德表现作为年度考核、职称评审、岗位聘用、评优奖励的首要标准。加大违反师德行为的查处力度，对监管不力的学校，严格追究相关责任人管理责任。</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着力减轻学生过重课业负担。落实中央提出的“着力解决中小学生课业负担重，择校热、大班额等突出问题”的要求，督促学校提高课堂质量，针对性地为有需求的学生提高个性化教学内容，坚决遏制极少数教师热衷课外家教，加重学生和家长负担、谋取不当利益的行为。</w:t>
      </w:r>
    </w:p>
    <w:p>
      <w:pPr>
        <w:pStyle w:val="19"/>
        <w:ind w:firstLine="643"/>
        <w:rPr>
          <w:rFonts w:ascii="仿宋" w:hAnsi="仿宋" w:eastAsia="仿宋" w:cs="仿宋"/>
          <w:b/>
          <w:sz w:val="32"/>
          <w:szCs w:val="32"/>
        </w:rPr>
      </w:pPr>
      <w:r>
        <w:rPr>
          <w:rFonts w:ascii="仿宋" w:hAnsi="仿宋" w:eastAsia="仿宋" w:cs="仿宋"/>
          <w:b/>
          <w:sz w:val="32"/>
          <w:szCs w:val="32"/>
        </w:rPr>
        <w:t>3</w:t>
      </w:r>
      <w:r>
        <w:rPr>
          <w:rFonts w:hint="eastAsia" w:ascii="仿宋" w:hAnsi="仿宋" w:eastAsia="仿宋" w:cs="仿宋"/>
          <w:b/>
          <w:sz w:val="32"/>
          <w:szCs w:val="32"/>
        </w:rPr>
        <w:t>、预算资金安排及资金支出情况。</w:t>
      </w:r>
    </w:p>
    <w:p>
      <w:pPr>
        <w:pStyle w:val="19"/>
        <w:ind w:firstLine="640"/>
        <w:rPr>
          <w:rFonts w:ascii="仿宋" w:hAnsi="仿宋" w:eastAsia="仿宋" w:cs="仿宋"/>
          <w:sz w:val="32"/>
          <w:szCs w:val="32"/>
        </w:rPr>
      </w:pPr>
      <w:r>
        <w:rPr>
          <w:rFonts w:ascii="仿宋" w:hAnsi="仿宋" w:eastAsia="仿宋" w:cs="仿宋"/>
          <w:sz w:val="32"/>
          <w:szCs w:val="32"/>
        </w:rPr>
        <w:t>2020</w:t>
      </w:r>
      <w:r>
        <w:rPr>
          <w:rFonts w:hint="eastAsia" w:ascii="仿宋" w:hAnsi="仿宋" w:eastAsia="仿宋" w:cs="仿宋"/>
          <w:sz w:val="32"/>
          <w:szCs w:val="32"/>
        </w:rPr>
        <w:t>年教育预算资金安排3159.3547万元，其中一、一般公共预算财政拨款3159.3547万元；支出3159.3547万元，其中工资福利支出2118.4101万元，商品和服务支出869.45万元，对个人和家庭的补助支出171.4946万元，基本性支出0万元。</w:t>
      </w:r>
    </w:p>
    <w:p>
      <w:pPr>
        <w:ind w:left="643"/>
        <w:rPr>
          <w:rFonts w:ascii="仿宋" w:hAnsi="仿宋" w:eastAsia="仿宋" w:cs="仿宋"/>
          <w:sz w:val="32"/>
          <w:szCs w:val="32"/>
        </w:rPr>
      </w:pPr>
      <w:r>
        <w:rPr>
          <w:rFonts w:hint="eastAsia" w:ascii="仿宋" w:hAnsi="仿宋" w:eastAsia="仿宋" w:cs="仿宋"/>
          <w:b/>
          <w:sz w:val="32"/>
          <w:szCs w:val="32"/>
        </w:rPr>
        <w:t>二、预算绩效管理开展及整体绩效实现情况。</w:t>
      </w:r>
      <w:r>
        <w:rPr>
          <w:rFonts w:ascii="仿宋" w:hAnsi="仿宋" w:eastAsia="仿宋" w:cs="仿宋"/>
          <w:sz w:val="32"/>
          <w:szCs w:val="32"/>
        </w:rPr>
        <w:t xml:space="preserve"> </w:t>
      </w:r>
    </w:p>
    <w:p>
      <w:pPr>
        <w:pStyle w:val="7"/>
        <w:shd w:val="clear" w:color="auto" w:fill="FFFFFF"/>
        <w:spacing w:before="0" w:beforeAutospacing="0" w:after="0" w:afterAutospacing="0" w:line="450" w:lineRule="atLeast"/>
        <w:ind w:firstLine="640" w:firstLineChars="200"/>
        <w:rPr>
          <w:rFonts w:ascii="仿宋" w:hAnsi="仿宋" w:eastAsia="仿宋" w:cs="仿宋"/>
          <w:kern w:val="2"/>
          <w:sz w:val="32"/>
          <w:szCs w:val="32"/>
        </w:rPr>
      </w:pPr>
      <w:r>
        <w:rPr>
          <w:rFonts w:ascii="仿宋" w:hAnsi="仿宋" w:eastAsia="仿宋" w:cs="仿宋"/>
          <w:kern w:val="2"/>
          <w:sz w:val="32"/>
          <w:szCs w:val="32"/>
        </w:rPr>
        <w:t>2020</w:t>
      </w:r>
      <w:r>
        <w:rPr>
          <w:rFonts w:hint="eastAsia" w:ascii="仿宋" w:hAnsi="仿宋" w:eastAsia="仿宋" w:cs="仿宋"/>
          <w:kern w:val="2"/>
          <w:sz w:val="32"/>
          <w:szCs w:val="32"/>
        </w:rPr>
        <w:t>年，我学区按照省市县的考核要求，积极开展预算绩效管理工作，实现预算绩效管理全过程化。县本级一般公共预算资金的绩效目标、绩效监控、绩效自评、整体支出覆盖率分别为</w:t>
      </w:r>
      <w:r>
        <w:rPr>
          <w:rFonts w:ascii="仿宋" w:hAnsi="仿宋" w:eastAsia="仿宋" w:cs="仿宋"/>
          <w:kern w:val="2"/>
          <w:sz w:val="32"/>
          <w:szCs w:val="32"/>
        </w:rPr>
        <w:t>99.12%</w:t>
      </w:r>
      <w:r>
        <w:rPr>
          <w:rFonts w:hint="eastAsia" w:ascii="仿宋" w:hAnsi="仿宋" w:eastAsia="仿宋" w:cs="仿宋"/>
          <w:kern w:val="2"/>
          <w:sz w:val="32"/>
          <w:szCs w:val="32"/>
        </w:rPr>
        <w:t>、</w:t>
      </w:r>
      <w:r>
        <w:rPr>
          <w:rFonts w:ascii="仿宋" w:hAnsi="仿宋" w:eastAsia="仿宋" w:cs="仿宋"/>
          <w:kern w:val="2"/>
          <w:sz w:val="32"/>
          <w:szCs w:val="32"/>
        </w:rPr>
        <w:t>99.12%</w:t>
      </w:r>
      <w:r>
        <w:rPr>
          <w:rFonts w:hint="eastAsia" w:ascii="仿宋" w:hAnsi="仿宋" w:eastAsia="仿宋" w:cs="仿宋"/>
          <w:kern w:val="2"/>
          <w:sz w:val="32"/>
          <w:szCs w:val="32"/>
        </w:rPr>
        <w:t>、</w:t>
      </w:r>
      <w:r>
        <w:rPr>
          <w:rFonts w:ascii="仿宋" w:hAnsi="仿宋" w:eastAsia="仿宋" w:cs="仿宋"/>
          <w:kern w:val="2"/>
          <w:sz w:val="32"/>
          <w:szCs w:val="32"/>
        </w:rPr>
        <w:t>92.45%</w:t>
      </w:r>
      <w:r>
        <w:rPr>
          <w:rFonts w:hint="eastAsia" w:ascii="仿宋" w:hAnsi="仿宋" w:eastAsia="仿宋" w:cs="仿宋"/>
          <w:kern w:val="2"/>
          <w:sz w:val="32"/>
          <w:szCs w:val="32"/>
        </w:rPr>
        <w:t>、</w:t>
      </w:r>
      <w:r>
        <w:rPr>
          <w:rFonts w:ascii="仿宋" w:hAnsi="仿宋" w:eastAsia="仿宋" w:cs="仿宋"/>
          <w:kern w:val="2"/>
          <w:sz w:val="32"/>
          <w:szCs w:val="32"/>
        </w:rPr>
        <w:t>0.6%</w:t>
      </w:r>
      <w:r>
        <w:rPr>
          <w:rFonts w:hint="eastAsia" w:ascii="仿宋" w:hAnsi="仿宋" w:eastAsia="仿宋" w:cs="仿宋"/>
          <w:kern w:val="2"/>
          <w:sz w:val="32"/>
          <w:szCs w:val="32"/>
        </w:rPr>
        <w:t>。乘以各项相应权重，我学区</w:t>
      </w:r>
      <w:r>
        <w:rPr>
          <w:rFonts w:ascii="仿宋" w:hAnsi="仿宋" w:eastAsia="仿宋" w:cs="仿宋"/>
          <w:kern w:val="2"/>
          <w:sz w:val="32"/>
          <w:szCs w:val="32"/>
        </w:rPr>
        <w:t>2020</w:t>
      </w:r>
      <w:r>
        <w:rPr>
          <w:rFonts w:hint="eastAsia" w:ascii="仿宋" w:hAnsi="仿宋" w:eastAsia="仿宋" w:cs="仿宋"/>
          <w:kern w:val="2"/>
          <w:sz w:val="32"/>
          <w:szCs w:val="32"/>
        </w:rPr>
        <w:t>年的财政资金绩效覆盖率为</w:t>
      </w:r>
      <w:r>
        <w:rPr>
          <w:rFonts w:ascii="仿宋" w:hAnsi="仿宋" w:eastAsia="仿宋" w:cs="仿宋"/>
          <w:kern w:val="2"/>
          <w:sz w:val="32"/>
          <w:szCs w:val="32"/>
        </w:rPr>
        <w:t>93%</w:t>
      </w:r>
      <w:r>
        <w:rPr>
          <w:rFonts w:hint="eastAsia" w:ascii="仿宋" w:hAnsi="仿宋" w:eastAsia="仿宋" w:cs="仿宋"/>
          <w:kern w:val="2"/>
          <w:sz w:val="32"/>
          <w:szCs w:val="32"/>
        </w:rPr>
        <w:t>。　</w:t>
      </w:r>
    </w:p>
    <w:p>
      <w:pPr>
        <w:pStyle w:val="7"/>
        <w:shd w:val="clear" w:color="auto" w:fill="FFFFFF"/>
        <w:spacing w:before="0" w:beforeAutospacing="0" w:after="0" w:afterAutospacing="0" w:line="450" w:lineRule="atLeast"/>
        <w:ind w:firstLine="640" w:firstLineChars="200"/>
        <w:rPr>
          <w:sz w:val="32"/>
          <w:szCs w:val="32"/>
        </w:rPr>
      </w:pPr>
      <w:r>
        <w:rPr>
          <w:rFonts w:hint="eastAsia"/>
          <w:kern w:val="2"/>
          <w:sz w:val="32"/>
          <w:szCs w:val="32"/>
        </w:rPr>
        <w:t>　</w:t>
      </w:r>
      <w:r>
        <w:rPr>
          <w:rFonts w:hint="eastAsia"/>
          <w:b/>
          <w:sz w:val="32"/>
          <w:szCs w:val="32"/>
        </w:rPr>
        <w:t>三、绩效评价的组织实施</w:t>
      </w:r>
      <w:r>
        <w:rPr>
          <w:rFonts w:hint="eastAsia"/>
          <w:sz w:val="32"/>
          <w:szCs w:val="32"/>
        </w:rPr>
        <w:t>情况。</w:t>
      </w:r>
    </w:p>
    <w:p>
      <w:pPr>
        <w:ind w:firstLine="640" w:firstLineChars="200"/>
        <w:rPr>
          <w:rFonts w:ascii="仿宋" w:hAnsi="仿宋" w:eastAsia="仿宋" w:cs="仿宋"/>
          <w:sz w:val="32"/>
          <w:szCs w:val="32"/>
        </w:rPr>
      </w:pPr>
      <w:r>
        <w:rPr>
          <w:rFonts w:hint="eastAsia" w:ascii="仿宋" w:hAnsi="仿宋" w:eastAsia="仿宋" w:cs="仿宋"/>
          <w:sz w:val="32"/>
          <w:szCs w:val="32"/>
        </w:rPr>
        <w:t>绩效自评的流程包括制定工作方案，填报项目自评表以及撰写绩效评价报告</w:t>
      </w:r>
    </w:p>
    <w:p>
      <w:pPr>
        <w:ind w:left="640"/>
        <w:rPr>
          <w:rFonts w:ascii="仿宋" w:hAnsi="仿宋" w:eastAsia="仿宋" w:cs="仿宋"/>
          <w:b/>
          <w:sz w:val="32"/>
          <w:szCs w:val="32"/>
        </w:rPr>
      </w:pPr>
      <w:r>
        <w:rPr>
          <w:rFonts w:hint="eastAsia" w:ascii="仿宋" w:hAnsi="仿宋" w:eastAsia="仿宋" w:cs="仿宋"/>
          <w:b/>
          <w:sz w:val="32"/>
          <w:szCs w:val="32"/>
        </w:rPr>
        <w:t>四、各项绩效目标的实现程度及差异性原因分析。</w:t>
      </w:r>
    </w:p>
    <w:p>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pPr>
        <w:ind w:left="643"/>
        <w:rPr>
          <w:rFonts w:ascii="仿宋" w:hAnsi="仿宋" w:eastAsia="仿宋" w:cs="仿宋"/>
          <w:b/>
          <w:sz w:val="32"/>
          <w:szCs w:val="32"/>
        </w:rPr>
      </w:pPr>
      <w:r>
        <w:rPr>
          <w:rFonts w:hint="eastAsia" w:ascii="仿宋" w:hAnsi="仿宋" w:eastAsia="仿宋" w:cs="仿宋"/>
          <w:b/>
          <w:sz w:val="32"/>
          <w:szCs w:val="32"/>
        </w:rPr>
        <w:t>五、存在问题、采取的纠偏措施及改进绩效管理建议。</w:t>
      </w:r>
    </w:p>
    <w:p>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需相关业务处室将全年工作任务细化分解为具体的工作目标，并尽量采取定量的方式制定清晰、可衡量的绩效指标，提高项目使用经济功能精确度。</w:t>
      </w:r>
    </w:p>
    <w:p>
      <w:pPr>
        <w:ind w:left="643"/>
        <w:rPr>
          <w:rFonts w:ascii="仿宋" w:hAnsi="仿宋" w:eastAsia="仿宋" w:cs="仿宋"/>
          <w:b/>
          <w:sz w:val="32"/>
          <w:szCs w:val="32"/>
        </w:rPr>
      </w:pPr>
      <w:r>
        <w:rPr>
          <w:rFonts w:hint="eastAsia" w:ascii="仿宋" w:hAnsi="仿宋" w:eastAsia="仿宋" w:cs="仿宋"/>
          <w:b/>
          <w:sz w:val="32"/>
          <w:szCs w:val="32"/>
        </w:rPr>
        <w:t>六、其他需要说明的问题。</w:t>
      </w:r>
    </w:p>
    <w:p>
      <w:pPr>
        <w:ind w:firstLine="640" w:firstLineChars="200"/>
        <w:rPr>
          <w:rFonts w:ascii="仿宋" w:hAnsi="仿宋" w:eastAsia="仿宋" w:cs="仿宋"/>
          <w:sz w:val="32"/>
          <w:szCs w:val="32"/>
        </w:rPr>
      </w:pPr>
      <w:r>
        <w:rPr>
          <w:rFonts w:hint="eastAsia" w:ascii="仿宋" w:hAnsi="仿宋" w:eastAsia="仿宋" w:cs="仿宋"/>
          <w:sz w:val="32"/>
          <w:szCs w:val="32"/>
        </w:rPr>
        <w:t>无</w:t>
      </w:r>
    </w:p>
    <w:p>
      <w:pPr>
        <w:rPr>
          <w:rFonts w:ascii="仿宋" w:hAnsi="仿宋" w:eastAsia="仿宋" w:cs="仿宋"/>
          <w:sz w:val="32"/>
          <w:szCs w:val="32"/>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
    <w:altName w:val="仿宋_GB2312"/>
    <w:panose1 w:val="02010609060101010101"/>
    <w:charset w:val="86"/>
    <w:family w:val="modern"/>
    <w:pitch w:val="default"/>
    <w:sig w:usb0="00000000" w:usb1="00000000" w:usb2="00000016" w:usb3="00000000" w:csb0="00040001" w:csb1="00000000"/>
  </w:font>
  <w:font w:name="新宋体">
    <w:altName w:val="方正书宋_GBK"/>
    <w:panose1 w:val="0201060903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8</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4A5A"/>
    <w:rsid w:val="00103547"/>
    <w:rsid w:val="0017068B"/>
    <w:rsid w:val="00185A3C"/>
    <w:rsid w:val="00192D5A"/>
    <w:rsid w:val="001C59B3"/>
    <w:rsid w:val="001E0886"/>
    <w:rsid w:val="001F7E31"/>
    <w:rsid w:val="00201973"/>
    <w:rsid w:val="002071BC"/>
    <w:rsid w:val="00225AE6"/>
    <w:rsid w:val="00235F0F"/>
    <w:rsid w:val="00255783"/>
    <w:rsid w:val="00290BA1"/>
    <w:rsid w:val="002A6AEA"/>
    <w:rsid w:val="002F2268"/>
    <w:rsid w:val="003C50C2"/>
    <w:rsid w:val="0041099F"/>
    <w:rsid w:val="00436A1D"/>
    <w:rsid w:val="004379D7"/>
    <w:rsid w:val="004516FC"/>
    <w:rsid w:val="004A68B1"/>
    <w:rsid w:val="004B64F3"/>
    <w:rsid w:val="004E3B64"/>
    <w:rsid w:val="004F7327"/>
    <w:rsid w:val="005020C5"/>
    <w:rsid w:val="00567FE6"/>
    <w:rsid w:val="0058162A"/>
    <w:rsid w:val="005B3616"/>
    <w:rsid w:val="005E12FA"/>
    <w:rsid w:val="00683167"/>
    <w:rsid w:val="006A5056"/>
    <w:rsid w:val="006E64C9"/>
    <w:rsid w:val="007048FF"/>
    <w:rsid w:val="00712100"/>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B7F2F"/>
    <w:rsid w:val="009C04DA"/>
    <w:rsid w:val="009C4C62"/>
    <w:rsid w:val="009E3627"/>
    <w:rsid w:val="009F53E7"/>
    <w:rsid w:val="00A11BF8"/>
    <w:rsid w:val="00A14A33"/>
    <w:rsid w:val="00A6449D"/>
    <w:rsid w:val="00A768DB"/>
    <w:rsid w:val="00AA09C8"/>
    <w:rsid w:val="00AD5F30"/>
    <w:rsid w:val="00B0681D"/>
    <w:rsid w:val="00B25113"/>
    <w:rsid w:val="00B4371D"/>
    <w:rsid w:val="00B9023F"/>
    <w:rsid w:val="00BC1FDC"/>
    <w:rsid w:val="00BD0FD8"/>
    <w:rsid w:val="00C44804"/>
    <w:rsid w:val="00C6362A"/>
    <w:rsid w:val="00C81363"/>
    <w:rsid w:val="00CA0206"/>
    <w:rsid w:val="00CB27A5"/>
    <w:rsid w:val="00CD55ED"/>
    <w:rsid w:val="00CD63C0"/>
    <w:rsid w:val="00CE62A0"/>
    <w:rsid w:val="00D21F0C"/>
    <w:rsid w:val="00D366C1"/>
    <w:rsid w:val="00D4480C"/>
    <w:rsid w:val="00D877F7"/>
    <w:rsid w:val="00DB2D43"/>
    <w:rsid w:val="00E266F1"/>
    <w:rsid w:val="00EB16A8"/>
    <w:rsid w:val="00EC7904"/>
    <w:rsid w:val="00F6481E"/>
    <w:rsid w:val="00F72E93"/>
    <w:rsid w:val="00F87A11"/>
    <w:rsid w:val="00FB7E01"/>
    <w:rsid w:val="00FE5F4C"/>
    <w:rsid w:val="00FF39F6"/>
    <w:rsid w:val="05374814"/>
    <w:rsid w:val="0F8F6BFC"/>
    <w:rsid w:val="30D91D3B"/>
    <w:rsid w:val="3791647A"/>
    <w:rsid w:val="455969D8"/>
    <w:rsid w:val="4E5CDA02"/>
    <w:rsid w:val="526A3656"/>
    <w:rsid w:val="5B2F3725"/>
    <w:rsid w:val="5D643D56"/>
    <w:rsid w:val="69BD0A47"/>
    <w:rsid w:val="71A911C9"/>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unhideWhenUsed/>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uiPriority w:val="99"/>
    <w:rPr>
      <w:sz w:val="18"/>
      <w:szCs w:val="18"/>
    </w:rPr>
  </w:style>
  <w:style w:type="character" w:customStyle="1" w:styleId="14">
    <w:name w:val="纯文本 字符"/>
    <w:basedOn w:val="9"/>
    <w:link w:val="4"/>
    <w:qFormat/>
    <w:uiPriority w:val="0"/>
    <w:rPr>
      <w:rFonts w:ascii="宋体" w:hAnsi="Courier New" w:eastAsia="宋体" w:cs="Courier New"/>
      <w:szCs w:val="21"/>
    </w:rPr>
  </w:style>
  <w:style w:type="character" w:customStyle="1" w:styleId="15">
    <w:name w:val="标题 1 字符"/>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customStyle="1" w:styleId="17">
    <w:name w:val="p05"/>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 w:type="paragraph" w:customStyle="1" w:styleId="18">
    <w:name w:val="p01"/>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 w:type="paragraph" w:customStyle="1" w:styleId="19">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1205</Words>
  <Characters>6872</Characters>
  <Lines>57</Lines>
  <Paragraphs>16</Paragraphs>
  <TotalTime>23</TotalTime>
  <ScaleCrop>false</ScaleCrop>
  <LinksUpToDate>false</LinksUpToDate>
  <CharactersWithSpaces>8061</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2016-02-22T15:07:00Z</dcterms:created>
  <dc:creator>Administrator</dc:creator>
  <cp:lastModifiedBy>sss</cp:lastModifiedBy>
  <cp:lastPrinted>2018-11-29T11:23:00Z</cp:lastPrinted>
  <dcterms:modified xsi:type="dcterms:W3CDTF">2025-04-10T09:35:47Z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2FD4DDDA655E64057320F767583C75B6</vt:lpwstr>
  </property>
</Properties>
</file>