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ascii="仿宋" w:hAnsi="仿宋" w:eastAsia="仿宋" w:cs="仿宋"/>
          <w:kern w:val="0"/>
          <w:sz w:val="32"/>
          <w:szCs w:val="32"/>
          <w:shd w:val="clear" w:color="auto" w:fill="FFFFFF"/>
        </w:rPr>
      </w:pPr>
      <w:bookmarkStart w:id="0" w:name="_GoBack"/>
      <w:bookmarkEnd w:id="0"/>
      <w:r>
        <w:rPr>
          <w:rFonts w:hint="eastAsia" w:ascii="仿宋" w:hAnsi="仿宋" w:eastAsia="仿宋" w:cs="仿宋"/>
          <w:kern w:val="0"/>
          <w:sz w:val="32"/>
          <w:szCs w:val="32"/>
          <w:shd w:val="clear" w:color="auto" w:fill="FFFFFF"/>
        </w:rPr>
        <w:t>附件</w:t>
      </w:r>
      <w:r>
        <w:rPr>
          <w:rFonts w:ascii="仿宋" w:hAnsi="仿宋" w:eastAsia="仿宋" w:cs="仿宋"/>
          <w:kern w:val="0"/>
          <w:sz w:val="32"/>
          <w:szCs w:val="32"/>
          <w:shd w:val="clear" w:color="auto" w:fill="FFFFFF"/>
        </w:rPr>
        <w:t>6</w:t>
      </w:r>
      <w:r>
        <w:rPr>
          <w:rFonts w:hint="eastAsia" w:ascii="仿宋" w:hAnsi="仿宋" w:eastAsia="仿宋" w:cs="仿宋"/>
          <w:kern w:val="0"/>
          <w:sz w:val="32"/>
          <w:szCs w:val="32"/>
          <w:shd w:val="clear" w:color="auto" w:fill="FFFFFF"/>
        </w:rPr>
        <w:t>：</w:t>
      </w:r>
    </w:p>
    <w:p>
      <w:pPr>
        <w:spacing w:line="480" w:lineRule="exact"/>
        <w:jc w:val="center"/>
        <w:rPr>
          <w:rFonts w:ascii="宋体" w:cs="宋体"/>
          <w:b/>
          <w:color w:val="000000"/>
          <w:kern w:val="0"/>
          <w:sz w:val="32"/>
          <w:szCs w:val="32"/>
          <w:shd w:val="clear" w:color="auto" w:fill="FFFFFF"/>
        </w:rPr>
      </w:pPr>
      <w:r>
        <w:rPr>
          <w:rFonts w:hint="eastAsia" w:ascii="宋体" w:hAnsi="宋体"/>
          <w:b/>
          <w:sz w:val="32"/>
          <w:szCs w:val="32"/>
        </w:rPr>
        <w:t>节固中心整体支出绩效评价</w:t>
      </w:r>
      <w:r>
        <w:rPr>
          <w:rFonts w:hint="eastAsia" w:ascii="宋体" w:hAnsi="宋体" w:cs="宋体"/>
          <w:b/>
          <w:color w:val="000000"/>
          <w:kern w:val="0"/>
          <w:sz w:val="32"/>
          <w:szCs w:val="32"/>
          <w:shd w:val="clear" w:color="auto" w:fill="FFFFFF"/>
        </w:rPr>
        <w:t>指标体系评分表</w:t>
      </w:r>
    </w:p>
    <w:p>
      <w:pPr>
        <w:spacing w:line="480" w:lineRule="exact"/>
        <w:jc w:val="center"/>
        <w:rPr>
          <w:rFonts w:ascii="仿宋" w:hAnsi="仿宋" w:eastAsia="仿宋" w:cs="仿宋"/>
          <w:sz w:val="32"/>
          <w:szCs w:val="32"/>
        </w:rPr>
      </w:pPr>
    </w:p>
    <w:tbl>
      <w:tblPr>
        <w:tblStyle w:val="9"/>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vAlign w:val="center"/>
          </w:tcPr>
          <w:p>
            <w:pPr>
              <w:widowControl/>
              <w:spacing w:line="240" w:lineRule="exact"/>
              <w:ind w:firstLine="481" w:firstLineChars="200"/>
              <w:jc w:val="center"/>
              <w:rPr>
                <w:b/>
              </w:rPr>
            </w:pPr>
            <w:r>
              <w:rPr>
                <w:rFonts w:hint="eastAsia" w:ascii="仿宋_GB2312" w:hAnsi="新宋体" w:eastAsia="仿宋_GB2312" w:cs="仿宋_GB2312"/>
                <w:b/>
                <w:kern w:val="0"/>
                <w:sz w:val="24"/>
                <w:szCs w:val="24"/>
              </w:rPr>
              <w:t>一级指标</w:t>
            </w:r>
          </w:p>
        </w:tc>
        <w:tc>
          <w:tcPr>
            <w:tcW w:w="743" w:type="dxa"/>
            <w:vMerge w:val="restart"/>
            <w:vAlign w:val="center"/>
          </w:tcPr>
          <w:p>
            <w:pPr>
              <w:widowControl/>
              <w:spacing w:line="240" w:lineRule="exact"/>
              <w:ind w:firstLine="481" w:firstLineChars="200"/>
              <w:jc w:val="center"/>
              <w:rPr>
                <w:b/>
              </w:rPr>
            </w:pPr>
            <w:r>
              <w:rPr>
                <w:rFonts w:hint="eastAsia" w:ascii="仿宋_GB2312" w:hAnsi="新宋体" w:eastAsia="仿宋_GB2312" w:cs="仿宋_GB2312"/>
                <w:b/>
                <w:kern w:val="0"/>
                <w:sz w:val="24"/>
                <w:szCs w:val="24"/>
              </w:rPr>
              <w:t>二级指标</w:t>
            </w:r>
          </w:p>
        </w:tc>
        <w:tc>
          <w:tcPr>
            <w:tcW w:w="4711" w:type="dxa"/>
            <w:gridSpan w:val="2"/>
            <w:tcBorders>
              <w:right w:val="single" w:color="auto" w:sz="4" w:space="0"/>
            </w:tcBorders>
            <w:vAlign w:val="center"/>
          </w:tcPr>
          <w:p>
            <w:pPr>
              <w:widowControl/>
              <w:spacing w:line="240" w:lineRule="exact"/>
              <w:ind w:firstLine="481" w:firstLineChars="200"/>
              <w:jc w:val="center"/>
              <w:rPr>
                <w:b/>
              </w:rPr>
            </w:pPr>
            <w:r>
              <w:rPr>
                <w:rFonts w:hint="eastAsia" w:ascii="仿宋_GB2312" w:hAnsi="新宋体" w:eastAsia="仿宋_GB2312" w:cs="仿宋_GB2312"/>
                <w:b/>
                <w:kern w:val="0"/>
                <w:sz w:val="24"/>
                <w:szCs w:val="24"/>
              </w:rPr>
              <w:t>三级指标</w:t>
            </w:r>
          </w:p>
        </w:tc>
        <w:tc>
          <w:tcPr>
            <w:tcW w:w="2373" w:type="dxa"/>
            <w:vMerge w:val="restart"/>
            <w:tcBorders>
              <w:left w:val="single" w:color="auto" w:sz="4" w:space="0"/>
              <w:right w:val="single" w:color="auto" w:sz="4" w:space="0"/>
            </w:tcBorders>
            <w:vAlign w:val="center"/>
          </w:tcPr>
          <w:p>
            <w:pPr>
              <w:widowControl/>
              <w:spacing w:line="240" w:lineRule="exact"/>
              <w:ind w:firstLine="481" w:firstLineChars="200"/>
              <w:jc w:val="center"/>
              <w:rPr>
                <w:b/>
              </w:rPr>
            </w:pPr>
            <w:r>
              <w:rPr>
                <w:rFonts w:hint="eastAsia" w:ascii="仿宋_GB2312" w:hAnsi="新宋体" w:eastAsia="仿宋_GB2312" w:cs="仿宋_GB2312"/>
                <w:b/>
                <w:kern w:val="0"/>
                <w:sz w:val="24"/>
                <w:szCs w:val="24"/>
              </w:rPr>
              <w:t>评分标准</w:t>
            </w:r>
          </w:p>
        </w:tc>
        <w:tc>
          <w:tcPr>
            <w:tcW w:w="764" w:type="dxa"/>
            <w:vMerge w:val="restart"/>
            <w:tcBorders>
              <w:left w:val="single" w:color="auto" w:sz="4" w:space="0"/>
              <w:right w:val="single" w:color="auto" w:sz="4" w:space="0"/>
            </w:tcBorders>
            <w:vAlign w:val="center"/>
          </w:tcPr>
          <w:p>
            <w:pPr>
              <w:widowControl/>
              <w:spacing w:line="240" w:lineRule="exact"/>
              <w:jc w:val="left"/>
              <w:rPr>
                <w:b/>
              </w:rPr>
            </w:pPr>
            <w:r>
              <w:rPr>
                <w:rFonts w:hint="eastAsia"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vAlign w:val="center"/>
          </w:tcPr>
          <w:p>
            <w:pPr>
              <w:ind w:firstLine="420" w:firstLineChars="200"/>
              <w:rPr>
                <w:rFonts w:ascii="宋体"/>
                <w:szCs w:val="21"/>
              </w:rPr>
            </w:pPr>
          </w:p>
        </w:tc>
        <w:tc>
          <w:tcPr>
            <w:tcW w:w="743" w:type="dxa"/>
            <w:vMerge w:val="continue"/>
            <w:vAlign w:val="center"/>
          </w:tcPr>
          <w:p>
            <w:pPr>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81" w:firstLineChars="200"/>
              <w:jc w:val="center"/>
              <w:rPr>
                <w:b/>
              </w:rPr>
            </w:pPr>
            <w:r>
              <w:rPr>
                <w:rFonts w:hint="eastAsia" w:ascii="仿宋_GB2312" w:hAnsi="新宋体" w:eastAsia="仿宋_GB2312" w:cs="仿宋_GB2312"/>
                <w:b/>
                <w:kern w:val="0"/>
                <w:sz w:val="24"/>
                <w:szCs w:val="24"/>
              </w:rPr>
              <w:t>指标名称</w:t>
            </w:r>
          </w:p>
        </w:tc>
        <w:tc>
          <w:tcPr>
            <w:tcW w:w="3436" w:type="dxa"/>
            <w:tcBorders>
              <w:left w:val="single" w:color="auto" w:sz="4" w:space="0"/>
              <w:right w:val="single" w:color="auto" w:sz="4" w:space="0"/>
            </w:tcBorders>
            <w:vAlign w:val="center"/>
          </w:tcPr>
          <w:p>
            <w:pPr>
              <w:widowControl/>
              <w:spacing w:line="240" w:lineRule="exact"/>
              <w:ind w:firstLine="481" w:firstLineChars="200"/>
              <w:jc w:val="center"/>
              <w:rPr>
                <w:b/>
              </w:rPr>
            </w:pPr>
            <w:r>
              <w:rPr>
                <w:rFonts w:hint="eastAsia" w:ascii="仿宋_GB2312" w:hAnsi="新宋体" w:eastAsia="仿宋_GB2312" w:cs="仿宋_GB2312"/>
                <w:b/>
                <w:kern w:val="0"/>
                <w:sz w:val="24"/>
                <w:szCs w:val="24"/>
              </w:rPr>
              <w:t>指标解释说明</w:t>
            </w:r>
          </w:p>
        </w:tc>
        <w:tc>
          <w:tcPr>
            <w:tcW w:w="2373" w:type="dxa"/>
            <w:vMerge w:val="continue"/>
            <w:tcBorders>
              <w:left w:val="single" w:color="auto" w:sz="4" w:space="0"/>
              <w:right w:val="single" w:color="auto" w:sz="4" w:space="0"/>
            </w:tcBorders>
            <w:vAlign w:val="center"/>
          </w:tcPr>
          <w:p>
            <w:pPr>
              <w:ind w:firstLine="420" w:firstLineChars="200"/>
              <w:rPr>
                <w:rFonts w:ascii="宋体"/>
                <w:szCs w:val="21"/>
              </w:rPr>
            </w:pPr>
          </w:p>
        </w:tc>
        <w:tc>
          <w:tcPr>
            <w:tcW w:w="764" w:type="dxa"/>
            <w:vMerge w:val="continue"/>
            <w:tcBorders>
              <w:left w:val="single" w:color="auto" w:sz="4" w:space="0"/>
              <w:right w:val="single" w:color="auto" w:sz="4" w:space="0"/>
            </w:tcBorders>
            <w:vAlign w:val="center"/>
          </w:tcPr>
          <w:p>
            <w:pPr>
              <w:ind w:firstLine="420" w:firstLineChars="200"/>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投入（</w:t>
            </w:r>
            <w:r>
              <w:rPr>
                <w:rFonts w:ascii="仿宋_GB2312" w:hAnsi="新宋体" w:eastAsia="仿宋_GB2312" w:cs="仿宋_GB2312"/>
                <w:kern w:val="0"/>
                <w:szCs w:val="21"/>
              </w:rPr>
              <w:t>10</w:t>
            </w:r>
            <w:r>
              <w:rPr>
                <w:rFonts w:hint="eastAsia" w:ascii="仿宋_GB2312" w:hAnsi="新宋体" w:eastAsia="仿宋_GB2312" w:cs="仿宋_GB2312"/>
                <w:kern w:val="0"/>
                <w:szCs w:val="21"/>
              </w:rPr>
              <w:t>）</w:t>
            </w:r>
          </w:p>
        </w:tc>
        <w:tc>
          <w:tcPr>
            <w:tcW w:w="743"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绩效目标设定情况</w:t>
            </w:r>
          </w:p>
          <w:p>
            <w:pPr>
              <w:widowControl/>
              <w:spacing w:line="240" w:lineRule="exact"/>
              <w:ind w:firstLine="420" w:firstLineChars="200"/>
              <w:jc w:val="left"/>
              <w:rPr>
                <w:color w:val="FF0000"/>
                <w:szCs w:val="21"/>
              </w:rPr>
            </w:pPr>
            <w:r>
              <w:rPr>
                <w:rFonts w:hint="eastAsia" w:ascii="仿宋_GB2312" w:hAnsi="新宋体" w:eastAsia="仿宋_GB2312" w:cs="仿宋_GB2312"/>
                <w:kern w:val="0"/>
                <w:szCs w:val="21"/>
              </w:rPr>
              <w:t>（</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1275" w:type="dxa"/>
            <w:tcBorders>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职责明确（</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符合（</w:t>
            </w:r>
            <w:r>
              <w:rPr>
                <w:rFonts w:ascii="仿宋_GB2312" w:hAnsi="新宋体" w:eastAsia="仿宋_GB2312" w:cs="仿宋_GB2312"/>
                <w:kern w:val="0"/>
                <w:szCs w:val="21"/>
              </w:rPr>
              <w:t>1</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不符合（</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bottom w:val="single" w:color="auto" w:sz="4" w:space="0"/>
            </w:tcBorders>
            <w:vAlign w:val="center"/>
          </w:tcPr>
          <w:p>
            <w:pPr>
              <w:widowControl/>
              <w:spacing w:line="240" w:lineRule="exact"/>
              <w:ind w:firstLine="420" w:firstLineChars="200"/>
              <w:jc w:val="left"/>
              <w:rPr>
                <w:szCs w:val="21"/>
              </w:rPr>
            </w:pPr>
            <w:r>
              <w:rPr>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活动合规性（</w:t>
            </w: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部门活动的设定在部门所确定的职责范围之内；</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部门活动符合市委、市政府的发展规划及本部门的年度工作安排与发展规划。</w:t>
            </w:r>
          </w:p>
        </w:tc>
        <w:tc>
          <w:tcPr>
            <w:tcW w:w="2373"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其中一项不符合（</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bottom w:val="single" w:color="auto" w:sz="4" w:space="0"/>
            </w:tcBorders>
            <w:vAlign w:val="center"/>
          </w:tcPr>
          <w:p>
            <w:pPr>
              <w:widowControl/>
              <w:spacing w:line="240" w:lineRule="exact"/>
              <w:ind w:firstLine="420" w:firstLineChars="200"/>
              <w:jc w:val="left"/>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活动合理性（</w:t>
            </w: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活动目标的设定是可量化的，可通过清晰、可衡量的关键指标值予以体现；</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在活动目标设定时，将关键指标明细分解为具体的达成目标与工作任务。</w:t>
            </w:r>
          </w:p>
        </w:tc>
        <w:tc>
          <w:tcPr>
            <w:tcW w:w="2373"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其中一项不符合（</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bottom w:val="single" w:color="auto" w:sz="4" w:space="0"/>
            </w:tcBorders>
            <w:vAlign w:val="center"/>
          </w:tcPr>
          <w:p>
            <w:pPr>
              <w:widowControl/>
              <w:spacing w:line="240" w:lineRule="exact"/>
              <w:ind w:firstLine="420" w:firstLineChars="200"/>
              <w:jc w:val="left"/>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vAlign w:val="center"/>
          </w:tcPr>
          <w:p>
            <w:pPr>
              <w:spacing w:line="240" w:lineRule="exact"/>
              <w:ind w:firstLine="420" w:firstLineChars="200"/>
              <w:rPr>
                <w:rFonts w:ascii="宋体"/>
                <w:szCs w:val="21"/>
              </w:rPr>
            </w:pPr>
          </w:p>
        </w:tc>
        <w:tc>
          <w:tcPr>
            <w:tcW w:w="743"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预算配置情况</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部门本年度实际在职人员数与编制数的比率，用以反映和评价部门对人员成本的控制程度。</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（在职人员数</w:t>
            </w:r>
            <w:r>
              <w:rPr>
                <w:rFonts w:ascii="仿宋_GB2312" w:hAnsi="新宋体" w:eastAsia="仿宋_GB2312" w:cs="仿宋_GB2312"/>
                <w:kern w:val="0"/>
                <w:szCs w:val="21"/>
              </w:rPr>
              <w:t>/</w:t>
            </w:r>
            <w:r>
              <w:rPr>
                <w:rFonts w:hint="eastAsia" w:ascii="仿宋_GB2312" w:hAnsi="新宋体" w:eastAsia="仿宋_GB2312" w:cs="仿宋_GB2312"/>
                <w:kern w:val="0"/>
                <w:szCs w:val="21"/>
              </w:rPr>
              <w:t>编制数）×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在职人员控制率小于或等于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在职人员控制率大于或等于</w:t>
            </w:r>
            <w:r>
              <w:rPr>
                <w:rFonts w:ascii="仿宋_GB2312" w:hAnsi="新宋体" w:eastAsia="仿宋_GB2312" w:cs="仿宋_GB2312"/>
                <w:kern w:val="0"/>
                <w:szCs w:val="21"/>
              </w:rPr>
              <w:t>115%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在职人员控制率在</w:t>
            </w:r>
            <w:r>
              <w:rPr>
                <w:rFonts w:ascii="仿宋_GB2312" w:hAnsi="新宋体" w:eastAsia="仿宋_GB2312" w:cs="仿宋_GB2312"/>
                <w:kern w:val="0"/>
                <w:szCs w:val="21"/>
              </w:rPr>
              <w:t>100%-115%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=[max</w:t>
            </w:r>
            <w:r>
              <w:rPr>
                <w:rFonts w:hint="eastAsia" w:ascii="仿宋_GB2312" w:hAnsi="新宋体" w:eastAsia="仿宋_GB2312" w:cs="仿宋_GB2312"/>
                <w:kern w:val="0"/>
                <w:szCs w:val="21"/>
              </w:rPr>
              <w:t>（在职人员控制率）－某部门在职人员控制率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（在职人员控制率）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top w:val="single" w:color="auto" w:sz="4" w:space="0"/>
              <w:left w:val="single" w:color="auto" w:sz="4" w:space="0"/>
            </w:tcBorders>
            <w:vAlign w:val="center"/>
          </w:tcPr>
          <w:p>
            <w:pPr>
              <w:widowControl/>
              <w:spacing w:line="240" w:lineRule="exact"/>
              <w:ind w:firstLine="420" w:firstLineChars="200"/>
              <w:jc w:val="left"/>
              <w:rPr>
                <w:szCs w:val="21"/>
              </w:rPr>
            </w:pPr>
            <w:r>
              <w:rPr>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vAlign w:val="center"/>
          </w:tcPr>
          <w:p>
            <w:pPr>
              <w:spacing w:line="240" w:lineRule="exact"/>
              <w:ind w:firstLine="420" w:firstLineChars="200"/>
              <w:rPr>
                <w:rFonts w:ascii="宋体"/>
                <w:szCs w:val="21"/>
              </w:rPr>
            </w:pPr>
          </w:p>
        </w:tc>
        <w:tc>
          <w:tcPr>
            <w:tcW w:w="743" w:type="dxa"/>
            <w:vMerge w:val="continue"/>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 w:hAnsi="仿宋" w:eastAsia="仿宋" w:cs="仿宋"/>
                <w:color w:val="000000"/>
                <w:kern w:val="0"/>
                <w:szCs w:val="21"/>
              </w:rPr>
              <w:t>2</w:t>
            </w:r>
            <w:r>
              <w:rPr>
                <w:rFonts w:hint="eastAsia" w:ascii="仿宋" w:hAnsi="仿宋" w:eastAsia="仿宋" w:cs="仿宋"/>
                <w:color w:val="000000"/>
                <w:kern w:val="0"/>
                <w:szCs w:val="21"/>
              </w:rPr>
              <w:t>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 w:hAnsi="仿宋" w:eastAsia="仿宋" w:cs="仿宋"/>
                <w:color w:val="000000"/>
                <w:kern w:val="0"/>
                <w:szCs w:val="21"/>
              </w:rPr>
              <w:t>=[</w:t>
            </w:r>
            <w:r>
              <w:rPr>
                <w:rFonts w:hint="eastAsia" w:ascii="仿宋" w:hAnsi="仿宋" w:eastAsia="仿宋" w:cs="仿宋"/>
                <w:color w:val="000000"/>
                <w:kern w:val="0"/>
                <w:szCs w:val="21"/>
              </w:rPr>
              <w:t>（本年度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w:t>
            </w:r>
            <w:r>
              <w:rPr>
                <w:rFonts w:ascii="仿宋" w:hAnsi="仿宋" w:eastAsia="仿宋" w:cs="仿宋"/>
                <w:color w:val="000000"/>
                <w:kern w:val="0"/>
                <w:szCs w:val="21"/>
              </w:rPr>
              <w:t>-</w:t>
            </w:r>
            <w:r>
              <w:rPr>
                <w:rFonts w:hint="eastAsia" w:ascii="仿宋" w:hAnsi="仿宋" w:eastAsia="仿宋" w:cs="仿宋"/>
                <w:color w:val="000000"/>
                <w:kern w:val="0"/>
                <w:szCs w:val="21"/>
              </w:rPr>
              <w:t>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w:t>
            </w:r>
            <w:r>
              <w:rPr>
                <w:rFonts w:ascii="仿宋" w:hAnsi="仿宋" w:eastAsia="仿宋" w:cs="仿宋"/>
                <w:color w:val="000000"/>
                <w:kern w:val="0"/>
                <w:szCs w:val="21"/>
              </w:rPr>
              <w:t>/</w:t>
            </w:r>
            <w:r>
              <w:rPr>
                <w:rFonts w:hint="eastAsia" w:ascii="仿宋" w:hAnsi="仿宋" w:eastAsia="仿宋" w:cs="仿宋"/>
                <w:color w:val="000000"/>
                <w:kern w:val="0"/>
                <w:szCs w:val="21"/>
              </w:rPr>
              <w:t>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w:t>
            </w:r>
            <w:r>
              <w:rPr>
                <w:rFonts w:ascii="仿宋" w:hAnsi="仿宋" w:eastAsia="仿宋" w:cs="仿宋"/>
                <w:color w:val="000000"/>
                <w:kern w:val="0"/>
                <w:szCs w:val="21"/>
              </w:rPr>
              <w:t>]</w:t>
            </w:r>
            <w:r>
              <w:rPr>
                <w:rFonts w:hint="eastAsia" w:ascii="仿宋" w:hAnsi="仿宋" w:eastAsia="仿宋" w:cs="仿宋"/>
                <w:color w:val="000000"/>
                <w:kern w:val="0"/>
                <w:szCs w:val="21"/>
              </w:rPr>
              <w:t>×</w:t>
            </w:r>
            <w:r>
              <w:rPr>
                <w:rFonts w:ascii="仿宋" w:hAnsi="仿宋" w:eastAsia="仿宋" w:cs="仿宋"/>
                <w:color w:val="000000"/>
                <w:kern w:val="0"/>
                <w:szCs w:val="21"/>
              </w:rPr>
              <w:t>100%</w:t>
            </w:r>
            <w:r>
              <w:rPr>
                <w:rFonts w:hint="eastAsia" w:ascii="仿宋" w:hAnsi="仿宋" w:eastAsia="仿宋" w:cs="仿宋"/>
                <w:color w:val="000000"/>
                <w:kern w:val="0"/>
                <w:szCs w:val="21"/>
              </w:rPr>
              <w:t>。</w:t>
            </w:r>
            <w:r>
              <w:rPr>
                <w:rFonts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hint="eastAsia" w:ascii="仿宋_GB2312" w:hAnsi="新宋体" w:eastAsia="仿宋_GB2312" w:cs="仿宋_GB2312"/>
                <w:kern w:val="0"/>
                <w:szCs w:val="21"/>
              </w:rPr>
              <w:t>小于或等于</w:t>
            </w:r>
            <w:r>
              <w:rPr>
                <w:rFonts w:ascii="仿宋_GB2312" w:hAnsi="新宋体" w:eastAsia="仿宋_GB2312" w:cs="仿宋_GB2312"/>
                <w:kern w:val="0"/>
                <w:szCs w:val="21"/>
              </w:rPr>
              <w:t>-5%</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hint="eastAsia" w:ascii="仿宋_GB2312" w:hAnsi="新宋体" w:eastAsia="仿宋_GB2312" w:cs="仿宋_GB2312"/>
                <w:kern w:val="0"/>
                <w:szCs w:val="21"/>
              </w:rPr>
              <w:t>大于或等于</w:t>
            </w:r>
            <w:r>
              <w:rPr>
                <w:rFonts w:ascii="仿宋_GB2312" w:hAnsi="新宋体" w:eastAsia="仿宋_GB2312" w:cs="仿宋_GB2312"/>
                <w:kern w:val="0"/>
                <w:szCs w:val="21"/>
              </w:rPr>
              <w:t>10%</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在职人员控制率在</w:t>
            </w:r>
            <w:r>
              <w:rPr>
                <w:rFonts w:ascii="仿宋_GB2312" w:hAnsi="新宋体" w:eastAsia="仿宋_GB2312" w:cs="仿宋_GB2312"/>
                <w:kern w:val="0"/>
                <w:szCs w:val="21"/>
              </w:rPr>
              <w:t>-5%-10%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pPr>
              <w:widowControl/>
              <w:spacing w:line="240" w:lineRule="exact"/>
              <w:ind w:firstLine="420" w:firstLineChars="200"/>
              <w:jc w:val="left"/>
              <w:textAlignment w:val="center"/>
              <w:rPr>
                <w:rFonts w:ascii="仿宋" w:hAnsi="仿宋" w:eastAsia="仿宋" w:cs="仿宋"/>
                <w:kern w:val="0"/>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=[max</w:t>
            </w:r>
            <w:r>
              <w:rPr>
                <w:rFonts w:hint="eastAsia"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hint="eastAsia"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hint="eastAsia" w:ascii="仿宋_GB2312" w:hAnsi="新宋体" w:eastAsia="仿宋_GB2312" w:cs="仿宋_GB2312"/>
                <w:kern w:val="0"/>
                <w:szCs w:val="21"/>
              </w:rPr>
              <w:t>）－</w:t>
            </w:r>
            <w:r>
              <w:rPr>
                <w:rFonts w:ascii="仿宋_GB2312" w:hAnsi="新宋体" w:eastAsia="仿宋_GB2312" w:cs="仿宋_GB2312"/>
                <w:kern w:val="0"/>
                <w:szCs w:val="21"/>
              </w:rPr>
              <w:t>min</w:t>
            </w:r>
            <w:r>
              <w:rPr>
                <w:rFonts w:hint="eastAsia"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hint="eastAsia" w:ascii="仿宋_GB2312" w:hAnsi="新宋体" w:eastAsia="仿宋_GB2312" w:cs="仿宋_GB2312"/>
                <w:kern w:val="0"/>
                <w:szCs w:val="21"/>
              </w:rPr>
              <w:t>）</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top w:val="single" w:color="auto" w:sz="4" w:space="0"/>
              <w:left w:val="single" w:color="auto" w:sz="4" w:space="0"/>
            </w:tcBorders>
            <w:vAlign w:val="center"/>
          </w:tcPr>
          <w:p>
            <w:pPr>
              <w:widowControl/>
              <w:spacing w:line="240" w:lineRule="exact"/>
              <w:ind w:firstLine="420" w:firstLineChars="200"/>
              <w:jc w:val="left"/>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w:t>
            </w:r>
            <w:r>
              <w:rPr>
                <w:rFonts w:ascii="仿宋" w:hAnsi="仿宋" w:eastAsia="仿宋" w:cs="仿宋"/>
                <w:color w:val="000000"/>
                <w:kern w:val="0"/>
                <w:szCs w:val="21"/>
              </w:rPr>
              <w:t>2</w:t>
            </w:r>
            <w:r>
              <w:rPr>
                <w:rFonts w:hint="eastAsia" w:ascii="仿宋" w:hAnsi="仿宋" w:eastAsia="仿宋" w:cs="仿宋"/>
                <w:color w:val="000000"/>
                <w:kern w:val="0"/>
                <w:szCs w:val="21"/>
              </w:rPr>
              <w:t>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w:t>
            </w:r>
            <w:r>
              <w:rPr>
                <w:rFonts w:ascii="仿宋" w:hAnsi="仿宋" w:eastAsia="仿宋" w:cs="仿宋"/>
                <w:color w:val="000000"/>
                <w:kern w:val="0"/>
                <w:szCs w:val="21"/>
              </w:rPr>
              <w:t>=</w:t>
            </w:r>
            <w:r>
              <w:rPr>
                <w:rFonts w:hint="eastAsia" w:ascii="仿宋" w:hAnsi="仿宋" w:eastAsia="仿宋" w:cs="仿宋"/>
                <w:color w:val="000000"/>
                <w:kern w:val="0"/>
                <w:szCs w:val="21"/>
              </w:rPr>
              <w:t>（重点项目支出</w:t>
            </w:r>
            <w:r>
              <w:rPr>
                <w:rFonts w:ascii="仿宋" w:hAnsi="仿宋" w:eastAsia="仿宋" w:cs="仿宋"/>
                <w:color w:val="000000"/>
                <w:kern w:val="0"/>
                <w:szCs w:val="21"/>
              </w:rPr>
              <w:t>/</w:t>
            </w:r>
            <w:r>
              <w:rPr>
                <w:rFonts w:hint="eastAsia" w:ascii="仿宋" w:hAnsi="仿宋" w:eastAsia="仿宋" w:cs="仿宋"/>
                <w:color w:val="000000"/>
                <w:kern w:val="0"/>
                <w:szCs w:val="21"/>
              </w:rPr>
              <w:t>项目总支出）×</w:t>
            </w:r>
            <w:r>
              <w:rPr>
                <w:rFonts w:ascii="仿宋" w:hAnsi="仿宋" w:eastAsia="仿宋" w:cs="仿宋"/>
                <w:color w:val="000000"/>
                <w:kern w:val="0"/>
                <w:szCs w:val="21"/>
              </w:rPr>
              <w:t>100%</w:t>
            </w:r>
            <w:r>
              <w:rPr>
                <w:rFonts w:hint="eastAsia" w:ascii="仿宋" w:hAnsi="仿宋" w:eastAsia="仿宋" w:cs="仿宋"/>
                <w:color w:val="000000"/>
                <w:kern w:val="0"/>
                <w:szCs w:val="21"/>
              </w:rPr>
              <w:t>。</w:t>
            </w:r>
            <w:r>
              <w:rPr>
                <w:rFonts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大于或等于</w:t>
            </w:r>
            <w:r>
              <w:rPr>
                <w:rFonts w:ascii="仿宋_GB2312" w:hAnsi="新宋体" w:eastAsia="仿宋_GB2312" w:cs="仿宋_GB2312"/>
                <w:kern w:val="0"/>
                <w:szCs w:val="21"/>
              </w:rPr>
              <w:t>95%</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小于或等于</w:t>
            </w:r>
            <w:r>
              <w:rPr>
                <w:rFonts w:ascii="仿宋_GB2312" w:hAnsi="新宋体" w:eastAsia="仿宋_GB2312" w:cs="仿宋_GB2312"/>
                <w:kern w:val="0"/>
                <w:szCs w:val="21"/>
              </w:rPr>
              <w:t>85%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在</w:t>
            </w:r>
            <w:r>
              <w:rPr>
                <w:rFonts w:ascii="仿宋_GB2312" w:hAnsi="新宋体" w:eastAsia="仿宋_GB2312" w:cs="仿宋_GB2312"/>
                <w:kern w:val="0"/>
                <w:szCs w:val="21"/>
              </w:rPr>
              <w:t>85%-95%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pPr>
              <w:widowControl/>
              <w:spacing w:line="240" w:lineRule="exact"/>
              <w:ind w:firstLine="420" w:firstLineChars="200"/>
              <w:jc w:val="left"/>
              <w:textAlignment w:val="center"/>
              <w:rPr>
                <w:rFonts w:ascii="仿宋" w:hAnsi="仿宋" w:eastAsia="仿宋" w:cs="仿宋"/>
                <w:kern w:val="0"/>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w:t>
            </w:r>
            <w:r>
              <w:rPr>
                <w:rFonts w:ascii="仿宋_GB2312" w:hAnsi="新宋体" w:eastAsia="仿宋_GB2312" w:cs="仿宋_GB2312"/>
                <w:kern w:val="0"/>
                <w:szCs w:val="21"/>
              </w:rPr>
              <w:t>min</w:t>
            </w:r>
            <w:r>
              <w:rPr>
                <w:rFonts w:hint="eastAsia" w:ascii="仿宋_GB2312" w:hAnsi="新宋体" w:eastAsia="仿宋_GB2312" w:cs="仿宋_GB2312"/>
                <w:kern w:val="0"/>
                <w:szCs w:val="21"/>
              </w:rPr>
              <w:t>（</w:t>
            </w:r>
            <w:r>
              <w:rPr>
                <w:rFonts w:hint="eastAsia" w:ascii="仿宋" w:hAnsi="仿宋" w:eastAsia="仿宋" w:cs="仿宋"/>
                <w:color w:val="000000"/>
                <w:kern w:val="0"/>
                <w:szCs w:val="21"/>
              </w:rPr>
              <w:t>重点支出安排率</w:t>
            </w:r>
            <w:r>
              <w:rPr>
                <w:rFonts w:hint="eastAsia" w:ascii="仿宋_GB2312" w:hAnsi="新宋体" w:eastAsia="仿宋_GB2312" w:cs="仿宋_GB2312"/>
                <w:kern w:val="0"/>
                <w:szCs w:val="21"/>
              </w:rPr>
              <w:t>）</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top w:val="single" w:color="auto" w:sz="4" w:space="0"/>
              <w:left w:val="single" w:color="auto" w:sz="4" w:space="0"/>
            </w:tcBorders>
            <w:vAlign w:val="center"/>
          </w:tcPr>
          <w:p>
            <w:pPr>
              <w:widowControl/>
              <w:spacing w:line="240" w:lineRule="exact"/>
              <w:ind w:firstLine="420" w:firstLineChars="200"/>
              <w:jc w:val="left"/>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过程</w:t>
            </w:r>
            <w:r>
              <w:rPr>
                <w:rFonts w:ascii="仿宋_GB2312" w:hAnsi="新宋体" w:eastAsia="仿宋_GB2312" w:cs="仿宋_GB2312"/>
                <w:kern w:val="0"/>
                <w:szCs w:val="21"/>
              </w:rPr>
              <w:t>(45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预算执行情况</w:t>
            </w:r>
            <w:r>
              <w:rPr>
                <w:rFonts w:ascii="仿宋_GB2312" w:hAnsi="新宋体" w:eastAsia="仿宋_GB2312" w:cs="仿宋_GB2312"/>
                <w:kern w:val="0"/>
                <w:szCs w:val="21"/>
              </w:rPr>
              <w:t>(25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通过对部门本年度预算完成数与预算数的比较，反映和评价部门预算的完成程度。</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（预算完成数</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预算完成率大于或等于</w:t>
            </w:r>
            <w:r>
              <w:rPr>
                <w:rFonts w:ascii="仿宋_GB2312" w:hAnsi="新宋体" w:eastAsia="仿宋_GB2312" w:cs="仿宋_GB2312"/>
                <w:kern w:val="0"/>
                <w:szCs w:val="21"/>
              </w:rPr>
              <w:t>95%</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预算完成率小于或等于</w:t>
            </w:r>
            <w:r>
              <w:rPr>
                <w:rFonts w:ascii="仿宋_GB2312" w:hAnsi="新宋体" w:eastAsia="仿宋_GB2312" w:cs="仿宋_GB2312"/>
                <w:kern w:val="0"/>
                <w:szCs w:val="21"/>
              </w:rPr>
              <w:t>85%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预算完成率在</w:t>
            </w:r>
            <w:r>
              <w:rPr>
                <w:rFonts w:ascii="仿宋_GB2312" w:hAnsi="新宋体" w:eastAsia="仿宋_GB2312" w:cs="仿宋_GB2312"/>
                <w:kern w:val="0"/>
                <w:szCs w:val="21"/>
              </w:rPr>
              <w:t>85%-95%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分和满分之间计算确定：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某部门预算完成率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（预算完成率）</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部门本年度预算调整数与预算数的比率，用以反映和评价部门预算的调整程度。</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（预算调整数</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预算调整率等于</w:t>
            </w:r>
            <w:r>
              <w:rPr>
                <w:rFonts w:ascii="仿宋_GB2312" w:hAnsi="新宋体" w:eastAsia="仿宋_GB2312" w:cs="仿宋_GB2312"/>
                <w:kern w:val="0"/>
                <w:szCs w:val="21"/>
              </w:rPr>
              <w:t>0</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预算调整率大于或等于</w:t>
            </w:r>
            <w:r>
              <w:rPr>
                <w:rFonts w:ascii="仿宋_GB2312" w:hAnsi="新宋体" w:eastAsia="仿宋_GB2312" w:cs="仿宋_GB2312"/>
                <w:kern w:val="0"/>
                <w:szCs w:val="21"/>
              </w:rPr>
              <w:t>10%</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预算调整率在</w:t>
            </w:r>
            <w:r>
              <w:rPr>
                <w:rFonts w:ascii="仿宋_GB2312" w:hAnsi="新宋体" w:eastAsia="仿宋_GB2312" w:cs="仿宋_GB2312"/>
                <w:kern w:val="0"/>
                <w:szCs w:val="21"/>
              </w:rPr>
              <w:t>0-10%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分和满分之间确定：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某部门预算调整率］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（预算调整率）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（预算调整率）］×该指标分值。</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color w:val="000000"/>
                <w:kern w:val="0"/>
                <w:szCs w:val="21"/>
              </w:rPr>
              <w:t>支付进度率</w:t>
            </w:r>
            <w:r>
              <w:rPr>
                <w:rFonts w:hint="eastAsia" w:ascii="仿宋_GB2312" w:hAnsi="新宋体" w:eastAsia="仿宋_GB2312" w:cs="仿宋_GB2312"/>
                <w:kern w:val="0"/>
                <w:szCs w:val="21"/>
              </w:rPr>
              <w:t>（</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部门年度支付数与年度任务数的比率，用以反映和评价部门预算执行的及时和均衡程度。</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（年度支付数</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年度任务数）×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按年度的执行情况进行打分。得分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年度支付数</w:t>
            </w:r>
            <w:r>
              <w:rPr>
                <w:rFonts w:ascii="仿宋_GB2312" w:hAnsi="新宋体" w:eastAsia="仿宋_GB2312" w:cs="仿宋_GB2312"/>
                <w:kern w:val="0"/>
                <w:szCs w:val="21"/>
              </w:rPr>
              <w:t>/</w:t>
            </w:r>
            <w:r>
              <w:rPr>
                <w:rFonts w:hint="eastAsia" w:ascii="仿宋_GB2312" w:hAnsi="新宋体" w:eastAsia="仿宋_GB2312" w:cs="仿宋_GB2312"/>
                <w:kern w:val="0"/>
                <w:szCs w:val="21"/>
              </w:rPr>
              <w:t>年度任务数×该指标分值。</w:t>
            </w:r>
          </w:p>
          <w:p>
            <w:pPr>
              <w:widowControl/>
              <w:spacing w:line="240" w:lineRule="exact"/>
              <w:ind w:firstLine="420" w:firstLineChars="200"/>
              <w:jc w:val="left"/>
              <w:rPr>
                <w:szCs w:val="21"/>
              </w:rPr>
            </w:pP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w:t>
            </w:r>
            <w:r>
              <w:rPr>
                <w:rFonts w:hint="eastAsia" w:ascii="仿宋_GB2312" w:hAnsi="新宋体" w:eastAsia="仿宋_GB2312" w:cs="仿宋_GB2312"/>
                <w:kern w:val="0"/>
                <w:szCs w:val="21"/>
              </w:rPr>
              <w:t>（结转结余总额</w:t>
            </w:r>
            <w:r>
              <w:rPr>
                <w:rFonts w:ascii="仿宋_GB2312" w:hAnsi="新宋体" w:eastAsia="仿宋_GB2312" w:cs="仿宋_GB2312"/>
                <w:kern w:val="0"/>
                <w:szCs w:val="21"/>
              </w:rPr>
              <w:t>/</w:t>
            </w:r>
            <w:r>
              <w:rPr>
                <w:rFonts w:hint="eastAsia" w:ascii="仿宋_GB2312" w:hAnsi="新宋体" w:eastAsia="仿宋_GB2312" w:cs="仿宋_GB2312"/>
                <w:kern w:val="0"/>
                <w:szCs w:val="21"/>
              </w:rPr>
              <w:t>支出预算数）×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结转结余率等于</w:t>
            </w:r>
            <w:r>
              <w:rPr>
                <w:rFonts w:ascii="仿宋_GB2312" w:hAnsi="新宋体" w:eastAsia="仿宋_GB2312" w:cs="仿宋_GB2312"/>
                <w:kern w:val="0"/>
                <w:szCs w:val="21"/>
              </w:rPr>
              <w:t>0</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结转结余率大于或等于</w:t>
            </w:r>
            <w:r>
              <w:rPr>
                <w:rFonts w:ascii="仿宋_GB2312" w:hAnsi="新宋体" w:eastAsia="仿宋_GB2312" w:cs="仿宋_GB2312"/>
                <w:kern w:val="0"/>
                <w:szCs w:val="21"/>
              </w:rPr>
              <w:t>50%</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结转结余率在</w:t>
            </w:r>
            <w:r>
              <w:rPr>
                <w:rFonts w:ascii="仿宋_GB2312" w:hAnsi="新宋体" w:eastAsia="仿宋_GB2312" w:cs="仿宋_GB2312"/>
                <w:kern w:val="0"/>
                <w:szCs w:val="21"/>
              </w:rPr>
              <w:t>0-50%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=[max</w:t>
            </w:r>
            <w:r>
              <w:rPr>
                <w:rFonts w:hint="eastAsia" w:ascii="仿宋_GB2312" w:hAnsi="新宋体" w:eastAsia="仿宋_GB2312" w:cs="仿宋_GB2312"/>
                <w:kern w:val="0"/>
                <w:szCs w:val="21"/>
              </w:rPr>
              <w:t>（结转结余率）－某部门结转结余率</w:t>
            </w:r>
            <w:r>
              <w:rPr>
                <w:rFonts w:ascii="仿宋_GB2312" w:hAnsi="新宋体" w:eastAsia="仿宋_GB2312" w:cs="仿宋_GB2312"/>
                <w:kern w:val="0"/>
                <w:szCs w:val="21"/>
              </w:rPr>
              <w:t>]/[max</w:t>
            </w: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（结转结余率）</w:t>
            </w:r>
            <w:r>
              <w:rPr>
                <w:rFonts w:ascii="仿宋_GB2312" w:hAnsi="新宋体" w:eastAsia="仿宋_GB2312" w:cs="仿宋_GB2312"/>
                <w:kern w:val="0"/>
                <w:szCs w:val="21"/>
              </w:rPr>
              <w:t>]</w:t>
            </w:r>
            <w:r>
              <w:rPr>
                <w:rFonts w:hint="eastAsia" w:ascii="仿宋_GB2312" w:hAnsi="新宋体" w:eastAsia="仿宋_GB2312" w:cs="仿宋_GB2312"/>
                <w:kern w:val="0"/>
                <w:szCs w:val="21"/>
              </w:rPr>
              <w:t>×该指标分值。</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（实际支出公用经费总额</w:t>
            </w:r>
            <w:r>
              <w:rPr>
                <w:rFonts w:ascii="仿宋_GB2312" w:hAnsi="新宋体" w:eastAsia="仿宋_GB2312" w:cs="仿宋_GB2312"/>
                <w:kern w:val="0"/>
                <w:szCs w:val="21"/>
              </w:rPr>
              <w:t>/</w:t>
            </w:r>
            <w:r>
              <w:rPr>
                <w:rFonts w:hint="eastAsia" w:ascii="仿宋_GB2312" w:hAnsi="新宋体" w:eastAsia="仿宋_GB2312" w:cs="仿宋_GB2312"/>
                <w:kern w:val="0"/>
                <w:szCs w:val="21"/>
              </w:rPr>
              <w:t>预算安排公用经费总额）×</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公用经费控制率小于或等于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公用经费控制率大于或等于</w:t>
            </w:r>
            <w:r>
              <w:rPr>
                <w:rFonts w:ascii="仿宋_GB2312" w:hAnsi="新宋体" w:eastAsia="仿宋_GB2312" w:cs="仿宋_GB2312"/>
                <w:kern w:val="0"/>
                <w:szCs w:val="21"/>
              </w:rPr>
              <w:t>105%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公用经费控制率在</w:t>
            </w:r>
            <w:r>
              <w:rPr>
                <w:rFonts w:ascii="仿宋_GB2312" w:hAnsi="新宋体" w:eastAsia="仿宋_GB2312" w:cs="仿宋_GB2312"/>
                <w:kern w:val="0"/>
                <w:szCs w:val="21"/>
              </w:rPr>
              <w:t>100%-105%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某部门公用经费控制率］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（公用经费控制率）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（公用经费控制率）］×该指标分值。</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w:t>
            </w:r>
            <w:r>
              <w:rPr>
                <w:rFonts w:hint="eastAsia" w:ascii="仿宋_GB2312" w:hAnsi="新宋体" w:eastAsia="仿宋_GB2312" w:cs="仿宋_GB2312"/>
                <w:kern w:val="0"/>
                <w:szCs w:val="21"/>
              </w:rPr>
              <w:t>（实际政府采购预算项目个数</w:t>
            </w:r>
            <w:r>
              <w:rPr>
                <w:rFonts w:ascii="仿宋_GB2312" w:hAnsi="新宋体" w:eastAsia="仿宋_GB2312" w:cs="仿宋_GB2312"/>
                <w:kern w:val="0"/>
                <w:szCs w:val="21"/>
              </w:rPr>
              <w:t>/</w:t>
            </w:r>
            <w:r>
              <w:rPr>
                <w:rFonts w:hint="eastAsia" w:ascii="仿宋_GB2312" w:hAnsi="新宋体" w:eastAsia="仿宋_GB2312" w:cs="仿宋_GB2312"/>
                <w:kern w:val="0"/>
                <w:szCs w:val="21"/>
              </w:rPr>
              <w:t>政府采购预算项目个数）×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政府采购项目中非预算内安排的项目除外。</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政府采购执行率等于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政府采购执行率小于或等于</w:t>
            </w:r>
            <w:r>
              <w:rPr>
                <w:rFonts w:ascii="仿宋_GB2312" w:hAnsi="新宋体" w:eastAsia="仿宋_GB2312" w:cs="仿宋_GB2312"/>
                <w:kern w:val="0"/>
                <w:szCs w:val="21"/>
              </w:rPr>
              <w:t>90%</w:t>
            </w:r>
            <w:r>
              <w:rPr>
                <w:rFonts w:hint="eastAsia" w:ascii="仿宋_GB2312" w:hAnsi="新宋体" w:eastAsia="仿宋_GB2312" w:cs="仿宋_GB2312"/>
                <w:kern w:val="0"/>
                <w:szCs w:val="21"/>
              </w:rPr>
              <w:t>的，</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政府采购执行率在</w:t>
            </w:r>
            <w:r>
              <w:rPr>
                <w:rFonts w:ascii="仿宋_GB2312" w:hAnsi="新宋体" w:eastAsia="仿宋_GB2312" w:cs="仿宋_GB2312"/>
                <w:kern w:val="0"/>
                <w:szCs w:val="21"/>
              </w:rPr>
              <w:t>90%-100%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［某部门政府采购执行率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（政府采购执行率）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（政府采购执行率）］×该指标分值。</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ind w:firstLine="420" w:firstLineChars="200"/>
              <w:rPr>
                <w:rFonts w:ascii="宋体"/>
                <w:szCs w:val="21"/>
              </w:rPr>
            </w:pPr>
          </w:p>
        </w:tc>
        <w:tc>
          <w:tcPr>
            <w:tcW w:w="743"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预算管理情况</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w:t>
            </w:r>
            <w:r>
              <w:rPr>
                <w:rFonts w:ascii="仿宋_GB2312" w:hAnsi="新宋体" w:eastAsia="仿宋_GB2312" w:cs="仿宋_GB2312"/>
                <w:kern w:val="0"/>
                <w:szCs w:val="21"/>
              </w:rPr>
              <w:t>15</w:t>
            </w:r>
            <w:r>
              <w:rPr>
                <w:rFonts w:hint="eastAsia" w:ascii="仿宋_GB2312" w:hAnsi="新宋体" w:eastAsia="仿宋_GB2312" w:cs="仿宋_GB2312"/>
                <w:kern w:val="0"/>
                <w:szCs w:val="21"/>
              </w:rPr>
              <w:t>）</w:t>
            </w: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资金使用合规性（</w:t>
            </w:r>
            <w:r>
              <w:rPr>
                <w:rFonts w:ascii="仿宋_GB2312" w:hAnsi="新宋体" w:eastAsia="仿宋_GB2312" w:cs="仿宋_GB2312"/>
                <w:kern w:val="0"/>
                <w:szCs w:val="21"/>
              </w:rPr>
              <w:t>8</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符合国家财经法规和财务管理制度规定以及有关部门资金管理办法的规定；</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资金的拨付有完整的审批过程和手续；</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项目的重大开支经过评估论证；</w:t>
            </w:r>
          </w:p>
          <w:p>
            <w:pPr>
              <w:widowControl/>
              <w:spacing w:line="240" w:lineRule="exact"/>
              <w:ind w:firstLine="420" w:firstLineChars="200"/>
              <w:jc w:val="left"/>
              <w:rPr>
                <w:szCs w:val="21"/>
              </w:rPr>
            </w:pPr>
            <w:r>
              <w:rPr>
                <w:rFonts w:ascii="仿宋_GB2312" w:hAnsi="新宋体" w:eastAsia="仿宋_GB2312" w:cs="仿宋_GB2312"/>
                <w:kern w:val="0"/>
                <w:szCs w:val="21"/>
              </w:rPr>
              <w:t>4.</w:t>
            </w:r>
            <w:r>
              <w:rPr>
                <w:rFonts w:hint="eastAsia" w:ascii="仿宋_GB2312" w:hAnsi="新宋体" w:eastAsia="仿宋_GB2312" w:cs="仿宋_GB2312"/>
                <w:kern w:val="0"/>
                <w:szCs w:val="21"/>
              </w:rPr>
              <w:t>符合部门预算批复的用途；</w:t>
            </w:r>
          </w:p>
          <w:p>
            <w:pPr>
              <w:widowControl/>
              <w:spacing w:line="240" w:lineRule="exact"/>
              <w:ind w:firstLine="420" w:firstLineChars="200"/>
              <w:jc w:val="left"/>
              <w:rPr>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不存在截留情况；</w:t>
            </w:r>
          </w:p>
          <w:p>
            <w:pPr>
              <w:widowControl/>
              <w:spacing w:line="240" w:lineRule="exact"/>
              <w:ind w:firstLine="420" w:firstLineChars="200"/>
              <w:jc w:val="left"/>
              <w:rPr>
                <w:szCs w:val="21"/>
              </w:rPr>
            </w:pPr>
            <w:r>
              <w:rPr>
                <w:rFonts w:ascii="仿宋_GB2312" w:hAnsi="新宋体" w:eastAsia="仿宋_GB2312" w:cs="仿宋_GB2312"/>
                <w:kern w:val="0"/>
                <w:szCs w:val="21"/>
              </w:rPr>
              <w:t>6.</w:t>
            </w:r>
            <w:r>
              <w:rPr>
                <w:rFonts w:hint="eastAsia" w:ascii="仿宋_GB2312" w:hAnsi="新宋体" w:eastAsia="仿宋_GB2312" w:cs="仿宋_GB2312"/>
                <w:kern w:val="0"/>
                <w:szCs w:val="21"/>
              </w:rPr>
              <w:t>不存在挤占情况；</w:t>
            </w:r>
          </w:p>
          <w:p>
            <w:pPr>
              <w:widowControl/>
              <w:spacing w:line="240" w:lineRule="exact"/>
              <w:ind w:firstLine="420" w:firstLineChars="200"/>
              <w:jc w:val="left"/>
              <w:rPr>
                <w:szCs w:val="21"/>
              </w:rPr>
            </w:pPr>
            <w:r>
              <w:rPr>
                <w:rFonts w:ascii="仿宋_GB2312" w:hAnsi="新宋体" w:eastAsia="仿宋_GB2312" w:cs="仿宋_GB2312"/>
                <w:kern w:val="0"/>
                <w:szCs w:val="21"/>
              </w:rPr>
              <w:t>7.</w:t>
            </w:r>
            <w:r>
              <w:rPr>
                <w:rFonts w:hint="eastAsia" w:ascii="仿宋_GB2312" w:hAnsi="新宋体" w:eastAsia="仿宋_GB2312" w:cs="仿宋_GB2312"/>
                <w:kern w:val="0"/>
                <w:szCs w:val="21"/>
              </w:rPr>
              <w:t>不存在挪用情况；</w:t>
            </w:r>
          </w:p>
          <w:p>
            <w:pPr>
              <w:widowControl/>
              <w:spacing w:line="240" w:lineRule="exact"/>
              <w:ind w:firstLine="420" w:firstLineChars="200"/>
              <w:jc w:val="left"/>
              <w:rPr>
                <w:szCs w:val="21"/>
              </w:rPr>
            </w:pPr>
            <w:r>
              <w:rPr>
                <w:rFonts w:ascii="仿宋_GB2312" w:hAnsi="新宋体" w:eastAsia="仿宋_GB2312" w:cs="仿宋_GB2312"/>
                <w:kern w:val="0"/>
                <w:szCs w:val="21"/>
              </w:rPr>
              <w:t>8.</w:t>
            </w:r>
            <w:r>
              <w:rPr>
                <w:rFonts w:hint="eastAsia" w:ascii="仿宋_GB2312" w:hAnsi="新宋体" w:eastAsia="仿宋_GB2312" w:cs="仿宋_GB2312"/>
                <w:kern w:val="0"/>
                <w:szCs w:val="21"/>
              </w:rPr>
              <w:t>不存在虚列支出情况。</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8</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符合其中七项（</w:t>
            </w:r>
            <w:r>
              <w:rPr>
                <w:rFonts w:ascii="仿宋_GB2312" w:hAnsi="新宋体" w:eastAsia="仿宋_GB2312" w:cs="仿宋_GB2312"/>
                <w:kern w:val="0"/>
                <w:szCs w:val="21"/>
              </w:rPr>
              <w:t>6</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符合其中六项（</w:t>
            </w:r>
            <w:r>
              <w:rPr>
                <w:rFonts w:ascii="仿宋_GB2312" w:hAnsi="新宋体" w:eastAsia="仿宋_GB2312" w:cs="仿宋_GB2312"/>
                <w:kern w:val="0"/>
                <w:szCs w:val="21"/>
              </w:rPr>
              <w:t>4</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符合其中五项（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符合其中四项及以下（</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预决算信息公开性（</w:t>
            </w: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预决算信息是指与部门预算、执行、决算、监督、绩效等管理相关的信息。</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公开预决算信息；</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按规定内容公开预决算信息；</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按规定时限公开预决算信息。</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全部符合（</w:t>
            </w:r>
            <w:r>
              <w:rPr>
                <w:rFonts w:ascii="仿宋_GB2312" w:hAnsi="新宋体" w:eastAsia="仿宋_GB2312" w:cs="仿宋_GB2312"/>
                <w:kern w:val="0"/>
                <w:szCs w:val="21"/>
              </w:rPr>
              <w:t>3</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符合其中两项（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符合其中一项及以下（</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color w:val="000000"/>
                <w:kern w:val="0"/>
                <w:szCs w:val="21"/>
              </w:rPr>
              <w:t>基础信息完善性</w:t>
            </w:r>
            <w:r>
              <w:rPr>
                <w:rFonts w:hint="eastAsia" w:ascii="仿宋_GB2312" w:hAnsi="新宋体" w:eastAsia="仿宋_GB2312" w:cs="仿宋_GB2312"/>
                <w:kern w:val="0"/>
                <w:szCs w:val="21"/>
              </w:rPr>
              <w:t>（</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部门基础信息是否完善，用以反映和评价基础信息对预算管理工作的支撑情况。</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基本财务管理制度健全；</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基础数据信息和会计信息资料真实；</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基础数据信息和会计信息资料完整；</w:t>
            </w:r>
          </w:p>
          <w:p>
            <w:pPr>
              <w:widowControl/>
              <w:spacing w:line="240" w:lineRule="exact"/>
              <w:ind w:firstLine="420" w:firstLineChars="200"/>
              <w:jc w:val="left"/>
              <w:rPr>
                <w:szCs w:val="21"/>
              </w:rPr>
            </w:pPr>
            <w:r>
              <w:rPr>
                <w:rFonts w:ascii="仿宋_GB2312" w:hAnsi="新宋体" w:eastAsia="仿宋_GB2312" w:cs="仿宋_GB2312"/>
                <w:kern w:val="0"/>
                <w:szCs w:val="21"/>
              </w:rPr>
              <w:t>4.</w:t>
            </w:r>
            <w:r>
              <w:rPr>
                <w:rFonts w:hint="eastAsia" w:ascii="仿宋_GB2312" w:hAnsi="新宋体" w:eastAsia="仿宋_GB2312" w:cs="仿宋_GB2312"/>
                <w:kern w:val="0"/>
                <w:szCs w:val="21"/>
              </w:rPr>
              <w:t>基础数据信息和会计信息资料准确。</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符合全部四项（</w:t>
            </w:r>
            <w:r>
              <w:rPr>
                <w:rFonts w:ascii="仿宋_GB2312" w:hAnsi="新宋体" w:eastAsia="仿宋_GB2312" w:cs="仿宋_GB2312"/>
                <w:kern w:val="0"/>
                <w:szCs w:val="21"/>
              </w:rPr>
              <w:t>4</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符合其中三项（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符合其中两项（</w:t>
            </w:r>
            <w:r>
              <w:rPr>
                <w:rFonts w:ascii="仿宋_GB2312" w:hAnsi="新宋体" w:eastAsia="仿宋_GB2312" w:cs="仿宋_GB2312"/>
                <w:kern w:val="0"/>
                <w:szCs w:val="21"/>
              </w:rPr>
              <w:t>1</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符合其中一项及以下（</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ind w:firstLine="420" w:firstLineChars="200"/>
              <w:rPr>
                <w:rFonts w:ascii="宋体"/>
                <w:szCs w:val="21"/>
              </w:rPr>
            </w:pPr>
          </w:p>
        </w:tc>
        <w:tc>
          <w:tcPr>
            <w:tcW w:w="743"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资产管理情况（</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1275" w:type="dxa"/>
            <w:tcBorders>
              <w:top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资产管理完整性（</w:t>
            </w:r>
            <w:r>
              <w:rPr>
                <w:rFonts w:ascii="仿宋_GB2312" w:hAnsi="新宋体" w:eastAsia="仿宋_GB2312" w:cs="仿宋_GB2312"/>
                <w:kern w:val="0"/>
                <w:szCs w:val="21"/>
              </w:rPr>
              <w:t>2</w:t>
            </w:r>
            <w:r>
              <w:rPr>
                <w:rFonts w:hint="eastAsia" w:ascii="仿宋_GB2312" w:hAnsi="新宋体" w:eastAsia="仿宋_GB2312" w:cs="仿宋_GB2312"/>
                <w:kern w:val="0"/>
                <w:szCs w:val="21"/>
              </w:rPr>
              <w:t>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资产保存完整；</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资产账务管理是否合规，帐实相符；</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资产有偿使用及处置收入及时足额上缴。</w:t>
            </w:r>
          </w:p>
        </w:tc>
        <w:tc>
          <w:tcPr>
            <w:tcW w:w="2373"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符合全部三项（</w:t>
            </w:r>
            <w:r>
              <w:rPr>
                <w:rFonts w:ascii="仿宋_GB2312" w:hAnsi="新宋体" w:eastAsia="仿宋_GB2312" w:cs="仿宋_GB2312"/>
                <w:kern w:val="0"/>
                <w:szCs w:val="21"/>
              </w:rPr>
              <w:t>3</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符合其中两项（</w:t>
            </w:r>
            <w:r>
              <w:rPr>
                <w:rFonts w:ascii="仿宋_GB2312" w:hAnsi="新宋体" w:eastAsia="仿宋_GB2312" w:cs="仿宋_GB2312"/>
                <w:kern w:val="0"/>
                <w:szCs w:val="21"/>
              </w:rPr>
              <w:t>2</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符合其中一项（</w:t>
            </w:r>
            <w:r>
              <w:rPr>
                <w:rFonts w:ascii="仿宋_GB2312" w:hAnsi="新宋体" w:eastAsia="仿宋_GB2312" w:cs="仿宋_GB2312"/>
                <w:kern w:val="0"/>
                <w:szCs w:val="21"/>
              </w:rPr>
              <w:t>1</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符合零项（</w:t>
            </w:r>
            <w:r>
              <w:rPr>
                <w:rFonts w:ascii="仿宋_GB2312" w:hAnsi="新宋体" w:eastAsia="仿宋_GB2312" w:cs="仿宋_GB2312"/>
                <w:kern w:val="0"/>
                <w:szCs w:val="21"/>
              </w:rPr>
              <w:t>0</w:t>
            </w:r>
            <w:r>
              <w:rPr>
                <w:rFonts w:hint="eastAsia" w:ascii="仿宋_GB2312" w:hAnsi="新宋体" w:eastAsia="仿宋_GB2312" w:cs="仿宋_GB2312"/>
                <w:kern w:val="0"/>
                <w:szCs w:val="21"/>
              </w:rPr>
              <w:t>）。</w:t>
            </w:r>
          </w:p>
        </w:tc>
        <w:tc>
          <w:tcPr>
            <w:tcW w:w="764" w:type="dxa"/>
            <w:tcBorders>
              <w:top w:val="single" w:color="auto" w:sz="4" w:space="0"/>
              <w:left w:val="single" w:color="auto" w:sz="4" w:space="0"/>
            </w:tcBorders>
            <w:vAlign w:val="center"/>
          </w:tcPr>
          <w:p>
            <w:pPr>
              <w:widowControl/>
              <w:spacing w:line="240" w:lineRule="exact"/>
              <w:ind w:firstLine="420" w:firstLineChars="200"/>
              <w:jc w:val="left"/>
              <w:rPr>
                <w:szCs w:val="21"/>
              </w:rPr>
            </w:pPr>
            <w:r>
              <w:rPr>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top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3</w:t>
            </w:r>
            <w:r>
              <w:rPr>
                <w:rFonts w:hint="eastAsia" w:ascii="仿宋_GB2312" w:hAnsi="新宋体" w:eastAsia="仿宋_GB2312" w:cs="仿宋_GB2312"/>
                <w:kern w:val="0"/>
                <w:szCs w:val="21"/>
              </w:rPr>
              <w:t>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w:t>
            </w:r>
            <w:r>
              <w:rPr>
                <w:rFonts w:hint="eastAsia" w:ascii="仿宋_GB2312" w:hAnsi="新宋体" w:eastAsia="仿宋_GB2312" w:cs="仿宋_GB2312"/>
                <w:kern w:val="0"/>
                <w:szCs w:val="21"/>
              </w:rPr>
              <w:t>（实际在用固定资产总额</w:t>
            </w:r>
            <w:r>
              <w:rPr>
                <w:rFonts w:ascii="仿宋_GB2312" w:hAnsi="新宋体" w:eastAsia="仿宋_GB2312" w:cs="仿宋_GB2312"/>
                <w:kern w:val="0"/>
                <w:szCs w:val="21"/>
              </w:rPr>
              <w:t>/</w:t>
            </w:r>
            <w:r>
              <w:rPr>
                <w:rFonts w:hint="eastAsia" w:ascii="仿宋_GB2312" w:hAnsi="新宋体" w:eastAsia="仿宋_GB2312" w:cs="仿宋_GB2312"/>
                <w:kern w:val="0"/>
                <w:szCs w:val="21"/>
              </w:rPr>
              <w:t>所有固定资产总额）×</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tc>
        <w:tc>
          <w:tcPr>
            <w:tcW w:w="2373"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固定资产利用率大于或等于</w:t>
            </w:r>
            <w:r>
              <w:rPr>
                <w:rFonts w:ascii="仿宋_GB2312" w:hAnsi="新宋体" w:eastAsia="仿宋_GB2312" w:cs="仿宋_GB2312"/>
                <w:kern w:val="0"/>
                <w:szCs w:val="21"/>
              </w:rPr>
              <w:t>95%</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固定资产利用率小于或等于</w:t>
            </w:r>
            <w:r>
              <w:rPr>
                <w:rFonts w:ascii="仿宋_GB2312" w:hAnsi="新宋体" w:eastAsia="仿宋_GB2312" w:cs="仿宋_GB2312"/>
                <w:kern w:val="0"/>
                <w:szCs w:val="21"/>
              </w:rPr>
              <w:t>85%</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固定资产利用率在</w:t>
            </w:r>
            <w:r>
              <w:rPr>
                <w:rFonts w:ascii="仿宋_GB2312" w:hAnsi="新宋体" w:eastAsia="仿宋_GB2312" w:cs="仿宋_GB2312"/>
                <w:kern w:val="0"/>
                <w:szCs w:val="21"/>
              </w:rPr>
              <w:t>85%-95%</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［某部门固定资产利用率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（固定资产利用率）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（固定资产利用率）］×该指标分值。</w:t>
            </w:r>
          </w:p>
        </w:tc>
        <w:tc>
          <w:tcPr>
            <w:tcW w:w="764" w:type="dxa"/>
            <w:tcBorders>
              <w:top w:val="single" w:color="auto" w:sz="4" w:space="0"/>
              <w:left w:val="single" w:color="auto" w:sz="4" w:space="0"/>
            </w:tcBorders>
            <w:vAlign w:val="center"/>
          </w:tcPr>
          <w:p>
            <w:pPr>
              <w:widowControl/>
              <w:spacing w:line="240" w:lineRule="exact"/>
              <w:ind w:firstLine="420" w:firstLineChars="200"/>
              <w:jc w:val="left"/>
              <w:rPr>
                <w:szCs w:val="21"/>
              </w:rPr>
            </w:pPr>
            <w:r>
              <w:rPr>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产出</w:t>
            </w:r>
            <w:r>
              <w:rPr>
                <w:rFonts w:ascii="仿宋_GB2312" w:hAnsi="新宋体" w:eastAsia="仿宋_GB2312" w:cs="仿宋_GB2312"/>
                <w:kern w:val="0"/>
                <w:szCs w:val="21"/>
              </w:rPr>
              <w:t>(25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职责履行情况（</w:t>
            </w:r>
            <w:r>
              <w:rPr>
                <w:rFonts w:ascii="仿宋_GB2312" w:hAnsi="新宋体" w:eastAsia="仿宋_GB2312" w:cs="仿宋_GB2312"/>
                <w:kern w:val="0"/>
                <w:szCs w:val="21"/>
              </w:rPr>
              <w:t>25</w:t>
            </w:r>
            <w:r>
              <w:rPr>
                <w:rFonts w:hint="eastAsia" w:ascii="仿宋_GB2312" w:hAnsi="新宋体" w:eastAsia="仿宋_GB2312" w:cs="仿宋_GB2312"/>
                <w:kern w:val="0"/>
                <w:szCs w:val="21"/>
              </w:rPr>
              <w:t>）</w:t>
            </w:r>
          </w:p>
        </w:tc>
        <w:tc>
          <w:tcPr>
            <w:tcW w:w="1275" w:type="dxa"/>
            <w:tcBorders>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10</w:t>
            </w:r>
            <w:r>
              <w:rPr>
                <w:rFonts w:hint="eastAsia" w:ascii="仿宋_GB2312" w:hAnsi="新宋体" w:eastAsia="仿宋_GB2312" w:cs="仿宋_GB2312"/>
                <w:kern w:val="0"/>
                <w:szCs w:val="21"/>
              </w:rPr>
              <w:t>分）</w:t>
            </w:r>
          </w:p>
        </w:tc>
        <w:tc>
          <w:tcPr>
            <w:tcW w:w="3436"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每项任务是否已制定了明确、具体、可量化、可衡量的绩效指标；</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每项任务绩效指标的完成情况，是全部完成、基本完成、未完成，还是未实施；</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每项任务实施效果情况，是优秀、良好、一般，还是无效果；</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每项任务是否建立了目标责任制，是否落实到具体部门和人员负责。</w:t>
            </w:r>
          </w:p>
        </w:tc>
        <w:tc>
          <w:tcPr>
            <w:tcW w:w="2373" w:type="dxa"/>
            <w:tcBorders>
              <w:left w:val="single" w:color="auto" w:sz="4" w:space="0"/>
              <w:bottom w:val="single" w:color="auto"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left w:val="single" w:color="auto" w:sz="4" w:space="0"/>
              <w:bottom w:val="single" w:color="auto" w:sz="4" w:space="0"/>
            </w:tcBorders>
            <w:vAlign w:val="center"/>
          </w:tcPr>
          <w:p>
            <w:pPr>
              <w:widowControl/>
              <w:spacing w:line="240" w:lineRule="exact"/>
              <w:jc w:val="left"/>
              <w:rPr>
                <w:szCs w:val="21"/>
              </w:rPr>
            </w:pPr>
            <w:r>
              <w:rPr>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vAlign w:val="center"/>
          </w:tcPr>
          <w:p>
            <w:pPr>
              <w:spacing w:line="240" w:lineRule="exact"/>
              <w:ind w:firstLine="420" w:firstLineChars="200"/>
              <w:rPr>
                <w:rFonts w:ascii="宋体"/>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项目完成质量达标率（</w:t>
            </w:r>
            <w:r>
              <w:rPr>
                <w:rFonts w:ascii="仿宋_GB2312" w:hAnsi="新宋体" w:eastAsia="仿宋_GB2312" w:cs="仿宋_GB2312"/>
                <w:kern w:val="0"/>
                <w:szCs w:val="21"/>
              </w:rPr>
              <w:t>15</w:t>
            </w:r>
            <w:r>
              <w:rPr>
                <w:rFonts w:hint="eastAsia" w:ascii="仿宋_GB2312" w:hAnsi="新宋体" w:eastAsia="仿宋_GB2312" w:cs="仿宋_GB2312"/>
                <w:kern w:val="0"/>
                <w:szCs w:val="21"/>
              </w:rPr>
              <w:t>）</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部门已完成项目中质量达标项目个数占已完成项目个数的比率</w:t>
            </w:r>
            <w:r>
              <w:rPr>
                <w:rFonts w:ascii="仿宋_GB2312" w:hAnsi="新宋体" w:eastAsia="仿宋_GB2312" w:cs="仿宋_GB2312"/>
                <w:kern w:val="0"/>
                <w:szCs w:val="21"/>
              </w:rPr>
              <w:t>,</w:t>
            </w:r>
            <w:r>
              <w:rPr>
                <w:rFonts w:hint="eastAsia" w:ascii="仿宋_GB2312" w:hAnsi="新宋体" w:eastAsia="仿宋_GB2312" w:cs="仿宋_GB2312"/>
                <w:kern w:val="0"/>
                <w:szCs w:val="21"/>
              </w:rPr>
              <w:t>用以反映和评价部门履职质量目标的实现程度。</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项目质量达标率</w:t>
            </w:r>
            <w:r>
              <w:rPr>
                <w:rFonts w:ascii="仿宋_GB2312" w:hAnsi="新宋体" w:eastAsia="仿宋_GB2312" w:cs="仿宋_GB2312"/>
                <w:kern w:val="0"/>
                <w:szCs w:val="21"/>
              </w:rPr>
              <w:t>=</w:t>
            </w:r>
            <w:r>
              <w:rPr>
                <w:rFonts w:hint="eastAsia" w:ascii="仿宋_GB2312" w:hAnsi="新宋体" w:eastAsia="仿宋_GB2312" w:cs="仿宋_GB2312"/>
                <w:kern w:val="0"/>
                <w:szCs w:val="21"/>
              </w:rPr>
              <w:t>（已完成项目中质量达标项目个数</w:t>
            </w:r>
            <w:r>
              <w:rPr>
                <w:rFonts w:ascii="仿宋_GB2312" w:hAnsi="新宋体" w:eastAsia="仿宋_GB2312" w:cs="仿宋_GB2312"/>
                <w:kern w:val="0"/>
                <w:szCs w:val="21"/>
              </w:rPr>
              <w:t>/</w:t>
            </w:r>
            <w:r>
              <w:rPr>
                <w:rFonts w:hint="eastAsia" w:ascii="仿宋_GB2312" w:hAnsi="新宋体" w:eastAsia="仿宋_GB2312" w:cs="仿宋_GB2312"/>
                <w:kern w:val="0"/>
                <w:szCs w:val="21"/>
              </w:rPr>
              <w:t>已完成项目个数）×</w:t>
            </w:r>
            <w:r>
              <w:rPr>
                <w:rFonts w:ascii="仿宋_GB2312" w:hAnsi="新宋体" w:eastAsia="仿宋_GB2312" w:cs="仿宋_GB2312"/>
                <w:kern w:val="0"/>
                <w:szCs w:val="21"/>
              </w:rPr>
              <w:t>100%</w:t>
            </w:r>
            <w:r>
              <w:rPr>
                <w:rFonts w:hint="eastAsia" w:ascii="仿宋_GB2312" w:hAnsi="新宋体" w:eastAsia="仿宋_GB2312" w:cs="仿宋_GB2312"/>
                <w:kern w:val="0"/>
                <w:szCs w:val="21"/>
              </w:rPr>
              <w:t>。</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项目质量达标是指项目决算验收合格。</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_GB2312" w:hAnsi="新宋体" w:eastAsia="仿宋_GB2312" w:cs="仿宋_GB2312"/>
                <w:kern w:val="0"/>
                <w:szCs w:val="21"/>
              </w:rPr>
              <w:t>项目质量达标率等于</w:t>
            </w:r>
            <w:r>
              <w:rPr>
                <w:rFonts w:ascii="仿宋_GB2312" w:hAnsi="新宋体" w:eastAsia="仿宋_GB2312" w:cs="仿宋_GB2312"/>
                <w:kern w:val="0"/>
                <w:szCs w:val="21"/>
              </w:rPr>
              <w:t>100%</w:t>
            </w:r>
            <w:r>
              <w:rPr>
                <w:rFonts w:hint="eastAsia" w:ascii="仿宋_GB2312" w:hAnsi="新宋体" w:eastAsia="仿宋_GB2312" w:cs="仿宋_GB2312"/>
                <w:kern w:val="0"/>
                <w:szCs w:val="21"/>
              </w:rPr>
              <w:t>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_GB2312" w:hAnsi="新宋体" w:eastAsia="仿宋_GB2312" w:cs="仿宋_GB2312"/>
                <w:kern w:val="0"/>
                <w:szCs w:val="21"/>
              </w:rPr>
              <w:t>项目质量达标率小于或等于</w:t>
            </w:r>
            <w:r>
              <w:rPr>
                <w:rFonts w:ascii="仿宋_GB2312" w:hAnsi="新宋体" w:eastAsia="仿宋_GB2312" w:cs="仿宋_GB2312"/>
                <w:kern w:val="0"/>
                <w:szCs w:val="21"/>
              </w:rPr>
              <w:t>99%</w:t>
            </w:r>
            <w:r>
              <w:rPr>
                <w:rFonts w:hint="eastAsia" w:ascii="仿宋_GB2312" w:hAnsi="新宋体" w:eastAsia="仿宋_GB2312" w:cs="仿宋_GB2312"/>
                <w:kern w:val="0"/>
                <w:szCs w:val="21"/>
              </w:rPr>
              <w:t>的，得</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p>
          <w:p>
            <w:pPr>
              <w:widowControl/>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_GB2312" w:hAnsi="新宋体" w:eastAsia="仿宋_GB2312" w:cs="仿宋_GB2312"/>
                <w:kern w:val="0"/>
                <w:szCs w:val="21"/>
              </w:rPr>
              <w:t>项目质量达标率在</w:t>
            </w:r>
            <w:r>
              <w:rPr>
                <w:rFonts w:ascii="仿宋_GB2312" w:hAnsi="新宋体" w:eastAsia="仿宋_GB2312" w:cs="仿宋_GB2312"/>
                <w:kern w:val="0"/>
                <w:szCs w:val="21"/>
              </w:rPr>
              <w:t>99%-100%</w:t>
            </w:r>
            <w:r>
              <w:rPr>
                <w:rFonts w:hint="eastAsia" w:ascii="仿宋_GB2312" w:hAnsi="新宋体" w:eastAsia="仿宋_GB2312" w:cs="仿宋_GB2312"/>
                <w:kern w:val="0"/>
                <w:szCs w:val="21"/>
              </w:rPr>
              <w:t>之间的，在</w:t>
            </w:r>
            <w:r>
              <w:rPr>
                <w:rFonts w:ascii="仿宋_GB2312" w:hAnsi="新宋体" w:eastAsia="仿宋_GB2312" w:cs="仿宋_GB2312"/>
                <w:kern w:val="0"/>
                <w:szCs w:val="21"/>
              </w:rPr>
              <w:t>0</w:t>
            </w:r>
            <w:r>
              <w:rPr>
                <w:rFonts w:hint="eastAsia" w:ascii="仿宋_GB2312" w:hAnsi="新宋体" w:eastAsia="仿宋_GB2312" w:cs="仿宋_GB2312"/>
                <w:kern w:val="0"/>
                <w:szCs w:val="21"/>
              </w:rPr>
              <w:t>和满分之间计算确定：</w:t>
            </w:r>
          </w:p>
          <w:p>
            <w:pPr>
              <w:widowControl/>
              <w:spacing w:line="240" w:lineRule="exact"/>
              <w:ind w:firstLine="420" w:firstLineChars="200"/>
              <w:jc w:val="left"/>
              <w:rPr>
                <w:szCs w:val="21"/>
              </w:rPr>
            </w:pPr>
            <w:r>
              <w:rPr>
                <w:rFonts w:hint="eastAsia" w:ascii="仿宋_GB2312" w:hAnsi="新宋体" w:eastAsia="仿宋_GB2312" w:cs="仿宋_GB2312"/>
                <w:kern w:val="0"/>
                <w:szCs w:val="21"/>
              </w:rPr>
              <w:t>得分</w:t>
            </w:r>
            <w:r>
              <w:rPr>
                <w:rFonts w:ascii="仿宋_GB2312" w:hAnsi="新宋体" w:eastAsia="仿宋_GB2312" w:cs="仿宋_GB2312"/>
                <w:kern w:val="0"/>
                <w:szCs w:val="21"/>
              </w:rPr>
              <w:t>=</w:t>
            </w:r>
            <w:r>
              <w:rPr>
                <w:rFonts w:hint="eastAsia" w:ascii="仿宋_GB2312" w:hAnsi="新宋体" w:eastAsia="仿宋_GB2312" w:cs="仿宋_GB2312"/>
                <w:kern w:val="0"/>
                <w:szCs w:val="21"/>
              </w:rPr>
              <w:t>［某部门项目质量达标率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（项目质量达标率）］</w:t>
            </w:r>
            <w:r>
              <w:rPr>
                <w:rFonts w:ascii="仿宋_GB2312" w:hAnsi="新宋体" w:eastAsia="仿宋_GB2312" w:cs="仿宋_GB2312"/>
                <w:kern w:val="0"/>
                <w:szCs w:val="21"/>
              </w:rPr>
              <w:t>/</w:t>
            </w:r>
            <w:r>
              <w:rPr>
                <w:rFonts w:hint="eastAsia" w:ascii="仿宋_GB2312" w:hAnsi="新宋体" w:eastAsia="仿宋_GB2312" w:cs="仿宋_GB2312"/>
                <w:kern w:val="0"/>
                <w:szCs w:val="21"/>
              </w:rPr>
              <w:t>［</w:t>
            </w:r>
            <w:r>
              <w:rPr>
                <w:rFonts w:ascii="仿宋_GB2312" w:hAnsi="新宋体" w:eastAsia="仿宋_GB2312" w:cs="仿宋_GB2312"/>
                <w:kern w:val="0"/>
                <w:szCs w:val="21"/>
              </w:rPr>
              <w:t>max</w:t>
            </w:r>
            <w:r>
              <w:rPr>
                <w:rFonts w:hint="eastAsia" w:ascii="仿宋_GB2312" w:hAnsi="新宋体" w:eastAsia="仿宋_GB2312" w:cs="仿宋_GB2312"/>
                <w:kern w:val="0"/>
                <w:szCs w:val="21"/>
              </w:rPr>
              <w:t>（项目质量达标率）</w:t>
            </w:r>
            <w:r>
              <w:rPr>
                <w:rFonts w:ascii="仿宋_GB2312" w:hAnsi="新宋体" w:eastAsia="仿宋_GB2312" w:cs="仿宋_GB2312"/>
                <w:kern w:val="0"/>
                <w:szCs w:val="21"/>
              </w:rPr>
              <w:t>-min</w:t>
            </w:r>
            <w:r>
              <w:rPr>
                <w:rFonts w:hint="eastAsia" w:ascii="仿宋_GB2312" w:hAnsi="新宋体" w:eastAsia="仿宋_GB2312" w:cs="仿宋_GB2312"/>
                <w:kern w:val="0"/>
                <w:szCs w:val="21"/>
              </w:rPr>
              <w:t>（项目质量达标率）］×该指标分值。</w:t>
            </w:r>
          </w:p>
        </w:tc>
        <w:tc>
          <w:tcPr>
            <w:tcW w:w="764" w:type="dxa"/>
            <w:tcBorders>
              <w:left w:val="single" w:color="auto" w:sz="4" w:space="0"/>
              <w:bottom w:val="single" w:color="auto" w:sz="4" w:space="0"/>
            </w:tcBorders>
            <w:vAlign w:val="center"/>
          </w:tcPr>
          <w:p>
            <w:pPr>
              <w:widowControl/>
              <w:spacing w:line="240" w:lineRule="exact"/>
              <w:jc w:val="left"/>
              <w:rPr>
                <w:szCs w:val="21"/>
              </w:rPr>
            </w:pPr>
            <w:r>
              <w:rPr>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效果（</w:t>
            </w:r>
            <w:r>
              <w:rPr>
                <w:rFonts w:ascii="仿宋_GB2312" w:hAnsi="新宋体" w:eastAsia="仿宋_GB2312" w:cs="仿宋_GB2312"/>
                <w:kern w:val="0"/>
                <w:szCs w:val="21"/>
              </w:rPr>
              <w:t>20</w:t>
            </w:r>
            <w:r>
              <w:rPr>
                <w:rFonts w:hint="eastAsia" w:ascii="仿宋_GB2312" w:hAnsi="新宋体" w:eastAsia="仿宋_GB2312" w:cs="仿宋_GB2312"/>
                <w:kern w:val="0"/>
                <w:szCs w:val="21"/>
              </w:rPr>
              <w:t>分）</w:t>
            </w:r>
          </w:p>
        </w:tc>
        <w:tc>
          <w:tcPr>
            <w:tcW w:w="743" w:type="dxa"/>
            <w:vMerge w:val="restart"/>
            <w:tcBorders>
              <w:top w:val="single" w:color="auto"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p>
            <w:pPr>
              <w:widowControl/>
              <w:spacing w:line="240" w:lineRule="exact"/>
              <w:ind w:firstLine="420" w:firstLineChars="200"/>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ind w:firstLine="420" w:firstLineChars="200"/>
              <w:jc w:val="left"/>
              <w:rPr>
                <w:rFonts w:ascii="仿宋_GB2312" w:hAnsi="新宋体" w:eastAsia="仿宋_GB2312" w:cs="仿宋_GB2312"/>
                <w:kern w:val="0"/>
                <w:szCs w:val="21"/>
              </w:rPr>
            </w:pPr>
            <w:r>
              <w:rPr>
                <w:rFonts w:hint="eastAsia" w:ascii="仿宋_GB2312" w:hAnsi="新宋体" w:eastAsia="仿宋_GB2312" w:cs="仿宋_GB2312"/>
                <w:kern w:val="0"/>
                <w:szCs w:val="21"/>
              </w:rPr>
              <w:t>（</w:t>
            </w:r>
            <w:r>
              <w:rPr>
                <w:rFonts w:ascii="仿宋_GB2312" w:hAnsi="新宋体" w:eastAsia="仿宋_GB2312" w:cs="仿宋_GB2312"/>
                <w:kern w:val="0"/>
                <w:szCs w:val="21"/>
              </w:rPr>
              <w:t>20</w:t>
            </w:r>
            <w:r>
              <w:rPr>
                <w:rFonts w:hint="eastAsia" w:ascii="仿宋_GB2312" w:hAnsi="新宋体" w:eastAsia="仿宋_GB2312" w:cs="仿宋_GB2312"/>
                <w:kern w:val="0"/>
                <w:szCs w:val="21"/>
              </w:rPr>
              <w:t>分）</w:t>
            </w: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color w:val="000000"/>
                <w:kern w:val="0"/>
                <w:szCs w:val="21"/>
              </w:rPr>
              <w:t>经济效益</w:t>
            </w:r>
            <w:r>
              <w:rPr>
                <w:rFonts w:hint="eastAsia" w:ascii="仿宋_GB2312" w:hAnsi="新宋体" w:eastAsia="仿宋_GB2312" w:cs="仿宋_GB2312"/>
                <w:kern w:val="0"/>
                <w:szCs w:val="21"/>
              </w:rPr>
              <w:t>（</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通过部门所属企事业单位改革，促进了企事业单位效益增长情况；</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通过预算支出项目的实施，促进了行业生产能力增长，从而带动行业经济效益增长；</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通过预算支出项目的实施，有效提高劳动效率，节约成本费用；</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通过预算支出项目的实施，降低了损耗，从而提高了生产效益；</w:t>
            </w:r>
            <w:r>
              <w:rPr>
                <w:rFonts w:ascii="仿宋" w:hAnsi="仿宋" w:eastAsia="仿宋" w:cs="仿宋"/>
                <w:color w:val="000000"/>
                <w:kern w:val="0"/>
                <w:szCs w:val="21"/>
              </w:rPr>
              <w:br w:type="textWrapping"/>
            </w:r>
            <w:r>
              <w:rPr>
                <w:rFonts w:ascii="仿宋" w:hAnsi="仿宋" w:eastAsia="仿宋" w:cs="仿宋"/>
                <w:color w:val="000000"/>
                <w:kern w:val="0"/>
                <w:szCs w:val="21"/>
              </w:rPr>
              <w:t>5.</w:t>
            </w:r>
            <w:r>
              <w:rPr>
                <w:rFonts w:hint="eastAsia" w:ascii="仿宋" w:hAnsi="仿宋" w:eastAsia="仿宋" w:cs="仿宋"/>
                <w:color w:val="000000"/>
                <w:kern w:val="0"/>
                <w:szCs w:val="21"/>
              </w:rPr>
              <w:t>通过预算支出项目的实施，完善了突发情况的监测预警，保障了生产安全，降低了生产损失。</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right w:val="single" w:color="auto" w:sz="4" w:space="0"/>
            </w:tcBorders>
            <w:vAlign w:val="center"/>
          </w:tcPr>
          <w:p>
            <w:pPr>
              <w:widowControl/>
              <w:spacing w:line="240" w:lineRule="exact"/>
              <w:ind w:firstLine="420" w:firstLineChars="200"/>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w:t>
            </w:r>
            <w:r>
              <w:rPr>
                <w:rFonts w:ascii="仿宋_GB2312" w:hAnsi="新宋体" w:eastAsia="仿宋_GB2312" w:cs="仿宋_GB2312"/>
                <w:color w:val="000000"/>
                <w:kern w:val="0"/>
                <w:szCs w:val="21"/>
              </w:rPr>
              <w:t>5</w:t>
            </w:r>
            <w:r>
              <w:rPr>
                <w:rFonts w:hint="eastAsia" w:ascii="仿宋_GB2312" w:hAnsi="新宋体" w:eastAsia="仿宋_GB2312" w:cs="仿宋_GB2312"/>
                <w:color w:val="000000"/>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通过部门所属企事业单位的改革，促进了企事业单位可持续发展，带动就业增长情况；</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通过预算支出项目的实施，是否明显促进了行业精神文明建设；</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通过部门履职是否明显提高城乡居民生活水平，满足了人们日益增长的物质与文化生活需求；</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通过预算项目的实施，是否提高了劳动生产率，降低了劳动强度，促进了劳动人民的身心健康；</w:t>
            </w:r>
            <w:r>
              <w:rPr>
                <w:rFonts w:ascii="仿宋" w:hAnsi="仿宋" w:eastAsia="仿宋" w:cs="仿宋"/>
                <w:color w:val="000000"/>
                <w:kern w:val="0"/>
                <w:szCs w:val="21"/>
              </w:rPr>
              <w:br w:type="textWrapping"/>
            </w:r>
            <w:r>
              <w:rPr>
                <w:rFonts w:ascii="仿宋" w:hAnsi="仿宋" w:eastAsia="仿宋" w:cs="仿宋"/>
                <w:color w:val="000000"/>
                <w:kern w:val="0"/>
                <w:szCs w:val="21"/>
              </w:rPr>
              <w:t>5.</w:t>
            </w:r>
            <w:r>
              <w:rPr>
                <w:rFonts w:hint="eastAsia" w:ascii="仿宋" w:hAnsi="仿宋" w:eastAsia="仿宋" w:cs="仿宋"/>
                <w:color w:val="000000"/>
                <w:kern w:val="0"/>
                <w:szCs w:val="21"/>
              </w:rPr>
              <w:t>通过部门履职行业形象是否得到了大大提升了，增强了部门影响力。</w:t>
            </w:r>
          </w:p>
        </w:tc>
        <w:tc>
          <w:tcPr>
            <w:tcW w:w="2373" w:type="dxa"/>
            <w:tcBorders>
              <w:left w:val="single" w:color="auto" w:sz="4" w:space="0"/>
              <w:right w:val="single" w:color="auto" w:sz="4" w:space="0"/>
            </w:tcBorders>
            <w:vAlign w:val="center"/>
          </w:tcPr>
          <w:p>
            <w:pPr>
              <w:widowControl/>
              <w:spacing w:line="240" w:lineRule="exact"/>
              <w:ind w:firstLine="420" w:firstLineChars="200"/>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right w:val="single" w:color="auto" w:sz="4" w:space="0"/>
            </w:tcBorders>
            <w:vAlign w:val="center"/>
          </w:tcPr>
          <w:p>
            <w:pPr>
              <w:widowControl/>
              <w:spacing w:line="240" w:lineRule="exact"/>
              <w:ind w:firstLine="420" w:firstLineChars="200"/>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w:t>
            </w:r>
            <w:r>
              <w:rPr>
                <w:rFonts w:ascii="仿宋_GB2312" w:hAnsi="新宋体" w:eastAsia="仿宋_GB2312" w:cs="仿宋_GB2312"/>
                <w:color w:val="000000"/>
                <w:kern w:val="0"/>
                <w:szCs w:val="21"/>
              </w:rPr>
              <w:t>5</w:t>
            </w:r>
            <w:r>
              <w:rPr>
                <w:rFonts w:hint="eastAsia" w:ascii="仿宋_GB2312" w:hAnsi="新宋体" w:eastAsia="仿宋_GB2312" w:cs="仿宋_GB2312"/>
                <w:color w:val="000000"/>
                <w:kern w:val="0"/>
                <w:szCs w:val="21"/>
              </w:rPr>
              <w:t>分）</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ascii="仿宋" w:hAnsi="仿宋" w:eastAsia="仿宋" w:cs="仿宋"/>
                <w:color w:val="000000"/>
                <w:kern w:val="0"/>
                <w:szCs w:val="21"/>
              </w:rPr>
              <w:br w:type="textWrapping"/>
            </w:r>
            <w:r>
              <w:rPr>
                <w:rFonts w:ascii="仿宋" w:hAnsi="仿宋" w:eastAsia="仿宋" w:cs="仿宋"/>
                <w:color w:val="000000"/>
                <w:kern w:val="0"/>
                <w:szCs w:val="21"/>
              </w:rPr>
              <w:t>1.</w:t>
            </w:r>
            <w:r>
              <w:rPr>
                <w:rFonts w:hint="eastAsia" w:ascii="仿宋" w:hAnsi="仿宋" w:eastAsia="仿宋" w:cs="仿宋"/>
                <w:color w:val="000000"/>
                <w:kern w:val="0"/>
                <w:szCs w:val="21"/>
              </w:rPr>
              <w:t>通过预算支出项目的实施，绿色、节能环保新技术的应用和推广，明显带动各环节的节能减排，也具有一定的环境效益；</w:t>
            </w:r>
            <w:r>
              <w:rPr>
                <w:rFonts w:ascii="仿宋" w:hAnsi="仿宋" w:eastAsia="仿宋" w:cs="仿宋"/>
                <w:color w:val="000000"/>
                <w:kern w:val="0"/>
                <w:szCs w:val="21"/>
              </w:rPr>
              <w:br w:type="textWrapping"/>
            </w:r>
            <w:r>
              <w:rPr>
                <w:rFonts w:ascii="仿宋" w:hAnsi="仿宋" w:eastAsia="仿宋" w:cs="仿宋"/>
                <w:color w:val="000000"/>
                <w:kern w:val="0"/>
                <w:szCs w:val="21"/>
              </w:rPr>
              <w:t>2.</w:t>
            </w:r>
            <w:r>
              <w:rPr>
                <w:rFonts w:hint="eastAsia" w:ascii="仿宋" w:hAnsi="仿宋" w:eastAsia="仿宋" w:cs="仿宋"/>
                <w:color w:val="000000"/>
                <w:kern w:val="0"/>
                <w:szCs w:val="21"/>
              </w:rPr>
              <w:t>通过履职有效地控制虚假、伪劣、霉变等劣质产品进入市场，影响了人民生活质量，净化地市场环境；</w:t>
            </w:r>
            <w:r>
              <w:rPr>
                <w:rFonts w:ascii="仿宋" w:hAnsi="仿宋" w:eastAsia="仿宋" w:cs="仿宋"/>
                <w:color w:val="000000"/>
                <w:kern w:val="0"/>
                <w:szCs w:val="21"/>
              </w:rPr>
              <w:br w:type="textWrapping"/>
            </w:r>
            <w:r>
              <w:rPr>
                <w:rFonts w:ascii="仿宋" w:hAnsi="仿宋" w:eastAsia="仿宋" w:cs="仿宋"/>
                <w:color w:val="000000"/>
                <w:kern w:val="0"/>
                <w:szCs w:val="21"/>
              </w:rPr>
              <w:t>3.</w:t>
            </w:r>
            <w:r>
              <w:rPr>
                <w:rFonts w:hint="eastAsia" w:ascii="仿宋" w:hAnsi="仿宋" w:eastAsia="仿宋" w:cs="仿宋"/>
                <w:color w:val="000000"/>
                <w:kern w:val="0"/>
                <w:szCs w:val="21"/>
              </w:rPr>
              <w:t>通过预算支出项目的实施，是否达到减少污染物排放；</w:t>
            </w:r>
            <w:r>
              <w:rPr>
                <w:rFonts w:ascii="仿宋" w:hAnsi="仿宋" w:eastAsia="仿宋" w:cs="仿宋"/>
                <w:color w:val="000000"/>
                <w:kern w:val="0"/>
                <w:szCs w:val="21"/>
              </w:rPr>
              <w:br w:type="textWrapping"/>
            </w:r>
            <w:r>
              <w:rPr>
                <w:rFonts w:ascii="仿宋" w:hAnsi="仿宋" w:eastAsia="仿宋" w:cs="仿宋"/>
                <w:color w:val="000000"/>
                <w:kern w:val="0"/>
                <w:szCs w:val="21"/>
              </w:rPr>
              <w:t>4.</w:t>
            </w:r>
            <w:r>
              <w:rPr>
                <w:rFonts w:hint="eastAsia" w:ascii="仿宋" w:hAnsi="仿宋" w:eastAsia="仿宋" w:cs="仿宋"/>
                <w:color w:val="000000"/>
                <w:kern w:val="0"/>
                <w:szCs w:val="21"/>
              </w:rPr>
              <w:t>通过预算支出项目的实施，周围环境得到了整治，面貌得到了改善。</w:t>
            </w:r>
          </w:p>
        </w:tc>
        <w:tc>
          <w:tcPr>
            <w:tcW w:w="2373" w:type="dxa"/>
            <w:tcBorders>
              <w:left w:val="single" w:color="auto"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vAlign w:val="center"/>
          </w:tcPr>
          <w:p>
            <w:pPr>
              <w:spacing w:line="240" w:lineRule="exact"/>
              <w:ind w:firstLine="420" w:firstLineChars="200"/>
              <w:rPr>
                <w:rFonts w:ascii="宋体"/>
                <w:szCs w:val="21"/>
              </w:rPr>
            </w:pPr>
          </w:p>
        </w:tc>
        <w:tc>
          <w:tcPr>
            <w:tcW w:w="743" w:type="dxa"/>
            <w:vMerge w:val="continue"/>
            <w:tcBorders>
              <w:bottom w:val="single" w:color="auto" w:sz="4" w:space="0"/>
            </w:tcBorders>
            <w:vAlign w:val="center"/>
          </w:tcPr>
          <w:p>
            <w:pPr>
              <w:widowControl/>
              <w:spacing w:line="240" w:lineRule="exact"/>
              <w:ind w:firstLine="420" w:firstLineChars="200"/>
              <w:jc w:val="left"/>
              <w:rPr>
                <w:szCs w:val="21"/>
              </w:rPr>
            </w:pPr>
          </w:p>
        </w:tc>
        <w:tc>
          <w:tcPr>
            <w:tcW w:w="1275" w:type="dxa"/>
            <w:tcBorders>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服务对象满意度（</w:t>
            </w:r>
            <w:r>
              <w:rPr>
                <w:rFonts w:ascii="仿宋_GB2312" w:hAnsi="新宋体" w:eastAsia="仿宋_GB2312" w:cs="仿宋_GB2312"/>
                <w:kern w:val="0"/>
                <w:szCs w:val="21"/>
              </w:rPr>
              <w:t>5</w:t>
            </w:r>
            <w:r>
              <w:rPr>
                <w:rFonts w:hint="eastAsia" w:ascii="仿宋_GB2312" w:hAnsi="新宋体" w:eastAsia="仿宋_GB2312" w:cs="仿宋_GB2312"/>
                <w:kern w:val="0"/>
                <w:szCs w:val="21"/>
              </w:rPr>
              <w:t>）</w:t>
            </w:r>
          </w:p>
        </w:tc>
        <w:tc>
          <w:tcPr>
            <w:tcW w:w="3436" w:type="dxa"/>
            <w:tcBorders>
              <w:left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left w:val="single" w:color="auto" w:sz="4" w:space="0"/>
              <w:right w:val="single" w:color="auto" w:sz="4" w:space="0"/>
            </w:tcBorders>
            <w:vAlign w:val="center"/>
          </w:tcPr>
          <w:p>
            <w:pPr>
              <w:widowControl/>
              <w:spacing w:line="240" w:lineRule="exact"/>
              <w:ind w:firstLine="420" w:firstLineChars="200"/>
              <w:rPr>
                <w:rFonts w:ascii="仿宋" w:hAnsi="仿宋" w:eastAsia="仿宋" w:cs="宋体"/>
                <w:kern w:val="0"/>
                <w:szCs w:val="21"/>
              </w:rPr>
            </w:pPr>
            <w:r>
              <w:rPr>
                <w:rFonts w:hint="eastAsia" w:ascii="仿宋" w:hAnsi="仿宋" w:eastAsia="仿宋" w:cs="Arial"/>
                <w:kern w:val="0"/>
                <w:szCs w:val="21"/>
              </w:rPr>
              <w:t>按照满意度调查的优秀、良好、合格、不合格给予该项指标打分：</w:t>
            </w:r>
          </w:p>
          <w:p>
            <w:pPr>
              <w:widowControl/>
              <w:spacing w:line="240" w:lineRule="exact"/>
              <w:ind w:firstLine="420" w:firstLineChars="200"/>
              <w:rPr>
                <w:szCs w:val="21"/>
              </w:rPr>
            </w:pPr>
            <w:r>
              <w:rPr>
                <w:rFonts w:hint="eastAsia" w:ascii="仿宋" w:hAnsi="仿宋" w:eastAsia="仿宋" w:cs="Arial"/>
                <w:kern w:val="0"/>
                <w:szCs w:val="21"/>
              </w:rPr>
              <w:t>优秀（</w:t>
            </w:r>
            <w:r>
              <w:rPr>
                <w:rFonts w:ascii="仿宋" w:hAnsi="仿宋" w:eastAsia="仿宋" w:cs="Arial"/>
                <w:kern w:val="0"/>
                <w:szCs w:val="21"/>
              </w:rPr>
              <w:t>5</w:t>
            </w:r>
            <w:r>
              <w:rPr>
                <w:rFonts w:hint="eastAsia" w:ascii="仿宋" w:hAnsi="仿宋" w:eastAsia="仿宋" w:cs="Arial"/>
                <w:kern w:val="0"/>
                <w:szCs w:val="21"/>
              </w:rPr>
              <w:t>）；良好（</w:t>
            </w:r>
            <w:r>
              <w:rPr>
                <w:rFonts w:ascii="仿宋" w:hAnsi="仿宋" w:eastAsia="仿宋" w:cs="Arial"/>
                <w:kern w:val="0"/>
                <w:szCs w:val="21"/>
              </w:rPr>
              <w:t>3</w:t>
            </w:r>
            <w:r>
              <w:rPr>
                <w:rFonts w:hint="eastAsia" w:ascii="仿宋" w:hAnsi="仿宋" w:eastAsia="仿宋" w:cs="Arial"/>
                <w:kern w:val="0"/>
                <w:szCs w:val="21"/>
              </w:rPr>
              <w:t>）；合格（</w:t>
            </w:r>
            <w:r>
              <w:rPr>
                <w:rFonts w:ascii="仿宋" w:hAnsi="仿宋" w:eastAsia="仿宋" w:cs="Arial"/>
                <w:kern w:val="0"/>
                <w:szCs w:val="21"/>
              </w:rPr>
              <w:t>1</w:t>
            </w:r>
            <w:r>
              <w:rPr>
                <w:rFonts w:hint="eastAsia" w:ascii="仿宋" w:hAnsi="仿宋" w:eastAsia="仿宋" w:cs="Arial"/>
                <w:kern w:val="0"/>
                <w:szCs w:val="21"/>
              </w:rPr>
              <w:t>）；不合格（</w:t>
            </w:r>
            <w:r>
              <w:rPr>
                <w:rFonts w:ascii="仿宋" w:hAnsi="仿宋" w:eastAsia="仿宋" w:cs="Arial"/>
                <w:kern w:val="0"/>
                <w:szCs w:val="21"/>
              </w:rPr>
              <w:t>0</w:t>
            </w:r>
            <w:r>
              <w:rPr>
                <w:rFonts w:hint="eastAsia" w:ascii="仿宋" w:hAnsi="仿宋" w:eastAsia="仿宋" w:cs="Arial"/>
                <w:kern w:val="0"/>
                <w:szCs w:val="21"/>
              </w:rPr>
              <w:t>）。</w:t>
            </w:r>
          </w:p>
        </w:tc>
        <w:tc>
          <w:tcPr>
            <w:tcW w:w="764" w:type="dxa"/>
            <w:tcBorders>
              <w:left w:val="single" w:color="auto" w:sz="4" w:space="0"/>
            </w:tcBorders>
            <w:vAlign w:val="center"/>
          </w:tcPr>
          <w:p>
            <w:pPr>
              <w:widowControl/>
              <w:spacing w:line="240" w:lineRule="exact"/>
              <w:ind w:firstLine="420" w:firstLineChars="200"/>
              <w:jc w:val="left"/>
              <w:rPr>
                <w:szCs w:val="21"/>
              </w:rPr>
            </w:pPr>
            <w:r>
              <w:rPr>
                <w:szCs w:val="21"/>
              </w:rPr>
              <w:t>5</w:t>
            </w:r>
          </w:p>
        </w:tc>
      </w:tr>
    </w:tbl>
    <w:p>
      <w:pPr>
        <w:spacing w:line="240" w:lineRule="exact"/>
        <w:ind w:firstLine="640" w:firstLineChars="200"/>
        <w:rPr>
          <w:rFonts w:ascii="仿宋" w:hAnsi="仿宋" w:eastAsia="仿宋" w:cs="仿宋"/>
          <w:sz w:val="32"/>
          <w:szCs w:val="32"/>
        </w:rPr>
      </w:pPr>
    </w:p>
    <w:p>
      <w:pPr>
        <w:spacing w:line="240" w:lineRule="exact"/>
        <w:ind w:firstLine="640" w:firstLineChars="200"/>
        <w:rPr>
          <w:rFonts w:ascii="仿宋" w:hAnsi="仿宋" w:eastAsia="仿宋" w:cs="仿宋"/>
          <w:sz w:val="32"/>
          <w:szCs w:val="32"/>
        </w:rPr>
      </w:pPr>
    </w:p>
    <w:p>
      <w:pPr>
        <w:spacing w:line="240" w:lineRule="exact"/>
        <w:ind w:firstLine="640" w:firstLineChars="200"/>
        <w:rPr>
          <w:rFonts w:ascii="仿宋" w:hAnsi="仿宋" w:eastAsia="仿宋" w:cs="仿宋"/>
          <w:sz w:val="32"/>
          <w:szCs w:val="32"/>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1316" w:firstLineChars="298"/>
        <w:rPr>
          <w:rFonts w:ascii="仿宋" w:hAnsi="仿宋" w:eastAsia="仿宋" w:cs="仿宋"/>
          <w:b/>
          <w:bCs/>
          <w:sz w:val="44"/>
          <w:szCs w:val="44"/>
        </w:rPr>
      </w:pPr>
      <w:r>
        <w:rPr>
          <w:rFonts w:hint="eastAsia" w:ascii="仿宋" w:hAnsi="仿宋" w:eastAsia="仿宋" w:cs="仿宋"/>
          <w:b/>
          <w:bCs/>
          <w:sz w:val="44"/>
          <w:szCs w:val="44"/>
        </w:rPr>
        <w:t>节固中心整体支出绩效评价报告</w:t>
      </w:r>
    </w:p>
    <w:p>
      <w:pPr>
        <w:ind w:firstLine="642" w:firstLineChars="200"/>
        <w:rPr>
          <w:rFonts w:ascii="仿宋" w:hAnsi="仿宋" w:eastAsia="仿宋" w:cs="仿宋"/>
          <w:b/>
          <w:sz w:val="32"/>
          <w:szCs w:val="32"/>
        </w:rPr>
      </w:pPr>
      <w:r>
        <w:rPr>
          <w:rFonts w:hint="eastAsia" w:ascii="仿宋" w:hAnsi="仿宋" w:eastAsia="仿宋" w:cs="仿宋"/>
          <w:b/>
          <w:sz w:val="32"/>
          <w:szCs w:val="32"/>
        </w:rPr>
        <w:t>一、基本概况。</w:t>
      </w:r>
    </w:p>
    <w:p>
      <w:pPr>
        <w:ind w:firstLine="642" w:firstLineChars="200"/>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、部门主要职责职能</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平乡县节固中心小学隶属于平乡县教育局，主要职责是实施小学义务教育，促进学生德智体美劳全面发展。学校编制114人，2020年实有教职工86人，26个教学班，学生1061人。</w:t>
      </w:r>
    </w:p>
    <w:p>
      <w:pPr>
        <w:pStyle w:val="2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学校加强基础教育，以推进义务教育均衡发展为重点，深入推进基础教育教学改革，切实减轻中小学生的课业负担，加强中小学德育教育工作，全面实施素质教育。加强公共文化服务体系建设，推动全民健身，推进青少年体育工作，构建多元化体育服务体系。</w:t>
      </w:r>
    </w:p>
    <w:p>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（一）贯彻落实党和国家教育工作的方针、政策和法律法规，拟定我学区教育工作的实施意见和措施，并组织实施。</w:t>
      </w:r>
    </w:p>
    <w:p>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（二）负责学校教育的统筹规划和协调管理，组织实施设置标准，指导学校的教育教学改革，负责教育基本信息的统计、分析和发布。</w:t>
      </w:r>
    </w:p>
    <w:p>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（三）综合管理教师队伍建设的中长期规划及教师培养、培训的政策、规划制定和组织实施工作</w:t>
      </w:r>
    </w:p>
    <w:p>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（四）负责推进并指导学校的教育教学改革和科研工作；负责全面实施素质教育，提高教学质量和水平。</w:t>
      </w:r>
    </w:p>
    <w:p>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（五）负责指导学校的教育督导工作，负责并指导基础教育发展水平、质量的监测工作；负责组织指导学校的招生考试工作。</w:t>
      </w:r>
    </w:p>
    <w:p>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（六）负责管理本部门教育经费和上级拨教育经费并对各项经费使用情况；监测教育经费（含人员经费）的投入和执行情况；实施对家庭困难学生的资助工作。</w:t>
      </w:r>
    </w:p>
    <w:p>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（七）执行上级制定教育系统劳动工资及人事管理工作的有关方案和规章制度。</w:t>
      </w:r>
    </w:p>
    <w:p>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八）指导学校的党建、思想政治、维护稳定和德育、体育、卫生与艺术教育、国防教育工作；负责学区教育系统及各级各类学校的法制建设和安全稳定工作的监督管理；负责管理并指导中小学心理健康教育工作。</w:t>
      </w:r>
    </w:p>
    <w:p>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（九）负责实施教师继续教育和专业技术职务资格评审的有关工作，指导教师资格证制度的实施和抓好教育系统人才队伍建设。</w:t>
      </w:r>
    </w:p>
    <w:p>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（十）负责学区内社会力量办学的中小学幼儿园的监督管理及小学幼儿园的考察、审批、督查和管理工作；负责学校学籍管理工作；负责辖区青少年学生校外教育活动的管理工作。</w:t>
      </w:r>
    </w:p>
    <w:p>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（十一）负责规划、指导学区教育教学工作；根据教学大纲，落实学科教学计划，负责教学常规管理、课程改革和教育教学改革试点及推广工作。</w:t>
      </w:r>
    </w:p>
    <w:p>
      <w:pPr>
        <w:pStyle w:val="21"/>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（十二）负责和申报资金，改善学区学校教学条件、教学装备信息化建设；实施教育资源库和学校校园网站建设。</w:t>
      </w:r>
    </w:p>
    <w:p>
      <w:pPr>
        <w:ind w:firstLine="642" w:firstLineChars="200"/>
        <w:jc w:val="left"/>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、部门履职总体目标</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rPr>
        <w:t>20年，学区教育系统将全面贯彻十九大精神和省、市、县重大决策部署，以习近平新时代中国特色社会主义思想为指导，贯彻党的教育方针，落实“立德树人”根本任务，纵深推进教育改革，提升教育品质，办好人民满意的教育</w:t>
      </w:r>
      <w:r>
        <w:rPr>
          <w:rFonts w:ascii="仿宋" w:hAnsi="仿宋" w:eastAsia="仿宋" w:cs="仿宋"/>
          <w:sz w:val="32"/>
          <w:szCs w:val="32"/>
        </w:rPr>
        <w:t>,</w:t>
      </w:r>
      <w:r>
        <w:rPr>
          <w:rFonts w:hint="eastAsia" w:ascii="仿宋" w:hAnsi="仿宋" w:eastAsia="仿宋" w:cs="仿宋"/>
          <w:sz w:val="32"/>
          <w:szCs w:val="32"/>
        </w:rPr>
        <w:t>为实现“小县办大教育”的目标、奠定坚实基础。</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（一）、着力加强党的领导，统领教育各项工作</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学习、宣传、贯彻、落实党的十九大精神。通过抓好大学习、组织大宣讲、营造大氛围、开展大调研、推进大落实等系列活动和“不忘初心、牢记使命”专题教育，广泛开展十九大精神进校园等系列活动，坚持在“学懂”“弄通”“做实”上狠下功夫，深刻领会十九大精神实质，理清发展思路，明确奋斗目标，狠抓工作落实。</w:t>
      </w:r>
    </w:p>
    <w:p>
      <w:pPr>
        <w:spacing w:line="6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规范党的组织建设。规范学校党支部设置，配强党务干部，倡导书记、校长“一肩挑”。建立党组织书记任职备案制度，学区（学校）党组织书记由局党组（党总支）任免。</w:t>
      </w:r>
      <w:r>
        <w:rPr>
          <w:rFonts w:ascii="仿宋" w:hAnsi="仿宋" w:eastAsia="仿宋" w:cs="仿宋"/>
          <w:sz w:val="32"/>
          <w:szCs w:val="32"/>
        </w:rPr>
        <w:br w:type="textWrapping"/>
      </w:r>
      <w:r>
        <w:rPr>
          <w:rFonts w:ascii="仿宋" w:hAnsi="仿宋" w:eastAsia="仿宋" w:cs="仿宋"/>
          <w:sz w:val="32"/>
          <w:szCs w:val="32"/>
        </w:rPr>
        <w:t xml:space="preserve">    3.</w:t>
      </w:r>
      <w:r>
        <w:rPr>
          <w:rFonts w:hint="eastAsia" w:ascii="仿宋" w:hAnsi="仿宋" w:eastAsia="仿宋" w:cs="仿宋"/>
          <w:sz w:val="32"/>
          <w:szCs w:val="32"/>
        </w:rPr>
        <w:t>规范党建阵地建设。学校党组织办公场所规范，有独立的办公室，有党组织标识牌，有办公设施，有文件资料柜、有工作制度牌。活动阵地规范，有固定的党员活动室，有必要的桌椅，有党旗、入党誓词、党员的权利和义务牌；有发展党员工作流程，有相关的报刊、书籍及档案资料柜。工作台账规范，有本单位党员名册、入党积极分子名册、入党申请人名册；有年度党建工作计划、发展党员工作计划、党员教育计划、党风廉政教育计划；有党费收缴档案、党组织活动档案、先进事迹档案、影像档案；有“三会一课”记录、民主生活会记录、谈心谈话记录、廉政教育记录等。</w:t>
      </w:r>
      <w:r>
        <w:rPr>
          <w:rFonts w:ascii="仿宋" w:hAnsi="仿宋" w:eastAsia="仿宋" w:cs="仿宋"/>
          <w:sz w:val="32"/>
          <w:szCs w:val="32"/>
        </w:rPr>
        <w:br w:type="textWrapping"/>
      </w:r>
      <w:r>
        <w:rPr>
          <w:rFonts w:ascii="仿宋" w:hAnsi="仿宋" w:eastAsia="仿宋" w:cs="仿宋"/>
          <w:sz w:val="32"/>
          <w:szCs w:val="32"/>
        </w:rPr>
        <w:t xml:space="preserve">    4.</w:t>
      </w:r>
      <w:r>
        <w:rPr>
          <w:rFonts w:hint="eastAsia" w:ascii="仿宋" w:hAnsi="仿宋" w:eastAsia="仿宋" w:cs="仿宋"/>
          <w:sz w:val="32"/>
          <w:szCs w:val="32"/>
        </w:rPr>
        <w:t>规范党建制度建设。一是规范学习教育制度。制定年度学习教育计划，党员每参加党组织举办的集中性学习活动。建立健全学习培训档案，全面准确记录党员学习培训情况。二是规范发展党员制度。严格贯彻党员发展制度，严把“入口”关，规范入党发展对象、入党积极分子、预备党员保持比例，推进党员后备力量建设。三是党员示范岗制度。党组织要在教室、办公室、公益活动中合理设置党员示范岗，充分发挥基层党组织的战斗堡垒和党员的先锋模范作用，引领学校正风正气。</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狠抓党风廉政建设。认真落实党风廉政建设责任制，深化廉政风险防控机制建设工作，健全廉政风险防控体系，实现重点领域、关键环节和重点岗位廉政监管全覆盖。严格执行“中央八项规定”和省、市、县有关规定，进一步开展廉洁文化进校园活动，继续推进教育系统纠正“四风”专项整治，查处和纠正损害师生利益、反映强烈的不正之风和腐败问题，时刻绷紧廉洁自律之弦。对易发生问题的教辅征订、校服订购、收费、有偿家教、食堂承包、项目招投标、干部选拔、评选表彰、职称评聘等方面，加强规范性制度建设，落实党务、校务公开制度，完善学校教代会运行机制，保障师生、家长和社会的知情权、参与权和监督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（二）、奋力补齐发展短板，不断优化教育体系</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加快推进幼儿教育健康发展。扩充公办幼儿园资源，支持普惠性民办幼儿园发展，改善办园条件，满足基本保育教育活动需要。一是继续加强对幼儿教师的培训工作，使我学区幼儿教师业务素质得到新的提高。二是继续加强对幼儿园的管理和督导检查，使我学区学前教育小学化倾向得到改善，保教水平得到明显提高；三是开展好“自制玩教具评比”“优质课观摩”等活动</w:t>
      </w:r>
      <w:r>
        <w:rPr>
          <w:rFonts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推进义务教育优质均衡发展。以迎接教育部对我单位义务教育基本均衡县复核认定为契机，加快推进县域内城乡义务教育一体化进程，通过区域内资源共享、优势互补，缩小差距、校际差距，整体提升义务教育办学条件和教育质量，推进义务教育优质均衡发展。继续克服困难，努力改善办学条件，以及现有校舍的维修改造。做好留守儿童关爱及随迁子女就学保障工作，促进教育公平。</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（三）、深入推进教育改革，全面提高教育质量</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加强中小学学校管理工作。以</w:t>
      </w:r>
      <w:r>
        <w:rPr>
          <w:rFonts w:ascii="仿宋" w:hAnsi="仿宋" w:eastAsia="仿宋" w:cs="仿宋"/>
          <w:sz w:val="32"/>
          <w:szCs w:val="32"/>
        </w:rPr>
        <w:t>5A</w:t>
      </w:r>
      <w:r>
        <w:rPr>
          <w:rFonts w:hint="eastAsia" w:ascii="仿宋" w:hAnsi="仿宋" w:eastAsia="仿宋" w:cs="仿宋"/>
          <w:sz w:val="32"/>
          <w:szCs w:val="32"/>
        </w:rPr>
        <w:t>级学校创建工作为主线，狠抓学校精细化管理工作。一是加强</w:t>
      </w:r>
      <w:r>
        <w:rPr>
          <w:rFonts w:ascii="仿宋" w:hAnsi="仿宋" w:eastAsia="仿宋" w:cs="仿宋"/>
          <w:sz w:val="32"/>
          <w:szCs w:val="32"/>
        </w:rPr>
        <w:t>5A</w:t>
      </w:r>
      <w:r>
        <w:rPr>
          <w:rFonts w:hint="eastAsia" w:ascii="仿宋" w:hAnsi="仿宋" w:eastAsia="仿宋" w:cs="仿宋"/>
          <w:sz w:val="32"/>
          <w:szCs w:val="32"/>
        </w:rPr>
        <w:t>学校建设。发挥先进单位引领作用，带动学区学校面貌和管理水平全面提升。打造一批亮点学校。</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持之以恒抓两支队伍建设。严格队伍管理，加强师德师风建设，强化师资培训，缩小教师的教学水平差距，提高队伍整体素质。</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坚持实施素质教育。从基础教育抓起，全面推行魏书生教育思想和李希贵教学改革。继续抓好义务教育学校教学教研工作，监管教学工作全过程，大力提升教学质量。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（四）、抓好德育管理和活动育人，贯彻立德树人根本任务</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大力推进文明校园创建。以创建省级文明城为抓手，大力推进文明校园创建，加强和改进德育工作，深入开展以爱国主义为核心的民族精神和革命文化、社会主义先进文化教育。</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把师德表现作为年度考核、职称评审、岗位聘用、评优奖励的首要标准。</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13.</w:t>
      </w:r>
      <w:r>
        <w:rPr>
          <w:rFonts w:hint="eastAsia" w:ascii="仿宋" w:hAnsi="仿宋" w:eastAsia="仿宋" w:cs="仿宋"/>
          <w:sz w:val="32"/>
          <w:szCs w:val="32"/>
        </w:rPr>
        <w:t>着力减轻学生过重课业负担。落实中央提出的“着力解决中小学生课业负担重，大班额等突出问题”的要求，坚决遏制极少数教师热衷课外家教，加重学生和家长负担、谋取不当利益的行为。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（五）、大力保障教育民生，不断提升公共服务水平</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14.</w:t>
      </w:r>
      <w:r>
        <w:rPr>
          <w:rFonts w:hint="eastAsia" w:ascii="仿宋" w:hAnsi="仿宋" w:eastAsia="仿宋" w:cs="仿宋"/>
          <w:sz w:val="32"/>
          <w:szCs w:val="32"/>
        </w:rPr>
        <w:t>完善基本公共服务。落实义务教育经费保障机制，保障学校正常运转。全面实行义务教育学生营养改善计划，确保食品安全。全面落实各项资助政策，认真做好控辍保学，确保各项教育指标达到要求。继续做好各类学生资助工作，认真做好各项教育资助的告知、审核、公示、发放等工作，确保应助尽助。</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15.</w:t>
      </w:r>
      <w:r>
        <w:rPr>
          <w:rFonts w:hint="eastAsia" w:ascii="仿宋" w:hAnsi="仿宋" w:eastAsia="仿宋" w:cs="仿宋"/>
          <w:sz w:val="32"/>
          <w:szCs w:val="32"/>
        </w:rPr>
        <w:t>保障校园平安稳定。建立健全中小学幼儿园安全风险防控体系，进一步完善网格化管理，加强校园周边环境综合治理，及时排查化解矛盾纠纷，全力维护社会稳定，保障校园及师生安全。全面加强师生安全法制教育，搞好应急演练，提高师生安全意识，提升校园视频监控覆盖率，切实做到安全隐患排查整改制度化、常态化。</w:t>
      </w:r>
    </w:p>
    <w:p>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p>
    <w:p>
      <w:pPr>
        <w:pStyle w:val="8"/>
        <w:shd w:val="clear" w:color="auto" w:fill="FFFFFF"/>
        <w:spacing w:before="0" w:beforeAutospacing="0" w:after="0" w:afterAutospacing="0" w:line="450" w:lineRule="atLeast"/>
        <w:ind w:firstLine="640" w:firstLineChars="200"/>
        <w:rPr>
          <w:rFonts w:ascii="仿宋" w:hAnsi="仿宋" w:eastAsia="仿宋" w:cs="仿宋"/>
          <w:sz w:val="32"/>
          <w:szCs w:val="32"/>
        </w:rPr>
      </w:pPr>
      <w:r>
        <w:rPr>
          <w:rFonts w:ascii="仿宋" w:hAnsi="仿宋" w:eastAsia="仿宋" w:cs="仿宋"/>
          <w:kern w:val="2"/>
          <w:sz w:val="32"/>
          <w:szCs w:val="32"/>
        </w:rPr>
        <w:t>20</w:t>
      </w:r>
      <w:r>
        <w:rPr>
          <w:rFonts w:hint="eastAsia" w:ascii="仿宋" w:hAnsi="仿宋" w:eastAsia="仿宋" w:cs="仿宋"/>
          <w:kern w:val="2"/>
          <w:sz w:val="32"/>
          <w:szCs w:val="32"/>
        </w:rPr>
        <w:t>20年，我学区按照省市县的考核要求，积极开展预算绩效管理工作，实现预算绩效管理全过程化。</w:t>
      </w:r>
    </w:p>
    <w:p>
      <w:pPr>
        <w:pStyle w:val="19"/>
        <w:ind w:firstLine="643"/>
        <w:rPr>
          <w:rFonts w:ascii="仿宋" w:hAnsi="仿宋" w:eastAsia="仿宋" w:cs="仿宋"/>
          <w:b/>
          <w:sz w:val="32"/>
          <w:szCs w:val="32"/>
        </w:rPr>
      </w:pPr>
      <w:r>
        <w:rPr>
          <w:rFonts w:hint="eastAsia" w:ascii="仿宋" w:hAnsi="仿宋" w:eastAsia="仿宋" w:cs="仿宋"/>
          <w:b/>
          <w:sz w:val="32"/>
          <w:szCs w:val="32"/>
        </w:rPr>
        <w:t>三、预算资金安排及资金支出情况。</w:t>
      </w:r>
    </w:p>
    <w:p>
      <w:pPr>
        <w:pStyle w:val="19"/>
        <w:ind w:firstLine="640"/>
        <w:rPr>
          <w:rFonts w:ascii="仿宋" w:hAnsi="仿宋" w:eastAsia="仿宋" w:cs="仿宋"/>
          <w:sz w:val="32"/>
          <w:szCs w:val="32"/>
        </w:rPr>
      </w:pPr>
      <w:r>
        <w:rPr>
          <w:rFonts w:hint="eastAsia" w:ascii="仿宋" w:hAnsi="仿宋" w:eastAsia="仿宋" w:cs="仿宋"/>
          <w:sz w:val="32"/>
          <w:szCs w:val="32"/>
        </w:rPr>
        <w:t>2020年教育预算资金安排共计956.2708万元，其中一、一般公共预算财政拨款956.2708万元，；支出956.2708万元，其中工资福利支出781.98.27万元，商品和服务支出174.2881 万元，资本性支出</w:t>
      </w:r>
      <w:r>
        <w:rPr>
          <w:rFonts w:ascii="仿宋" w:hAnsi="仿宋" w:eastAsia="仿宋" w:cs="仿宋"/>
          <w:sz w:val="32"/>
          <w:szCs w:val="32"/>
        </w:rPr>
        <w:t>0</w:t>
      </w:r>
      <w:r>
        <w:rPr>
          <w:rFonts w:hint="eastAsia" w:ascii="仿宋" w:hAnsi="仿宋" w:eastAsia="仿宋" w:cs="仿宋"/>
          <w:sz w:val="32"/>
          <w:szCs w:val="32"/>
        </w:rPr>
        <w:t>万元。</w:t>
      </w:r>
    </w:p>
    <w:p>
      <w:pPr>
        <w:ind w:left="640"/>
        <w:rPr>
          <w:rFonts w:ascii="仿宋" w:hAnsi="仿宋" w:eastAsia="仿宋" w:cs="仿宋"/>
          <w:b/>
          <w:sz w:val="32"/>
          <w:szCs w:val="32"/>
        </w:rPr>
      </w:pPr>
      <w:r>
        <w:rPr>
          <w:rFonts w:hint="eastAsia" w:ascii="仿宋" w:hAnsi="仿宋" w:eastAsia="仿宋" w:cs="仿宋"/>
          <w:b/>
          <w:sz w:val="32"/>
          <w:szCs w:val="32"/>
        </w:rPr>
        <w:t>四、各项绩效目标的实现程度</w:t>
      </w:r>
    </w:p>
    <w:p>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pPr>
        <w:ind w:left="643"/>
        <w:rPr>
          <w:rFonts w:ascii="仿宋" w:hAnsi="仿宋" w:eastAsia="仿宋" w:cs="仿宋"/>
          <w:b/>
          <w:sz w:val="32"/>
          <w:szCs w:val="32"/>
        </w:rPr>
      </w:pPr>
      <w:r>
        <w:rPr>
          <w:rFonts w:hint="eastAsia" w:ascii="仿宋" w:hAnsi="仿宋" w:eastAsia="仿宋" w:cs="仿宋"/>
          <w:b/>
          <w:sz w:val="32"/>
          <w:szCs w:val="32"/>
        </w:rPr>
        <w:t>五、存在问题、采取的纠偏措施及改进绩效管理建议。</w:t>
      </w:r>
    </w:p>
    <w:p>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将全年工作任务细化分解为具体的工作目标，并尽量采取定量的方式制定清晰、可衡量的绩效指标，提高项目使用经济功能精确度。</w:t>
      </w:r>
    </w:p>
    <w:p>
      <w:pPr>
        <w:ind w:left="643"/>
        <w:rPr>
          <w:rFonts w:ascii="仿宋" w:hAnsi="仿宋" w:eastAsia="仿宋" w:cs="仿宋"/>
          <w:b/>
          <w:sz w:val="32"/>
          <w:szCs w:val="32"/>
        </w:rPr>
      </w:pPr>
      <w:r>
        <w:rPr>
          <w:rFonts w:hint="eastAsia" w:ascii="仿宋" w:hAnsi="仿宋" w:eastAsia="仿宋" w:cs="仿宋"/>
          <w:b/>
          <w:sz w:val="32"/>
          <w:szCs w:val="32"/>
        </w:rPr>
        <w:t>六、其他需要说明的问题。</w:t>
      </w:r>
    </w:p>
    <w:p>
      <w:pPr>
        <w:ind w:firstLine="640" w:firstLineChars="200"/>
        <w:rPr>
          <w:rFonts w:ascii="仿宋" w:hAnsi="仿宋" w:eastAsia="仿宋" w:cs="仿宋"/>
          <w:sz w:val="32"/>
          <w:szCs w:val="32"/>
        </w:rPr>
      </w:pPr>
      <w:r>
        <w:rPr>
          <w:rFonts w:hint="eastAsia" w:ascii="仿宋" w:hAnsi="仿宋" w:eastAsia="仿宋" w:cs="仿宋"/>
          <w:sz w:val="32"/>
          <w:szCs w:val="32"/>
        </w:rPr>
        <w:t>无</w:t>
      </w: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sectPr>
      <w:footerReference r:id="rId3" w:type="default"/>
      <w:footerReference r:id="rId4" w:type="even"/>
      <w:pgSz w:w="11906" w:h="16838"/>
      <w:pgMar w:top="1985" w:right="1418" w:bottom="1560" w:left="1418" w:header="851" w:footer="1032"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0" w:usb3="00000000" w:csb0="00040001" w:csb1="00000000"/>
  </w:font>
  <w:font w:name="Arial">
    <w:altName w:val="DejaVu Sans"/>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Fonts w:ascii="宋体"/>
        <w:sz w:val="28"/>
        <w:szCs w:val="28"/>
      </w:rPr>
    </w:pPr>
    <w:r>
      <w:rPr>
        <w:rStyle w:val="12"/>
        <w:rFonts w:asci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9</w:t>
    </w:r>
    <w:r>
      <w:rPr>
        <w:rStyle w:val="12"/>
        <w:rFonts w:ascii="宋体" w:hAnsi="宋体"/>
        <w:sz w:val="28"/>
        <w:szCs w:val="28"/>
      </w:rPr>
      <w:fldChar w:fldCharType="end"/>
    </w:r>
    <w:r>
      <w:rPr>
        <w:rStyle w:val="12"/>
        <w:rFonts w:ascii="宋体"/>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33"/>
    <w:rsid w:val="00002F2C"/>
    <w:rsid w:val="000070A8"/>
    <w:rsid w:val="00016CA4"/>
    <w:rsid w:val="000324AE"/>
    <w:rsid w:val="00042933"/>
    <w:rsid w:val="0008033E"/>
    <w:rsid w:val="0008759D"/>
    <w:rsid w:val="00094F2B"/>
    <w:rsid w:val="000B0A83"/>
    <w:rsid w:val="000B6322"/>
    <w:rsid w:val="000C2CC1"/>
    <w:rsid w:val="000E34B8"/>
    <w:rsid w:val="000E4A5A"/>
    <w:rsid w:val="000F0949"/>
    <w:rsid w:val="00103547"/>
    <w:rsid w:val="00145BF9"/>
    <w:rsid w:val="00150417"/>
    <w:rsid w:val="0017068B"/>
    <w:rsid w:val="00185A3C"/>
    <w:rsid w:val="00192D5A"/>
    <w:rsid w:val="00194AD1"/>
    <w:rsid w:val="001C59B3"/>
    <w:rsid w:val="001D2E41"/>
    <w:rsid w:val="001E0886"/>
    <w:rsid w:val="001F7E31"/>
    <w:rsid w:val="002071BC"/>
    <w:rsid w:val="00225AE6"/>
    <w:rsid w:val="00235F0F"/>
    <w:rsid w:val="00255783"/>
    <w:rsid w:val="00290BA1"/>
    <w:rsid w:val="002A6AEA"/>
    <w:rsid w:val="002F2268"/>
    <w:rsid w:val="003C50C2"/>
    <w:rsid w:val="0041099F"/>
    <w:rsid w:val="00436A1D"/>
    <w:rsid w:val="004379D7"/>
    <w:rsid w:val="0044319F"/>
    <w:rsid w:val="004A68B1"/>
    <w:rsid w:val="004B0686"/>
    <w:rsid w:val="004B403E"/>
    <w:rsid w:val="004B64F3"/>
    <w:rsid w:val="004E34D4"/>
    <w:rsid w:val="004E3B64"/>
    <w:rsid w:val="004F7327"/>
    <w:rsid w:val="005020C5"/>
    <w:rsid w:val="00525A32"/>
    <w:rsid w:val="00567FE6"/>
    <w:rsid w:val="0058162A"/>
    <w:rsid w:val="005B3616"/>
    <w:rsid w:val="005C2747"/>
    <w:rsid w:val="005E12FA"/>
    <w:rsid w:val="00683167"/>
    <w:rsid w:val="006A5056"/>
    <w:rsid w:val="006E64C9"/>
    <w:rsid w:val="006F547E"/>
    <w:rsid w:val="007048FF"/>
    <w:rsid w:val="00712100"/>
    <w:rsid w:val="0071700D"/>
    <w:rsid w:val="00742652"/>
    <w:rsid w:val="00772600"/>
    <w:rsid w:val="00784951"/>
    <w:rsid w:val="007939C5"/>
    <w:rsid w:val="007B35B1"/>
    <w:rsid w:val="007D5D41"/>
    <w:rsid w:val="007F01F9"/>
    <w:rsid w:val="00831B72"/>
    <w:rsid w:val="00856BA1"/>
    <w:rsid w:val="00867620"/>
    <w:rsid w:val="008709E0"/>
    <w:rsid w:val="0088227A"/>
    <w:rsid w:val="008A6A10"/>
    <w:rsid w:val="008A6A31"/>
    <w:rsid w:val="00904AF4"/>
    <w:rsid w:val="00905542"/>
    <w:rsid w:val="00917700"/>
    <w:rsid w:val="00934C1C"/>
    <w:rsid w:val="00956F74"/>
    <w:rsid w:val="009640D2"/>
    <w:rsid w:val="00964ECB"/>
    <w:rsid w:val="009B0B5F"/>
    <w:rsid w:val="009B7F2F"/>
    <w:rsid w:val="009C04DA"/>
    <w:rsid w:val="009C4C62"/>
    <w:rsid w:val="009C6740"/>
    <w:rsid w:val="009E3627"/>
    <w:rsid w:val="009F48D0"/>
    <w:rsid w:val="009F53E7"/>
    <w:rsid w:val="00A11BF8"/>
    <w:rsid w:val="00A14A33"/>
    <w:rsid w:val="00A62FDB"/>
    <w:rsid w:val="00A6449D"/>
    <w:rsid w:val="00A72433"/>
    <w:rsid w:val="00A768DB"/>
    <w:rsid w:val="00AA09C8"/>
    <w:rsid w:val="00AA7EF6"/>
    <w:rsid w:val="00AD07D5"/>
    <w:rsid w:val="00AD5F30"/>
    <w:rsid w:val="00AE7819"/>
    <w:rsid w:val="00B0681D"/>
    <w:rsid w:val="00B17F16"/>
    <w:rsid w:val="00B31479"/>
    <w:rsid w:val="00B4371D"/>
    <w:rsid w:val="00B9023F"/>
    <w:rsid w:val="00BC1FDC"/>
    <w:rsid w:val="00BD0FD8"/>
    <w:rsid w:val="00C44804"/>
    <w:rsid w:val="00C6362A"/>
    <w:rsid w:val="00C81363"/>
    <w:rsid w:val="00CA4E03"/>
    <w:rsid w:val="00CB27A5"/>
    <w:rsid w:val="00CC2C2C"/>
    <w:rsid w:val="00CD55ED"/>
    <w:rsid w:val="00CD63C0"/>
    <w:rsid w:val="00CE62A0"/>
    <w:rsid w:val="00CF7E02"/>
    <w:rsid w:val="00D21786"/>
    <w:rsid w:val="00D21F0C"/>
    <w:rsid w:val="00D366C1"/>
    <w:rsid w:val="00D877F7"/>
    <w:rsid w:val="00DB2D43"/>
    <w:rsid w:val="00DD58FF"/>
    <w:rsid w:val="00DF71EF"/>
    <w:rsid w:val="00E25D40"/>
    <w:rsid w:val="00E266F1"/>
    <w:rsid w:val="00E33E94"/>
    <w:rsid w:val="00E34845"/>
    <w:rsid w:val="00E56530"/>
    <w:rsid w:val="00E91A8E"/>
    <w:rsid w:val="00E974BC"/>
    <w:rsid w:val="00EB16A8"/>
    <w:rsid w:val="00EB25EC"/>
    <w:rsid w:val="00EC7904"/>
    <w:rsid w:val="00EE1D4D"/>
    <w:rsid w:val="00EF355E"/>
    <w:rsid w:val="00F47A94"/>
    <w:rsid w:val="00F57FC7"/>
    <w:rsid w:val="00F72E93"/>
    <w:rsid w:val="00F87A11"/>
    <w:rsid w:val="00FA0851"/>
    <w:rsid w:val="00FB7E01"/>
    <w:rsid w:val="00FE5F4C"/>
    <w:rsid w:val="00FF39F6"/>
    <w:rsid w:val="05374814"/>
    <w:rsid w:val="0F8F6BFC"/>
    <w:rsid w:val="1F1927F0"/>
    <w:rsid w:val="34B06BD0"/>
    <w:rsid w:val="3791647A"/>
    <w:rsid w:val="3F8390F5"/>
    <w:rsid w:val="455969D8"/>
    <w:rsid w:val="526A3656"/>
    <w:rsid w:val="5D643D56"/>
    <w:rsid w:val="69BD0A47"/>
    <w:rsid w:val="71A911C9"/>
    <w:rsid w:val="7CCC21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spacing w:before="100" w:beforeAutospacing="1" w:after="100" w:afterAutospacing="1"/>
      <w:jc w:val="left"/>
      <w:outlineLvl w:val="0"/>
    </w:pPr>
    <w:rPr>
      <w:rFonts w:ascii="宋体" w:hAnsi="宋体" w:cs="宋体"/>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5"/>
    <w:qFormat/>
    <w:uiPriority w:val="99"/>
    <w:rPr>
      <w:rFonts w:ascii="宋体" w:hAnsi="Courier New" w:cs="Courier New"/>
      <w:szCs w:val="21"/>
    </w:rPr>
  </w:style>
  <w:style w:type="paragraph" w:styleId="5">
    <w:name w:val="Balloon Text"/>
    <w:basedOn w:val="1"/>
    <w:link w:val="22"/>
    <w:semiHidden/>
    <w:unhideWhenUsed/>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99"/>
    <w:rPr>
      <w:rFonts w:cs="Times New Roman"/>
      <w:b/>
      <w:bCs/>
    </w:rPr>
  </w:style>
  <w:style w:type="character" w:styleId="12">
    <w:name w:val="page number"/>
    <w:basedOn w:val="10"/>
    <w:semiHidden/>
    <w:qFormat/>
    <w:uiPriority w:val="99"/>
    <w:rPr>
      <w:rFonts w:cs="Times New Roman"/>
    </w:rPr>
  </w:style>
  <w:style w:type="character" w:customStyle="1" w:styleId="13">
    <w:name w:val="标题 1 字符"/>
    <w:basedOn w:val="10"/>
    <w:link w:val="2"/>
    <w:locked/>
    <w:uiPriority w:val="99"/>
    <w:rPr>
      <w:rFonts w:ascii="宋体" w:hAnsi="宋体" w:eastAsia="宋体" w:cs="宋体"/>
      <w:b/>
      <w:kern w:val="44"/>
      <w:sz w:val="48"/>
      <w:szCs w:val="48"/>
    </w:rPr>
  </w:style>
  <w:style w:type="character" w:customStyle="1" w:styleId="14">
    <w:name w:val="正文文本 字符"/>
    <w:basedOn w:val="10"/>
    <w:link w:val="3"/>
    <w:semiHidden/>
    <w:qFormat/>
    <w:uiPriority w:val="99"/>
    <w:rPr>
      <w:rFonts w:ascii="Calibri" w:hAnsi="Calibri"/>
    </w:rPr>
  </w:style>
  <w:style w:type="character" w:customStyle="1" w:styleId="15">
    <w:name w:val="纯文本 字符"/>
    <w:basedOn w:val="10"/>
    <w:link w:val="4"/>
    <w:qFormat/>
    <w:locked/>
    <w:uiPriority w:val="99"/>
    <w:rPr>
      <w:rFonts w:ascii="宋体" w:hAnsi="Courier New" w:eastAsia="宋体" w:cs="Courier New"/>
      <w:sz w:val="21"/>
      <w:szCs w:val="21"/>
    </w:rPr>
  </w:style>
  <w:style w:type="character" w:customStyle="1" w:styleId="16">
    <w:name w:val="页脚 字符"/>
    <w:basedOn w:val="10"/>
    <w:link w:val="6"/>
    <w:qFormat/>
    <w:locked/>
    <w:uiPriority w:val="99"/>
    <w:rPr>
      <w:rFonts w:cs="Times New Roman"/>
      <w:sz w:val="18"/>
      <w:szCs w:val="18"/>
    </w:rPr>
  </w:style>
  <w:style w:type="character" w:customStyle="1" w:styleId="17">
    <w:name w:val="页眉 字符"/>
    <w:basedOn w:val="10"/>
    <w:link w:val="7"/>
    <w:qFormat/>
    <w:locked/>
    <w:uiPriority w:val="99"/>
    <w:rPr>
      <w:rFonts w:cs="Times New Roman"/>
      <w:sz w:val="18"/>
      <w:szCs w:val="18"/>
    </w:rPr>
  </w:style>
  <w:style w:type="character" w:customStyle="1" w:styleId="18">
    <w:name w:val="font31"/>
    <w:basedOn w:val="10"/>
    <w:qFormat/>
    <w:uiPriority w:val="99"/>
    <w:rPr>
      <w:rFonts w:ascii="宋体" w:hAnsi="宋体" w:eastAsia="宋体" w:cs="宋体"/>
      <w:b/>
      <w:color w:val="000000"/>
      <w:sz w:val="36"/>
      <w:szCs w:val="36"/>
      <w:u w:val="none"/>
    </w:rPr>
  </w:style>
  <w:style w:type="paragraph" w:styleId="19">
    <w:name w:val="List Paragraph"/>
    <w:basedOn w:val="1"/>
    <w:qFormat/>
    <w:uiPriority w:val="99"/>
    <w:pPr>
      <w:ind w:firstLine="420" w:firstLineChars="200"/>
    </w:pPr>
  </w:style>
  <w:style w:type="paragraph" w:customStyle="1" w:styleId="20">
    <w:name w:val="p05"/>
    <w:basedOn w:val="1"/>
    <w:qFormat/>
    <w:uiPriority w:val="99"/>
    <w:pPr>
      <w:widowControl/>
      <w:spacing w:line="408" w:lineRule="auto"/>
      <w:ind w:left="1"/>
    </w:pPr>
    <w:rPr>
      <w:rFonts w:ascii="Times New Roman" w:hAnsi="Times New Roman"/>
      <w:color w:val="000000"/>
      <w:kern w:val="0"/>
      <w:szCs w:val="20"/>
      <w:lang w:eastAsia="en-US"/>
    </w:rPr>
  </w:style>
  <w:style w:type="paragraph" w:customStyle="1" w:styleId="21">
    <w:name w:val="p01"/>
    <w:basedOn w:val="1"/>
    <w:qFormat/>
    <w:uiPriority w:val="99"/>
    <w:pPr>
      <w:widowControl/>
      <w:spacing w:line="408" w:lineRule="auto"/>
      <w:ind w:left="1"/>
    </w:pPr>
    <w:rPr>
      <w:rFonts w:ascii="Times New Roman" w:hAnsi="Times New Roman"/>
      <w:color w:val="000000"/>
      <w:kern w:val="0"/>
      <w:szCs w:val="20"/>
      <w:lang w:eastAsia="en-US"/>
    </w:rPr>
  </w:style>
  <w:style w:type="character" w:customStyle="1" w:styleId="22">
    <w:name w:val="批注框文本 字符"/>
    <w:basedOn w:val="10"/>
    <w:link w:val="5"/>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1369</Words>
  <Characters>7804</Characters>
  <Lines>65</Lines>
  <Paragraphs>18</Paragraphs>
  <TotalTime>3</TotalTime>
  <ScaleCrop>false</ScaleCrop>
  <LinksUpToDate>false</LinksUpToDate>
  <CharactersWithSpaces>9155</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2020-06-10T16:22:00Z</dcterms:created>
  <dc:creator>Administrator</dc:creator>
  <cp:lastModifiedBy>sss</cp:lastModifiedBy>
  <cp:lastPrinted>2020-06-10T11:55:00Z</cp:lastPrinted>
  <dcterms:modified xsi:type="dcterms:W3CDTF">2025-04-10T09:38:01Z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7038DDE9B09E4F08F920F767BF3B05E3</vt:lpwstr>
  </property>
</Properties>
</file>