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00" w:lineRule="exact"/>
        <w:jc w:val="left"/>
        <w:rPr>
          <w:rFonts w:hint="eastAsia" w:ascii="宋体" w:hAnsi="宋体" w:eastAsia="宋体" w:cs="仿宋"/>
          <w:b/>
          <w:kern w:val="0"/>
          <w:sz w:val="44"/>
          <w:szCs w:val="44"/>
          <w:shd w:val="clear" w:color="auto" w:fill="FFFFFF"/>
        </w:rPr>
      </w:pPr>
      <w:bookmarkStart w:id="0" w:name="_GoBack"/>
      <w:bookmarkEnd w:id="0"/>
      <w:r>
        <w:rPr>
          <w:rFonts w:hint="eastAsia" w:ascii="宋体" w:hAnsi="宋体" w:eastAsia="宋体" w:cs="仿宋"/>
          <w:b/>
          <w:kern w:val="0"/>
          <w:sz w:val="44"/>
          <w:szCs w:val="44"/>
          <w:shd w:val="clear" w:color="auto" w:fill="FFFFFF"/>
        </w:rPr>
        <w:t xml:space="preserve">  </w:t>
      </w:r>
    </w:p>
    <w:p>
      <w:pPr>
        <w:spacing w:line="480" w:lineRule="exact"/>
        <w:jc w:val="center"/>
        <w:rPr>
          <w:rFonts w:hint="eastAsia" w:ascii="宋体" w:hAnsi="宋体"/>
          <w:b/>
          <w:sz w:val="44"/>
          <w:szCs w:val="44"/>
        </w:rPr>
      </w:pPr>
      <w:r>
        <w:rPr>
          <w:rFonts w:hint="eastAsia" w:ascii="宋体" w:hAnsi="宋体"/>
          <w:b/>
          <w:sz w:val="44"/>
          <w:szCs w:val="44"/>
        </w:rPr>
        <w:t>平乡县教师进修学校</w:t>
      </w:r>
    </w:p>
    <w:p>
      <w:pPr>
        <w:spacing w:line="480" w:lineRule="exact"/>
        <w:jc w:val="center"/>
        <w:rPr>
          <w:rFonts w:ascii="宋体" w:hAnsi="宋体" w:eastAsia="宋体" w:cs="宋体"/>
          <w:b/>
          <w:color w:val="000000"/>
          <w:kern w:val="0"/>
          <w:sz w:val="44"/>
          <w:szCs w:val="44"/>
          <w:shd w:val="clear" w:color="auto" w:fill="FFFFFF"/>
        </w:rPr>
      </w:pPr>
      <w:r>
        <w:rPr>
          <w:rFonts w:hint="eastAsia" w:ascii="宋体" w:hAnsi="宋体"/>
          <w:b/>
          <w:sz w:val="44"/>
          <w:szCs w:val="44"/>
        </w:rPr>
        <w:t>部门整体支出绩效评价</w:t>
      </w:r>
      <w:r>
        <w:rPr>
          <w:rFonts w:hint="eastAsia" w:ascii="宋体" w:hAnsi="宋体" w:eastAsia="宋体" w:cs="宋体"/>
          <w:b/>
          <w:color w:val="000000"/>
          <w:kern w:val="0"/>
          <w:sz w:val="44"/>
          <w:szCs w:val="44"/>
          <w:shd w:val="clear" w:color="auto" w:fill="FFFFFF"/>
        </w:rPr>
        <w:t>指标体系评分表</w:t>
      </w:r>
    </w:p>
    <w:tbl>
      <w:tblPr>
        <w:tblStyle w:val="8"/>
        <w:tblW w:w="937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9"/>
        <w:gridCol w:w="743"/>
        <w:gridCol w:w="1275"/>
        <w:gridCol w:w="3436"/>
        <w:gridCol w:w="2373"/>
        <w:gridCol w:w="7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9" w:hRule="atLeast"/>
        </w:trPr>
        <w:tc>
          <w:tcPr>
            <w:tcW w:w="77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b/>
              </w:rPr>
            </w:pPr>
            <w:r>
              <w:rPr>
                <w:rFonts w:ascii="仿宋_GB2312" w:hAnsi="新宋体" w:eastAsia="仿宋_GB2312" w:cs="仿宋_GB2312"/>
                <w:b/>
                <w:kern w:val="0"/>
                <w:sz w:val="24"/>
                <w:szCs w:val="24"/>
              </w:rPr>
              <w:t>一级指标</w:t>
            </w: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b/>
              </w:rPr>
            </w:pPr>
            <w:r>
              <w:rPr>
                <w:rFonts w:ascii="仿宋_GB2312" w:hAnsi="新宋体" w:eastAsia="仿宋_GB2312" w:cs="仿宋_GB2312"/>
                <w:b/>
                <w:kern w:val="0"/>
                <w:sz w:val="24"/>
                <w:szCs w:val="24"/>
              </w:rPr>
              <w:t>二级指标</w:t>
            </w:r>
          </w:p>
        </w:tc>
        <w:tc>
          <w:tcPr>
            <w:tcW w:w="4711" w:type="dxa"/>
            <w:gridSpan w:val="2"/>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center"/>
              <w:rPr>
                <w:b/>
              </w:rPr>
            </w:pPr>
            <w:r>
              <w:rPr>
                <w:rFonts w:ascii="仿宋_GB2312" w:hAnsi="新宋体" w:eastAsia="仿宋_GB2312" w:cs="仿宋_GB2312"/>
                <w:b/>
                <w:kern w:val="0"/>
                <w:sz w:val="24"/>
                <w:szCs w:val="24"/>
              </w:rPr>
              <w:t>三级指标</w:t>
            </w:r>
          </w:p>
        </w:tc>
        <w:tc>
          <w:tcPr>
            <w:tcW w:w="2373" w:type="dxa"/>
            <w:vMerge w:val="restart"/>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center"/>
              <w:rPr>
                <w:b/>
              </w:rPr>
            </w:pPr>
            <w:r>
              <w:rPr>
                <w:rFonts w:ascii="仿宋_GB2312" w:hAnsi="新宋体" w:eastAsia="仿宋_GB2312" w:cs="仿宋_GB2312"/>
                <w:b/>
                <w:kern w:val="0"/>
                <w:sz w:val="24"/>
                <w:szCs w:val="24"/>
              </w:rPr>
              <w:t>评分标准</w:t>
            </w:r>
          </w:p>
        </w:tc>
        <w:tc>
          <w:tcPr>
            <w:tcW w:w="764" w:type="dxa"/>
            <w:vMerge w:val="restart"/>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b/>
              </w:rPr>
            </w:pPr>
            <w:r>
              <w:rPr>
                <w:rFonts w:ascii="仿宋_GB2312" w:hAnsi="新宋体" w:eastAsia="仿宋_GB2312" w:cs="仿宋_GB2312"/>
                <w:b/>
                <w:kern w:val="0"/>
                <w:sz w:val="24"/>
                <w:szCs w:val="24"/>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4"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center"/>
              <w:rPr>
                <w:b/>
              </w:rPr>
            </w:pPr>
            <w:r>
              <w:rPr>
                <w:rFonts w:ascii="仿宋_GB2312" w:hAnsi="新宋体" w:eastAsia="仿宋_GB2312" w:cs="仿宋_GB2312"/>
                <w:b/>
                <w:kern w:val="0"/>
                <w:sz w:val="24"/>
                <w:szCs w:val="24"/>
              </w:rPr>
              <w:t>指标名称</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center"/>
              <w:rPr>
                <w:b/>
              </w:rPr>
            </w:pPr>
            <w:r>
              <w:rPr>
                <w:rFonts w:ascii="仿宋_GB2312" w:hAnsi="新宋体" w:eastAsia="仿宋_GB2312" w:cs="仿宋_GB2312"/>
                <w:b/>
                <w:kern w:val="0"/>
                <w:sz w:val="24"/>
                <w:szCs w:val="24"/>
              </w:rPr>
              <w:t>指标解释说明</w:t>
            </w:r>
          </w:p>
        </w:tc>
        <w:tc>
          <w:tcPr>
            <w:tcW w:w="2373" w:type="dxa"/>
            <w:vMerge w:val="continue"/>
            <w:tcBorders>
              <w:top w:val="single" w:color="000000" w:sz="4" w:space="0"/>
              <w:left w:val="single" w:color="auto" w:sz="4" w:space="0"/>
              <w:bottom w:val="single" w:color="000000" w:sz="4" w:space="0"/>
              <w:right w:val="single" w:color="auto" w:sz="4" w:space="0"/>
            </w:tcBorders>
            <w:vAlign w:val="center"/>
          </w:tcPr>
          <w:p>
            <w:pPr>
              <w:rPr>
                <w:rFonts w:ascii="宋体"/>
                <w:szCs w:val="21"/>
              </w:rPr>
            </w:pPr>
          </w:p>
        </w:tc>
        <w:tc>
          <w:tcPr>
            <w:tcW w:w="764" w:type="dxa"/>
            <w:vMerge w:val="continue"/>
            <w:tcBorders>
              <w:top w:val="single" w:color="000000" w:sz="4" w:space="0"/>
              <w:left w:val="single" w:color="auto" w:sz="4" w:space="0"/>
              <w:bottom w:val="single" w:color="000000" w:sz="4" w:space="0"/>
              <w:right w:val="single" w:color="auto" w:sz="4" w:space="0"/>
            </w:tcBorders>
            <w:vAlign w:val="center"/>
          </w:tcPr>
          <w:p>
            <w:pP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8" w:hRule="atLeast"/>
        </w:trPr>
        <w:tc>
          <w:tcPr>
            <w:tcW w:w="77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szCs w:val="21"/>
              </w:rPr>
            </w:pPr>
            <w:r>
              <w:rPr>
                <w:rFonts w:ascii="仿宋_GB2312" w:hAnsi="新宋体" w:eastAsia="仿宋_GB2312" w:cs="仿宋_GB2312"/>
                <w:kern w:val="0"/>
                <w:szCs w:val="21"/>
              </w:rPr>
              <w:t>投入（1</w:t>
            </w:r>
            <w:r>
              <w:rPr>
                <w:rFonts w:hint="eastAsia" w:ascii="仿宋_GB2312" w:hAnsi="新宋体" w:eastAsia="仿宋_GB2312" w:cs="仿宋_GB2312"/>
                <w:kern w:val="0"/>
                <w:szCs w:val="21"/>
              </w:rPr>
              <w:t>0</w:t>
            </w:r>
            <w:r>
              <w:rPr>
                <w:rFonts w:ascii="仿宋_GB2312" w:hAnsi="新宋体" w:eastAsia="仿宋_GB2312" w:cs="仿宋_GB2312"/>
                <w:kern w:val="0"/>
                <w:szCs w:val="21"/>
              </w:rPr>
              <w:t>）</w:t>
            </w: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szCs w:val="21"/>
              </w:rPr>
            </w:pPr>
            <w:r>
              <w:rPr>
                <w:rFonts w:hint="eastAsia" w:ascii="仿宋_GB2312" w:hAnsi="新宋体" w:eastAsia="仿宋_GB2312" w:cs="仿宋_GB2312"/>
                <w:kern w:val="0"/>
                <w:szCs w:val="21"/>
              </w:rPr>
              <w:t>绩效</w:t>
            </w:r>
            <w:r>
              <w:rPr>
                <w:rFonts w:ascii="仿宋_GB2312" w:hAnsi="新宋体" w:eastAsia="仿宋_GB2312" w:cs="仿宋_GB2312"/>
                <w:kern w:val="0"/>
                <w:szCs w:val="21"/>
              </w:rPr>
              <w:t>目标设定</w:t>
            </w:r>
            <w:r>
              <w:rPr>
                <w:rFonts w:hint="eastAsia" w:ascii="仿宋_GB2312" w:hAnsi="新宋体" w:eastAsia="仿宋_GB2312" w:cs="仿宋_GB2312"/>
                <w:kern w:val="0"/>
                <w:szCs w:val="21"/>
              </w:rPr>
              <w:t>情况</w:t>
            </w:r>
          </w:p>
          <w:p>
            <w:pPr>
              <w:widowControl/>
              <w:spacing w:line="240" w:lineRule="exact"/>
              <w:jc w:val="left"/>
              <w:rPr>
                <w:color w:val="FF0000"/>
                <w:szCs w:val="21"/>
              </w:rPr>
            </w:pPr>
            <w:r>
              <w:rPr>
                <w:rFonts w:ascii="仿宋_GB2312" w:hAnsi="新宋体" w:eastAsia="仿宋_GB2312" w:cs="仿宋_GB2312"/>
                <w:kern w:val="0"/>
                <w:szCs w:val="21"/>
              </w:rPr>
              <w:t>（5</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1275" w:type="dxa"/>
            <w:tcBorders>
              <w:top w:val="single" w:color="000000" w:sz="4" w:space="0"/>
              <w:left w:val="single" w:color="000000" w:sz="4" w:space="0"/>
              <w:bottom w:val="single" w:color="auto"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职责明确（1</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部门的职责设定是否符合“三定”方案中所赋予的职责，用以反映和评价部门工作的目的性与计划性。</w:t>
            </w:r>
          </w:p>
        </w:tc>
        <w:tc>
          <w:tcPr>
            <w:tcW w:w="2373"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符合（1）；</w:t>
            </w:r>
          </w:p>
          <w:p>
            <w:pPr>
              <w:widowControl/>
              <w:spacing w:line="240" w:lineRule="exact"/>
              <w:jc w:val="left"/>
              <w:rPr>
                <w:szCs w:val="21"/>
              </w:rPr>
            </w:pPr>
            <w:r>
              <w:rPr>
                <w:rFonts w:ascii="仿宋_GB2312" w:hAnsi="新宋体" w:eastAsia="仿宋_GB2312" w:cs="仿宋_GB2312"/>
                <w:kern w:val="0"/>
                <w:szCs w:val="21"/>
              </w:rPr>
              <w:t>不符合（0）。</w:t>
            </w:r>
          </w:p>
        </w:tc>
        <w:tc>
          <w:tcPr>
            <w:tcW w:w="764" w:type="dxa"/>
            <w:tcBorders>
              <w:top w:val="single" w:color="000000" w:sz="4" w:space="0"/>
              <w:left w:val="single" w:color="auto" w:sz="4" w:space="0"/>
              <w:bottom w:val="single" w:color="auto" w:sz="4" w:space="0"/>
              <w:right w:val="single" w:color="000000" w:sz="4" w:space="0"/>
            </w:tcBorders>
            <w:vAlign w:val="center"/>
          </w:tcPr>
          <w:p>
            <w:pPr>
              <w:widowControl/>
              <w:spacing w:line="240" w:lineRule="exact"/>
              <w:jc w:val="left"/>
              <w:rPr>
                <w:szCs w:val="21"/>
              </w:rPr>
            </w:pPr>
            <w:r>
              <w:rPr>
                <w:rFonts w:hint="eastAsia"/>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34"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1275" w:type="dxa"/>
            <w:tcBorders>
              <w:top w:val="single" w:color="000000" w:sz="4" w:space="0"/>
              <w:left w:val="single" w:color="000000" w:sz="4" w:space="0"/>
              <w:bottom w:val="single" w:color="auto"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活动合规性（2</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部门的活动是否在职责范围之内并符合部门中长期规划，用以反映和评价部门活动目标与部门履职、年度工作任务的相符性情况。</w:t>
            </w:r>
          </w:p>
          <w:p>
            <w:pPr>
              <w:widowControl/>
              <w:spacing w:line="240" w:lineRule="exact"/>
              <w:jc w:val="left"/>
              <w:rPr>
                <w:szCs w:val="21"/>
              </w:rPr>
            </w:pPr>
            <w:r>
              <w:rPr>
                <w:rFonts w:ascii="仿宋_GB2312" w:hAnsi="新宋体" w:eastAsia="仿宋_GB2312" w:cs="仿宋_GB2312"/>
                <w:kern w:val="0"/>
                <w:szCs w:val="21"/>
              </w:rPr>
              <w:t>评价要点：</w:t>
            </w:r>
          </w:p>
          <w:p>
            <w:pPr>
              <w:widowControl/>
              <w:spacing w:line="240" w:lineRule="exact"/>
              <w:jc w:val="left"/>
              <w:rPr>
                <w:szCs w:val="21"/>
              </w:rPr>
            </w:pPr>
            <w:r>
              <w:rPr>
                <w:rFonts w:ascii="仿宋_GB2312" w:hAnsi="新宋体" w:eastAsia="仿宋_GB2312" w:cs="仿宋_GB2312"/>
                <w:kern w:val="0"/>
                <w:szCs w:val="21"/>
              </w:rPr>
              <w:t>1.部门活动的设定在部门所确定的职责范围之内；</w:t>
            </w:r>
          </w:p>
          <w:p>
            <w:pPr>
              <w:widowControl/>
              <w:spacing w:line="240" w:lineRule="exact"/>
              <w:jc w:val="left"/>
              <w:rPr>
                <w:szCs w:val="21"/>
              </w:rPr>
            </w:pPr>
            <w:r>
              <w:rPr>
                <w:rFonts w:ascii="仿宋_GB2312" w:hAnsi="新宋体" w:eastAsia="仿宋_GB2312" w:cs="仿宋_GB2312"/>
                <w:kern w:val="0"/>
                <w:szCs w:val="21"/>
              </w:rPr>
              <w:t>2.部门活动符合</w:t>
            </w:r>
            <w:r>
              <w:rPr>
                <w:rFonts w:hint="eastAsia" w:ascii="仿宋_GB2312" w:hAnsi="新宋体" w:eastAsia="仿宋_GB2312" w:cs="仿宋_GB2312"/>
                <w:kern w:val="0"/>
                <w:szCs w:val="21"/>
              </w:rPr>
              <w:t>市</w:t>
            </w:r>
            <w:r>
              <w:rPr>
                <w:rFonts w:ascii="仿宋_GB2312" w:hAnsi="新宋体" w:eastAsia="仿宋_GB2312" w:cs="仿宋_GB2312"/>
                <w:kern w:val="0"/>
                <w:szCs w:val="21"/>
              </w:rPr>
              <w:t>委、</w:t>
            </w:r>
            <w:r>
              <w:rPr>
                <w:rFonts w:hint="eastAsia" w:ascii="仿宋_GB2312" w:hAnsi="新宋体" w:eastAsia="仿宋_GB2312" w:cs="仿宋_GB2312"/>
                <w:kern w:val="0"/>
                <w:szCs w:val="21"/>
              </w:rPr>
              <w:t>市</w:t>
            </w:r>
            <w:r>
              <w:rPr>
                <w:rFonts w:ascii="仿宋_GB2312" w:hAnsi="新宋体" w:eastAsia="仿宋_GB2312" w:cs="仿宋_GB2312"/>
                <w:kern w:val="0"/>
                <w:szCs w:val="21"/>
              </w:rPr>
              <w:t>政府的发展规划及本部门的年度工作安排与发展规划。</w:t>
            </w:r>
          </w:p>
        </w:tc>
        <w:tc>
          <w:tcPr>
            <w:tcW w:w="2373"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全部符合（2）；</w:t>
            </w:r>
          </w:p>
          <w:p>
            <w:pPr>
              <w:widowControl/>
              <w:spacing w:line="240" w:lineRule="exact"/>
              <w:jc w:val="left"/>
              <w:rPr>
                <w:szCs w:val="21"/>
              </w:rPr>
            </w:pPr>
            <w:r>
              <w:rPr>
                <w:rFonts w:ascii="仿宋_GB2312" w:hAnsi="新宋体" w:eastAsia="仿宋_GB2312" w:cs="仿宋_GB2312"/>
                <w:kern w:val="0"/>
                <w:szCs w:val="21"/>
              </w:rPr>
              <w:t>其中一项不符合（0）。</w:t>
            </w:r>
          </w:p>
        </w:tc>
        <w:tc>
          <w:tcPr>
            <w:tcW w:w="764" w:type="dxa"/>
            <w:tcBorders>
              <w:top w:val="single" w:color="000000" w:sz="4" w:space="0"/>
              <w:left w:val="single" w:color="auto" w:sz="4" w:space="0"/>
              <w:bottom w:val="single" w:color="auto" w:sz="4" w:space="0"/>
              <w:right w:val="single" w:color="000000" w:sz="4" w:space="0"/>
            </w:tcBorders>
            <w:vAlign w:val="center"/>
          </w:tcPr>
          <w:p>
            <w:pPr>
              <w:widowControl/>
              <w:spacing w:line="240" w:lineRule="exact"/>
              <w:jc w:val="left"/>
              <w:rPr>
                <w:szCs w:val="21"/>
              </w:rPr>
            </w:pPr>
            <w:r>
              <w:rPr>
                <w:rFonts w:hint="eastAsia"/>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1275" w:type="dxa"/>
            <w:tcBorders>
              <w:top w:val="single" w:color="000000" w:sz="4" w:space="0"/>
              <w:left w:val="single" w:color="000000" w:sz="4" w:space="0"/>
              <w:bottom w:val="single" w:color="auto"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活动合理性（2</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部门所设立的活动是否明确合理、活动的关键性指标设置是否可衡量，用以反映和评价部门活动目标设定的合理性。</w:t>
            </w:r>
          </w:p>
          <w:p>
            <w:pPr>
              <w:widowControl/>
              <w:spacing w:line="240" w:lineRule="exact"/>
              <w:jc w:val="left"/>
              <w:rPr>
                <w:szCs w:val="21"/>
              </w:rPr>
            </w:pPr>
            <w:r>
              <w:rPr>
                <w:rFonts w:ascii="仿宋_GB2312" w:hAnsi="新宋体" w:eastAsia="仿宋_GB2312" w:cs="仿宋_GB2312"/>
                <w:kern w:val="0"/>
                <w:szCs w:val="21"/>
              </w:rPr>
              <w:t>评价要点：</w:t>
            </w:r>
          </w:p>
          <w:p>
            <w:pPr>
              <w:widowControl/>
              <w:spacing w:line="240" w:lineRule="exact"/>
              <w:jc w:val="left"/>
              <w:rPr>
                <w:szCs w:val="21"/>
              </w:rPr>
            </w:pPr>
            <w:r>
              <w:rPr>
                <w:rFonts w:ascii="仿宋_GB2312" w:hAnsi="新宋体" w:eastAsia="仿宋_GB2312" w:cs="仿宋_GB2312"/>
                <w:kern w:val="0"/>
                <w:szCs w:val="21"/>
              </w:rPr>
              <w:t>1.活动目标的设定是可量化的，可通过清晰、可衡量的关键指标值予以体现；</w:t>
            </w:r>
          </w:p>
          <w:p>
            <w:pPr>
              <w:widowControl/>
              <w:spacing w:line="240" w:lineRule="exact"/>
              <w:jc w:val="left"/>
              <w:rPr>
                <w:szCs w:val="21"/>
              </w:rPr>
            </w:pPr>
            <w:r>
              <w:rPr>
                <w:rFonts w:ascii="仿宋_GB2312" w:hAnsi="新宋体" w:eastAsia="仿宋_GB2312" w:cs="仿宋_GB2312"/>
                <w:kern w:val="0"/>
                <w:szCs w:val="21"/>
              </w:rPr>
              <w:t>2.在活动目标设定时，将关键指标明细分解为具体的达成目标与工作任务。</w:t>
            </w:r>
          </w:p>
        </w:tc>
        <w:tc>
          <w:tcPr>
            <w:tcW w:w="2373"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全部符合（2）；</w:t>
            </w:r>
          </w:p>
          <w:p>
            <w:pPr>
              <w:widowControl/>
              <w:spacing w:line="240" w:lineRule="exact"/>
              <w:jc w:val="left"/>
              <w:rPr>
                <w:szCs w:val="21"/>
              </w:rPr>
            </w:pPr>
            <w:r>
              <w:rPr>
                <w:rFonts w:ascii="仿宋_GB2312" w:hAnsi="新宋体" w:eastAsia="仿宋_GB2312" w:cs="仿宋_GB2312"/>
                <w:kern w:val="0"/>
                <w:szCs w:val="21"/>
              </w:rPr>
              <w:t>其中一项不符合（0）。</w:t>
            </w:r>
          </w:p>
        </w:tc>
        <w:tc>
          <w:tcPr>
            <w:tcW w:w="764" w:type="dxa"/>
            <w:tcBorders>
              <w:top w:val="single" w:color="000000" w:sz="4" w:space="0"/>
              <w:left w:val="single" w:color="auto" w:sz="4" w:space="0"/>
              <w:bottom w:val="single" w:color="auto" w:sz="4" w:space="0"/>
              <w:right w:val="single" w:color="000000" w:sz="4" w:space="0"/>
            </w:tcBorders>
            <w:vAlign w:val="center"/>
          </w:tcPr>
          <w:p>
            <w:pPr>
              <w:widowControl/>
              <w:spacing w:line="240" w:lineRule="exact"/>
              <w:jc w:val="left"/>
              <w:rPr>
                <w:szCs w:val="21"/>
              </w:rPr>
            </w:pPr>
            <w:r>
              <w:rPr>
                <w:rFonts w:hint="eastAsia"/>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restart"/>
            <w:tcBorders>
              <w:top w:val="single" w:color="000000" w:sz="4" w:space="0"/>
              <w:left w:val="single" w:color="000000" w:sz="4" w:space="0"/>
              <w:right w:val="single" w:color="000000" w:sz="4" w:space="0"/>
            </w:tcBorders>
            <w:vAlign w:val="center"/>
          </w:tcPr>
          <w:p>
            <w:pPr>
              <w:widowControl/>
              <w:spacing w:line="240" w:lineRule="exact"/>
              <w:jc w:val="left"/>
              <w:rPr>
                <w:szCs w:val="21"/>
              </w:rPr>
            </w:pPr>
            <w:r>
              <w:rPr>
                <w:rFonts w:ascii="仿宋_GB2312" w:hAnsi="新宋体" w:eastAsia="仿宋_GB2312" w:cs="仿宋_GB2312"/>
                <w:kern w:val="0"/>
                <w:szCs w:val="21"/>
              </w:rPr>
              <w:t>预算配置</w:t>
            </w:r>
            <w:r>
              <w:rPr>
                <w:rFonts w:hint="eastAsia" w:ascii="仿宋_GB2312" w:hAnsi="新宋体" w:eastAsia="仿宋_GB2312" w:cs="仿宋_GB2312"/>
                <w:kern w:val="0"/>
                <w:szCs w:val="21"/>
              </w:rPr>
              <w:t>情况</w:t>
            </w:r>
            <w:r>
              <w:rPr>
                <w:rFonts w:ascii="仿宋_GB2312" w:hAnsi="新宋体" w:eastAsia="仿宋_GB2312" w:cs="仿宋_GB2312"/>
                <w:kern w:val="0"/>
                <w:szCs w:val="21"/>
              </w:rPr>
              <w:t>(</w:t>
            </w:r>
            <w:r>
              <w:rPr>
                <w:rFonts w:hint="eastAsia" w:ascii="仿宋_GB2312" w:hAnsi="新宋体" w:eastAsia="仿宋_GB2312" w:cs="仿宋_GB2312"/>
                <w:kern w:val="0"/>
                <w:szCs w:val="21"/>
              </w:rPr>
              <w:t>5分</w:t>
            </w:r>
            <w:r>
              <w:rPr>
                <w:rFonts w:ascii="仿宋_GB2312" w:hAnsi="新宋体" w:eastAsia="仿宋_GB2312" w:cs="仿宋_GB2312"/>
                <w:kern w:val="0"/>
                <w:szCs w:val="21"/>
              </w:rPr>
              <w:t>)</w:t>
            </w:r>
          </w:p>
        </w:tc>
        <w:tc>
          <w:tcPr>
            <w:tcW w:w="1275" w:type="dxa"/>
            <w:tcBorders>
              <w:top w:val="single" w:color="auto" w:sz="4" w:space="0"/>
              <w:left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在职人员控制率（</w:t>
            </w:r>
            <w:r>
              <w:rPr>
                <w:rFonts w:hint="eastAsia" w:ascii="仿宋_GB2312" w:hAnsi="新宋体" w:eastAsia="仿宋_GB2312" w:cs="仿宋_GB2312"/>
                <w:kern w:val="0"/>
                <w:szCs w:val="21"/>
              </w:rPr>
              <w:t>1分</w:t>
            </w:r>
            <w:r>
              <w:rPr>
                <w:rFonts w:ascii="仿宋_GB2312" w:hAnsi="新宋体" w:eastAsia="仿宋_GB2312" w:cs="仿宋_GB2312"/>
                <w:kern w:val="0"/>
                <w:szCs w:val="21"/>
              </w:rPr>
              <w:t>）</w:t>
            </w:r>
          </w:p>
        </w:tc>
        <w:tc>
          <w:tcPr>
            <w:tcW w:w="3436" w:type="dxa"/>
            <w:tcBorders>
              <w:top w:val="single" w:color="auto" w:sz="4" w:space="0"/>
              <w:left w:val="single" w:color="auto"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部门本年度实际在职人员数与编制数的比率，用以反映和评价部门对人员成本的控制程度。</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在职人员控制率=（在职人员数/编制数）×100%。</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在职人员数：部门实际在职人数，以财政部确定的部门决算编制口径为准，由编制部门和人劳部门批复同意的临聘人员除外。</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编制数：机构编制部门核定批复的部门人员编制数。</w:t>
            </w:r>
          </w:p>
        </w:tc>
        <w:tc>
          <w:tcPr>
            <w:tcW w:w="2373" w:type="dxa"/>
            <w:tcBorders>
              <w:top w:val="single" w:color="auto" w:sz="4" w:space="0"/>
              <w:left w:val="single" w:color="auto"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1.在职人员控制率小于或等于100%的，得满分；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2.在职人员控制率大于或等于115%的，得0分；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3.在职人员控制率在100%-115%之间的，在0分和满分之间计算确定：</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得分=[max（在职人员控制率）－某部门在职人员控制率]/[max（在职人员控制率）－min（在职人员控制率）]×该指标分值。</w:t>
            </w:r>
          </w:p>
        </w:tc>
        <w:tc>
          <w:tcPr>
            <w:tcW w:w="764" w:type="dxa"/>
            <w:tcBorders>
              <w:top w:val="single" w:color="auto" w:sz="4" w:space="0"/>
              <w:left w:val="single" w:color="auto" w:sz="4" w:space="0"/>
              <w:bottom w:val="single" w:color="000000" w:sz="4" w:space="0"/>
              <w:right w:val="single" w:color="000000" w:sz="4" w:space="0"/>
            </w:tcBorders>
            <w:vAlign w:val="center"/>
          </w:tcPr>
          <w:p>
            <w:pPr>
              <w:widowControl/>
              <w:spacing w:line="240" w:lineRule="exact"/>
              <w:jc w:val="left"/>
              <w:rPr>
                <w:szCs w:val="21"/>
              </w:rPr>
            </w:pPr>
            <w:r>
              <w:rPr>
                <w:rFonts w:hint="eastAsia"/>
                <w:szCs w:val="21"/>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9" w:type="dxa"/>
            <w:vMerge w:val="restart"/>
            <w:tcBorders>
              <w:top w:val="single" w:color="000000" w:sz="4" w:space="0"/>
              <w:left w:val="single" w:color="000000" w:sz="4" w:space="0"/>
              <w:right w:val="single" w:color="000000" w:sz="4" w:space="0"/>
            </w:tcBorders>
            <w:vAlign w:val="center"/>
          </w:tcPr>
          <w:p>
            <w:pPr>
              <w:spacing w:line="240" w:lineRule="exact"/>
              <w:rPr>
                <w:rFonts w:ascii="宋体"/>
                <w:szCs w:val="21"/>
              </w:rPr>
            </w:pPr>
          </w:p>
        </w:tc>
        <w:tc>
          <w:tcPr>
            <w:tcW w:w="743" w:type="dxa"/>
            <w:vMerge w:val="continue"/>
            <w:tcBorders>
              <w:left w:val="single" w:color="000000" w:sz="4" w:space="0"/>
              <w:right w:val="single" w:color="000000" w:sz="4" w:space="0"/>
            </w:tcBorders>
            <w:vAlign w:val="center"/>
          </w:tcPr>
          <w:p>
            <w:pPr>
              <w:widowControl/>
              <w:spacing w:line="240" w:lineRule="exact"/>
              <w:jc w:val="left"/>
              <w:rPr>
                <w:rFonts w:ascii="仿宋_GB2312" w:hAnsi="新宋体" w:eastAsia="仿宋_GB2312" w:cs="仿宋_GB2312"/>
                <w:kern w:val="0"/>
                <w:szCs w:val="21"/>
              </w:rPr>
            </w:pPr>
          </w:p>
        </w:tc>
        <w:tc>
          <w:tcPr>
            <w:tcW w:w="1275" w:type="dxa"/>
            <w:tcBorders>
              <w:top w:val="single" w:color="auto" w:sz="4" w:space="0"/>
              <w:left w:val="single" w:color="000000" w:sz="4" w:space="0"/>
              <w:right w:val="single" w:color="auto" w:sz="4" w:space="0"/>
            </w:tcBorders>
            <w:vAlign w:val="center"/>
          </w:tcPr>
          <w:p>
            <w:pPr>
              <w:widowControl/>
              <w:spacing w:line="240" w:lineRule="exact"/>
              <w:jc w:val="left"/>
              <w:textAlignment w:val="center"/>
              <w:rPr>
                <w:rFonts w:ascii="仿宋" w:hAnsi="仿宋" w:eastAsia="仿宋" w:cs="仿宋"/>
                <w:kern w:val="0"/>
                <w:szCs w:val="21"/>
              </w:rPr>
            </w:pP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变动率（2分）</w:t>
            </w:r>
          </w:p>
        </w:tc>
        <w:tc>
          <w:tcPr>
            <w:tcW w:w="3436" w:type="dxa"/>
            <w:tcBorders>
              <w:top w:val="single" w:color="auto" w:sz="4" w:space="0"/>
              <w:left w:val="single" w:color="auto" w:sz="4" w:space="0"/>
              <w:right w:val="single" w:color="auto" w:sz="4" w:space="0"/>
            </w:tcBorders>
            <w:vAlign w:val="center"/>
          </w:tcPr>
          <w:p>
            <w:pPr>
              <w:widowControl/>
              <w:spacing w:line="240" w:lineRule="exact"/>
              <w:jc w:val="left"/>
              <w:textAlignment w:val="center"/>
              <w:rPr>
                <w:rFonts w:ascii="仿宋" w:hAnsi="仿宋" w:eastAsia="仿宋" w:cs="仿宋"/>
                <w:kern w:val="0"/>
                <w:szCs w:val="21"/>
              </w:rPr>
            </w:pPr>
            <w:r>
              <w:rPr>
                <w:rFonts w:hint="eastAsia" w:ascii="仿宋" w:hAnsi="仿宋" w:eastAsia="仿宋" w:cs="仿宋"/>
                <w:color w:val="000000"/>
                <w:kern w:val="0"/>
                <w:szCs w:val="21"/>
              </w:rPr>
              <w:t>部门本年度</w:t>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预算数与上年度</w:t>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预算数的变动比率，用以反映和考核部门对控制重点行政成本的努力程度。</w:t>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变动率=[（本年度</w:t>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总额-上年度</w:t>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总额）/上年度</w:t>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总额]×100%。</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：年度预算安排的因公出国（境）费、公务车辆购置及运行费和公务招待费。</w:t>
            </w:r>
          </w:p>
        </w:tc>
        <w:tc>
          <w:tcPr>
            <w:tcW w:w="2373" w:type="dxa"/>
            <w:tcBorders>
              <w:top w:val="single" w:color="auto" w:sz="4" w:space="0"/>
              <w:left w:val="single" w:color="auto"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1.</w:t>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变动率</w:t>
            </w:r>
            <w:r>
              <w:rPr>
                <w:rFonts w:ascii="仿宋_GB2312" w:hAnsi="新宋体" w:eastAsia="仿宋_GB2312" w:cs="仿宋_GB2312"/>
                <w:kern w:val="0"/>
                <w:szCs w:val="21"/>
              </w:rPr>
              <w:t>小于或等于</w:t>
            </w:r>
            <w:r>
              <w:rPr>
                <w:rFonts w:hint="eastAsia" w:ascii="仿宋_GB2312" w:hAnsi="新宋体" w:eastAsia="仿宋_GB2312" w:cs="仿宋_GB2312"/>
                <w:kern w:val="0"/>
                <w:szCs w:val="21"/>
              </w:rPr>
              <w:t>-5</w:t>
            </w:r>
            <w:r>
              <w:rPr>
                <w:rFonts w:ascii="仿宋_GB2312" w:hAnsi="新宋体" w:eastAsia="仿宋_GB2312" w:cs="仿宋_GB2312"/>
                <w:kern w:val="0"/>
                <w:szCs w:val="21"/>
              </w:rPr>
              <w:t>%的，得满分；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2.</w:t>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变动率</w:t>
            </w:r>
            <w:r>
              <w:rPr>
                <w:rFonts w:ascii="仿宋_GB2312" w:hAnsi="新宋体" w:eastAsia="仿宋_GB2312" w:cs="仿宋_GB2312"/>
                <w:kern w:val="0"/>
                <w:szCs w:val="21"/>
              </w:rPr>
              <w:t>大于或等于1</w:t>
            </w:r>
            <w:r>
              <w:rPr>
                <w:rFonts w:hint="eastAsia" w:ascii="仿宋_GB2312" w:hAnsi="新宋体" w:eastAsia="仿宋_GB2312" w:cs="仿宋_GB2312"/>
                <w:kern w:val="0"/>
                <w:szCs w:val="21"/>
              </w:rPr>
              <w:t>0</w:t>
            </w:r>
            <w:r>
              <w:rPr>
                <w:rFonts w:ascii="仿宋_GB2312" w:hAnsi="新宋体" w:eastAsia="仿宋_GB2312" w:cs="仿宋_GB2312"/>
                <w:kern w:val="0"/>
                <w:szCs w:val="21"/>
              </w:rPr>
              <w:t>%的，得0分；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3.在职人员控制率在</w:t>
            </w:r>
            <w:r>
              <w:rPr>
                <w:rFonts w:hint="eastAsia" w:ascii="仿宋_GB2312" w:hAnsi="新宋体" w:eastAsia="仿宋_GB2312" w:cs="仿宋_GB2312"/>
                <w:kern w:val="0"/>
                <w:szCs w:val="21"/>
              </w:rPr>
              <w:t>-5</w:t>
            </w:r>
            <w:r>
              <w:rPr>
                <w:rFonts w:ascii="仿宋_GB2312" w:hAnsi="新宋体" w:eastAsia="仿宋_GB2312" w:cs="仿宋_GB2312"/>
                <w:kern w:val="0"/>
                <w:szCs w:val="21"/>
              </w:rPr>
              <w:t>%-</w:t>
            </w:r>
            <w:r>
              <w:rPr>
                <w:rFonts w:hint="eastAsia" w:ascii="仿宋_GB2312" w:hAnsi="新宋体" w:eastAsia="仿宋_GB2312" w:cs="仿宋_GB2312"/>
                <w:kern w:val="0"/>
                <w:szCs w:val="21"/>
              </w:rPr>
              <w:t>10</w:t>
            </w:r>
            <w:r>
              <w:rPr>
                <w:rFonts w:ascii="仿宋_GB2312" w:hAnsi="新宋体" w:eastAsia="仿宋_GB2312" w:cs="仿宋_GB2312"/>
                <w:kern w:val="0"/>
                <w:szCs w:val="21"/>
              </w:rPr>
              <w:t>%之间的，在0分和满分之间计算确定：</w:t>
            </w:r>
          </w:p>
          <w:p>
            <w:pPr>
              <w:widowControl/>
              <w:spacing w:line="240" w:lineRule="exact"/>
              <w:jc w:val="left"/>
              <w:textAlignment w:val="center"/>
              <w:rPr>
                <w:rFonts w:ascii="仿宋" w:hAnsi="仿宋" w:eastAsia="仿宋" w:cs="仿宋"/>
                <w:kern w:val="0"/>
                <w:szCs w:val="21"/>
              </w:rPr>
            </w:pPr>
            <w:r>
              <w:rPr>
                <w:rFonts w:ascii="仿宋_GB2312" w:hAnsi="新宋体" w:eastAsia="仿宋_GB2312" w:cs="仿宋_GB2312"/>
                <w:kern w:val="0"/>
                <w:szCs w:val="21"/>
              </w:rPr>
              <w:t>得分=[max（</w:t>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变动率</w:t>
            </w:r>
            <w:r>
              <w:rPr>
                <w:rFonts w:ascii="仿宋_GB2312" w:hAnsi="新宋体" w:eastAsia="仿宋_GB2312" w:cs="仿宋_GB2312"/>
                <w:kern w:val="0"/>
                <w:szCs w:val="21"/>
              </w:rPr>
              <w:t>）－</w:t>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变动率</w:t>
            </w:r>
            <w:r>
              <w:rPr>
                <w:rFonts w:ascii="仿宋_GB2312" w:hAnsi="新宋体" w:eastAsia="仿宋_GB2312" w:cs="仿宋_GB2312"/>
                <w:kern w:val="0"/>
                <w:szCs w:val="21"/>
              </w:rPr>
              <w:t>]/[max（</w:t>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变动率</w:t>
            </w:r>
            <w:r>
              <w:rPr>
                <w:rFonts w:ascii="仿宋_GB2312" w:hAnsi="新宋体" w:eastAsia="仿宋_GB2312" w:cs="仿宋_GB2312"/>
                <w:kern w:val="0"/>
                <w:szCs w:val="21"/>
              </w:rPr>
              <w:t>）－min（</w:t>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变动率</w:t>
            </w:r>
            <w:r>
              <w:rPr>
                <w:rFonts w:ascii="仿宋_GB2312" w:hAnsi="新宋体" w:eastAsia="仿宋_GB2312" w:cs="仿宋_GB2312"/>
                <w:kern w:val="0"/>
                <w:szCs w:val="21"/>
              </w:rPr>
              <w:t>）]×该指标分值。</w:t>
            </w:r>
          </w:p>
        </w:tc>
        <w:tc>
          <w:tcPr>
            <w:tcW w:w="764" w:type="dxa"/>
            <w:tcBorders>
              <w:top w:val="single" w:color="auto" w:sz="4" w:space="0"/>
              <w:left w:val="single" w:color="auto" w:sz="4" w:space="0"/>
              <w:bottom w:val="single" w:color="000000" w:sz="4" w:space="0"/>
              <w:right w:val="single" w:color="000000" w:sz="4" w:space="0"/>
            </w:tcBorders>
            <w:vAlign w:val="center"/>
          </w:tcPr>
          <w:p>
            <w:pPr>
              <w:widowControl/>
              <w:spacing w:line="240" w:lineRule="exact"/>
              <w:jc w:val="left"/>
              <w:rPr>
                <w:szCs w:val="21"/>
              </w:rPr>
            </w:pPr>
            <w:r>
              <w:rPr>
                <w:rFonts w:hint="eastAsia"/>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9" w:type="dxa"/>
            <w:vMerge w:val="continue"/>
            <w:tcBorders>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continue"/>
            <w:tcBorders>
              <w:left w:val="single" w:color="000000" w:sz="4" w:space="0"/>
              <w:bottom w:val="single" w:color="000000" w:sz="4" w:space="0"/>
              <w:right w:val="single" w:color="000000" w:sz="4" w:space="0"/>
            </w:tcBorders>
            <w:vAlign w:val="center"/>
          </w:tcPr>
          <w:p>
            <w:pPr>
              <w:widowControl/>
              <w:spacing w:line="240" w:lineRule="exact"/>
              <w:jc w:val="left"/>
              <w:rPr>
                <w:rFonts w:ascii="仿宋_GB2312" w:hAnsi="新宋体" w:eastAsia="仿宋_GB2312" w:cs="仿宋_GB2312"/>
                <w:kern w:val="0"/>
                <w:szCs w:val="21"/>
              </w:rPr>
            </w:pPr>
          </w:p>
        </w:tc>
        <w:tc>
          <w:tcPr>
            <w:tcW w:w="1275" w:type="dxa"/>
            <w:tcBorders>
              <w:top w:val="single" w:color="auto" w:sz="4" w:space="0"/>
              <w:left w:val="single" w:color="000000" w:sz="4" w:space="0"/>
              <w:right w:val="single" w:color="auto" w:sz="4" w:space="0"/>
            </w:tcBorders>
            <w:vAlign w:val="center"/>
          </w:tcPr>
          <w:p>
            <w:pPr>
              <w:widowControl/>
              <w:spacing w:line="240" w:lineRule="exact"/>
              <w:jc w:val="left"/>
              <w:textAlignment w:val="center"/>
              <w:rPr>
                <w:rFonts w:ascii="仿宋" w:hAnsi="仿宋" w:eastAsia="仿宋" w:cs="仿宋"/>
                <w:kern w:val="0"/>
                <w:szCs w:val="21"/>
              </w:rPr>
            </w:pPr>
            <w:r>
              <w:rPr>
                <w:rFonts w:hint="eastAsia" w:ascii="仿宋" w:hAnsi="仿宋" w:eastAsia="仿宋" w:cs="仿宋"/>
                <w:color w:val="000000"/>
                <w:kern w:val="0"/>
                <w:szCs w:val="21"/>
              </w:rPr>
              <w:t>重点支出安排率（2分）</w:t>
            </w:r>
          </w:p>
        </w:tc>
        <w:tc>
          <w:tcPr>
            <w:tcW w:w="3436" w:type="dxa"/>
            <w:tcBorders>
              <w:top w:val="single" w:color="auto" w:sz="4" w:space="0"/>
              <w:left w:val="single" w:color="auto" w:sz="4" w:space="0"/>
              <w:right w:val="single" w:color="auto" w:sz="4" w:space="0"/>
            </w:tcBorders>
            <w:vAlign w:val="center"/>
          </w:tcPr>
          <w:p>
            <w:pPr>
              <w:widowControl/>
              <w:spacing w:line="240" w:lineRule="exact"/>
              <w:jc w:val="left"/>
              <w:textAlignment w:val="center"/>
              <w:rPr>
                <w:rFonts w:ascii="仿宋" w:hAnsi="仿宋" w:eastAsia="仿宋" w:cs="仿宋"/>
                <w:kern w:val="0"/>
                <w:szCs w:val="21"/>
              </w:rPr>
            </w:pPr>
            <w:r>
              <w:rPr>
                <w:rFonts w:hint="eastAsia" w:ascii="仿宋" w:hAnsi="仿宋" w:eastAsia="仿宋" w:cs="仿宋"/>
                <w:color w:val="000000"/>
                <w:kern w:val="0"/>
                <w:szCs w:val="21"/>
              </w:rPr>
              <w:t>部门本年度预算安排的重点项目支出与部门项目总支出的比率，用以反映和考核部门对履行主要职责或完成重点任务的保障程度。重点支出安排率=（重点项目支出/项目总支出）×100%。</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重点项目支出：部门（单位）年度预算安排的，与本部门履职和发展密切相关、具有明显社会和经济影响、党委政府关心或社会比较关注的项目支出总额。</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项目总支出：部门（单位）年度预算安排的项目支出总额。</w:t>
            </w:r>
          </w:p>
        </w:tc>
        <w:tc>
          <w:tcPr>
            <w:tcW w:w="2373" w:type="dxa"/>
            <w:tcBorders>
              <w:top w:val="single" w:color="auto" w:sz="4" w:space="0"/>
              <w:left w:val="single" w:color="auto"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1.</w:t>
            </w:r>
            <w:r>
              <w:rPr>
                <w:rFonts w:hint="eastAsia" w:ascii="仿宋" w:hAnsi="仿宋" w:eastAsia="仿宋" w:cs="仿宋"/>
                <w:color w:val="000000"/>
                <w:kern w:val="0"/>
                <w:szCs w:val="21"/>
              </w:rPr>
              <w:t>重点支出安排率</w:t>
            </w:r>
            <w:r>
              <w:rPr>
                <w:rFonts w:ascii="仿宋_GB2312" w:hAnsi="新宋体" w:eastAsia="仿宋_GB2312" w:cs="仿宋_GB2312"/>
                <w:kern w:val="0"/>
                <w:szCs w:val="21"/>
              </w:rPr>
              <w:t>大于或等于95%的，得满分；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2.</w:t>
            </w:r>
            <w:r>
              <w:rPr>
                <w:rFonts w:hint="eastAsia" w:ascii="仿宋" w:hAnsi="仿宋" w:eastAsia="仿宋" w:cs="仿宋"/>
                <w:color w:val="000000"/>
                <w:kern w:val="0"/>
                <w:szCs w:val="21"/>
              </w:rPr>
              <w:t>重点支出安排率</w:t>
            </w:r>
            <w:r>
              <w:rPr>
                <w:rFonts w:ascii="仿宋_GB2312" w:hAnsi="新宋体" w:eastAsia="仿宋_GB2312" w:cs="仿宋_GB2312"/>
                <w:kern w:val="0"/>
                <w:szCs w:val="21"/>
              </w:rPr>
              <w:t>小于或等于85%的，得0分；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3.</w:t>
            </w:r>
            <w:r>
              <w:rPr>
                <w:rFonts w:hint="eastAsia" w:ascii="仿宋" w:hAnsi="仿宋" w:eastAsia="仿宋" w:cs="仿宋"/>
                <w:color w:val="000000"/>
                <w:kern w:val="0"/>
                <w:szCs w:val="21"/>
              </w:rPr>
              <w:t>重点支出安排率</w:t>
            </w:r>
            <w:r>
              <w:rPr>
                <w:rFonts w:ascii="仿宋_GB2312" w:hAnsi="新宋体" w:eastAsia="仿宋_GB2312" w:cs="仿宋_GB2312"/>
                <w:kern w:val="0"/>
                <w:szCs w:val="21"/>
              </w:rPr>
              <w:t>在85%-95%之间的，在0分和满分之间计算确定：</w:t>
            </w:r>
          </w:p>
          <w:p>
            <w:pPr>
              <w:widowControl/>
              <w:spacing w:line="240" w:lineRule="exact"/>
              <w:jc w:val="left"/>
              <w:textAlignment w:val="center"/>
              <w:rPr>
                <w:rFonts w:ascii="仿宋" w:hAnsi="仿宋" w:eastAsia="仿宋" w:cs="仿宋"/>
                <w:kern w:val="0"/>
                <w:szCs w:val="21"/>
              </w:rPr>
            </w:pPr>
            <w:r>
              <w:rPr>
                <w:rFonts w:ascii="仿宋_GB2312" w:hAnsi="新宋体" w:eastAsia="仿宋_GB2312" w:cs="仿宋_GB2312"/>
                <w:kern w:val="0"/>
                <w:szCs w:val="21"/>
              </w:rPr>
              <w:t>得分=[某部门</w:t>
            </w:r>
            <w:r>
              <w:rPr>
                <w:rFonts w:hint="eastAsia" w:ascii="仿宋" w:hAnsi="仿宋" w:eastAsia="仿宋" w:cs="仿宋"/>
                <w:color w:val="000000"/>
                <w:kern w:val="0"/>
                <w:szCs w:val="21"/>
              </w:rPr>
              <w:t>重点支出安排率</w:t>
            </w:r>
            <w:r>
              <w:rPr>
                <w:rFonts w:ascii="仿宋_GB2312" w:hAnsi="新宋体" w:eastAsia="仿宋_GB2312" w:cs="仿宋_GB2312"/>
                <w:kern w:val="0"/>
                <w:szCs w:val="21"/>
              </w:rPr>
              <w:t>-min（</w:t>
            </w:r>
            <w:r>
              <w:rPr>
                <w:rFonts w:hint="eastAsia" w:ascii="仿宋" w:hAnsi="仿宋" w:eastAsia="仿宋" w:cs="仿宋"/>
                <w:color w:val="000000"/>
                <w:kern w:val="0"/>
                <w:szCs w:val="21"/>
              </w:rPr>
              <w:t>重点支出安排率</w:t>
            </w:r>
            <w:r>
              <w:rPr>
                <w:rFonts w:ascii="仿宋_GB2312" w:hAnsi="新宋体" w:eastAsia="仿宋_GB2312" w:cs="仿宋_GB2312"/>
                <w:kern w:val="0"/>
                <w:szCs w:val="21"/>
              </w:rPr>
              <w:t>）]/[max（</w:t>
            </w:r>
            <w:r>
              <w:rPr>
                <w:rFonts w:hint="eastAsia" w:ascii="仿宋" w:hAnsi="仿宋" w:eastAsia="仿宋" w:cs="仿宋"/>
                <w:color w:val="000000"/>
                <w:kern w:val="0"/>
                <w:szCs w:val="21"/>
              </w:rPr>
              <w:t>重点支出安排率</w:t>
            </w:r>
            <w:r>
              <w:rPr>
                <w:rFonts w:ascii="仿宋_GB2312" w:hAnsi="新宋体" w:eastAsia="仿宋_GB2312" w:cs="仿宋_GB2312"/>
                <w:kern w:val="0"/>
                <w:szCs w:val="21"/>
              </w:rPr>
              <w:t>）－min（</w:t>
            </w:r>
            <w:r>
              <w:rPr>
                <w:rFonts w:hint="eastAsia" w:ascii="仿宋" w:hAnsi="仿宋" w:eastAsia="仿宋" w:cs="仿宋"/>
                <w:color w:val="000000"/>
                <w:kern w:val="0"/>
                <w:szCs w:val="21"/>
              </w:rPr>
              <w:t>重点支出安排率</w:t>
            </w:r>
            <w:r>
              <w:rPr>
                <w:rFonts w:ascii="仿宋_GB2312" w:hAnsi="新宋体" w:eastAsia="仿宋_GB2312" w:cs="仿宋_GB2312"/>
                <w:kern w:val="0"/>
                <w:szCs w:val="21"/>
              </w:rPr>
              <w:t>）]×该指标分值。</w:t>
            </w:r>
          </w:p>
        </w:tc>
        <w:tc>
          <w:tcPr>
            <w:tcW w:w="764" w:type="dxa"/>
            <w:tcBorders>
              <w:top w:val="single" w:color="auto" w:sz="4" w:space="0"/>
              <w:left w:val="single" w:color="auto" w:sz="4" w:space="0"/>
              <w:bottom w:val="single" w:color="000000" w:sz="4" w:space="0"/>
              <w:right w:val="single" w:color="000000" w:sz="4" w:space="0"/>
            </w:tcBorders>
            <w:vAlign w:val="center"/>
          </w:tcPr>
          <w:p>
            <w:pPr>
              <w:widowControl/>
              <w:spacing w:line="240" w:lineRule="exact"/>
              <w:jc w:val="left"/>
              <w:rPr>
                <w:szCs w:val="21"/>
              </w:rPr>
            </w:pPr>
            <w:r>
              <w:rPr>
                <w:rFonts w:hint="eastAsia"/>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szCs w:val="21"/>
              </w:rPr>
            </w:pPr>
            <w:r>
              <w:rPr>
                <w:rFonts w:ascii="仿宋_GB2312" w:hAnsi="新宋体" w:eastAsia="仿宋_GB2312" w:cs="仿宋_GB2312"/>
                <w:kern w:val="0"/>
                <w:szCs w:val="21"/>
              </w:rPr>
              <w:t>过程(</w:t>
            </w:r>
            <w:r>
              <w:rPr>
                <w:rFonts w:hint="eastAsia" w:ascii="仿宋_GB2312" w:hAnsi="新宋体" w:eastAsia="仿宋_GB2312" w:cs="仿宋_GB2312"/>
                <w:kern w:val="0"/>
                <w:szCs w:val="21"/>
              </w:rPr>
              <w:t>45分</w:t>
            </w:r>
            <w:r>
              <w:rPr>
                <w:rFonts w:ascii="仿宋_GB2312" w:hAnsi="新宋体" w:eastAsia="仿宋_GB2312" w:cs="仿宋_GB2312"/>
                <w:kern w:val="0"/>
                <w:szCs w:val="21"/>
              </w:rPr>
              <w:t>)</w:t>
            </w: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szCs w:val="21"/>
              </w:rPr>
            </w:pPr>
            <w:r>
              <w:rPr>
                <w:rFonts w:ascii="仿宋_GB2312" w:hAnsi="新宋体" w:eastAsia="仿宋_GB2312" w:cs="仿宋_GB2312"/>
                <w:kern w:val="0"/>
                <w:szCs w:val="21"/>
              </w:rPr>
              <w:t>预算执行</w:t>
            </w:r>
            <w:r>
              <w:rPr>
                <w:rFonts w:hint="eastAsia" w:ascii="仿宋_GB2312" w:hAnsi="新宋体" w:eastAsia="仿宋_GB2312" w:cs="仿宋_GB2312"/>
                <w:kern w:val="0"/>
                <w:szCs w:val="21"/>
              </w:rPr>
              <w:t>情况</w:t>
            </w:r>
            <w:r>
              <w:rPr>
                <w:rFonts w:ascii="仿宋_GB2312" w:hAnsi="新宋体" w:eastAsia="仿宋_GB2312" w:cs="仿宋_GB2312"/>
                <w:kern w:val="0"/>
                <w:szCs w:val="21"/>
              </w:rPr>
              <w:t>(</w:t>
            </w:r>
            <w:r>
              <w:rPr>
                <w:rFonts w:hint="eastAsia" w:ascii="仿宋_GB2312" w:hAnsi="新宋体" w:eastAsia="仿宋_GB2312" w:cs="仿宋_GB2312"/>
                <w:kern w:val="0"/>
                <w:szCs w:val="21"/>
              </w:rPr>
              <w:t>25分</w:t>
            </w:r>
            <w:r>
              <w:rPr>
                <w:rFonts w:ascii="仿宋_GB2312" w:hAnsi="新宋体" w:eastAsia="仿宋_GB2312" w:cs="仿宋_GB2312"/>
                <w:kern w:val="0"/>
                <w:szCs w:val="21"/>
              </w:rPr>
              <w:t>)</w:t>
            </w: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预算完成率（5</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通过对部门本年度预算完成数与预算数的比较，反映和评价部门预算的完成程度。</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预算完成率=（预算完成数/预算数）×100%。</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1.预算完成率大于或等于95%的，得满分；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2.预算完成率小于或等于85%的，得0分；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3.预算完成率在85%-95%之间的，在0分和满分之间计算确定：</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得分=[某部门预算完成率-min（预算完成率）]/[max（预算完成率）－min（预算完成率）]×该指标分值。</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szCs w:val="21"/>
              </w:rPr>
            </w:pPr>
            <w:r>
              <w:rPr>
                <w:rFonts w:hint="eastAsia"/>
                <w:szCs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预算调整率（</w:t>
            </w:r>
            <w:r>
              <w:rPr>
                <w:rFonts w:hint="eastAsia" w:ascii="仿宋_GB2312" w:hAnsi="新宋体" w:eastAsia="仿宋_GB2312" w:cs="仿宋_GB2312"/>
                <w:kern w:val="0"/>
                <w:szCs w:val="21"/>
              </w:rPr>
              <w:t>3分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部门本年度预算调整数与预算数的比率，用以反映和评价部门预算的调整程度。</w:t>
            </w:r>
          </w:p>
          <w:p>
            <w:pPr>
              <w:widowControl/>
              <w:spacing w:line="240" w:lineRule="exact"/>
              <w:jc w:val="left"/>
              <w:rPr>
                <w:szCs w:val="21"/>
              </w:rPr>
            </w:pPr>
            <w:r>
              <w:rPr>
                <w:rFonts w:ascii="仿宋_GB2312" w:hAnsi="新宋体" w:eastAsia="仿宋_GB2312" w:cs="仿宋_GB2312"/>
                <w:kern w:val="0"/>
                <w:szCs w:val="21"/>
              </w:rPr>
              <w:t>预算调整率=（预算调整数/预算数）×100%。</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 xml:space="preserve">1.预算调整率等于0的，得满分； </w:t>
            </w:r>
          </w:p>
          <w:p>
            <w:pPr>
              <w:widowControl/>
              <w:spacing w:line="240" w:lineRule="exact"/>
              <w:jc w:val="left"/>
              <w:rPr>
                <w:szCs w:val="21"/>
              </w:rPr>
            </w:pPr>
            <w:r>
              <w:rPr>
                <w:rFonts w:ascii="仿宋_GB2312" w:hAnsi="新宋体" w:eastAsia="仿宋_GB2312" w:cs="仿宋_GB2312"/>
                <w:kern w:val="0"/>
                <w:szCs w:val="21"/>
              </w:rPr>
              <w:t>2.预算调整率大于或等于10%的，得0分；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3.预算调整率在0-10%之间的，在0分和满分之间确定：</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得分=［max（预算调整率）-某部门预算调整率］/［max（预算调整率）-min（预算调整率）］×该指标分值。</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szCs w:val="21"/>
              </w:rPr>
            </w:pPr>
            <w:r>
              <w:rPr>
                <w:rFonts w:hint="eastAsia"/>
                <w:szCs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4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color w:val="000000"/>
                <w:kern w:val="0"/>
                <w:szCs w:val="21"/>
              </w:rPr>
              <w:t>支付进度率</w:t>
            </w:r>
            <w:r>
              <w:rPr>
                <w:rFonts w:ascii="仿宋_GB2312" w:hAnsi="新宋体" w:eastAsia="仿宋_GB2312" w:cs="仿宋_GB2312"/>
                <w:kern w:val="0"/>
                <w:szCs w:val="21"/>
              </w:rPr>
              <w:t>（</w:t>
            </w:r>
            <w:r>
              <w:rPr>
                <w:rFonts w:hint="eastAsia" w:ascii="仿宋_GB2312" w:hAnsi="新宋体" w:eastAsia="仿宋_GB2312" w:cs="仿宋_GB2312"/>
                <w:kern w:val="0"/>
                <w:szCs w:val="21"/>
              </w:rPr>
              <w:t>5分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部门</w:t>
            </w:r>
            <w:r>
              <w:rPr>
                <w:rFonts w:hint="eastAsia" w:ascii="仿宋_GB2312" w:hAnsi="新宋体" w:eastAsia="仿宋_GB2312" w:cs="仿宋_GB2312"/>
                <w:kern w:val="0"/>
                <w:szCs w:val="21"/>
              </w:rPr>
              <w:t>年</w:t>
            </w:r>
            <w:r>
              <w:rPr>
                <w:rFonts w:ascii="仿宋_GB2312" w:hAnsi="新宋体" w:eastAsia="仿宋_GB2312" w:cs="仿宋_GB2312"/>
                <w:kern w:val="0"/>
                <w:szCs w:val="21"/>
              </w:rPr>
              <w:t>度支付数与</w:t>
            </w:r>
            <w:r>
              <w:rPr>
                <w:rFonts w:hint="eastAsia" w:ascii="仿宋_GB2312" w:hAnsi="新宋体" w:eastAsia="仿宋_GB2312" w:cs="仿宋_GB2312"/>
                <w:kern w:val="0"/>
                <w:szCs w:val="21"/>
              </w:rPr>
              <w:t>年</w:t>
            </w:r>
            <w:r>
              <w:rPr>
                <w:rFonts w:ascii="仿宋_GB2312" w:hAnsi="新宋体" w:eastAsia="仿宋_GB2312" w:cs="仿宋_GB2312"/>
                <w:kern w:val="0"/>
                <w:szCs w:val="21"/>
              </w:rPr>
              <w:t>度任务数的比率，用以反映和评价部门预算执行的及时和均衡程度。</w:t>
            </w:r>
          </w:p>
          <w:p>
            <w:pPr>
              <w:widowControl/>
              <w:spacing w:line="240" w:lineRule="exact"/>
              <w:jc w:val="left"/>
              <w:rPr>
                <w:szCs w:val="21"/>
              </w:rPr>
            </w:pPr>
            <w:r>
              <w:rPr>
                <w:rFonts w:ascii="仿宋_GB2312" w:hAnsi="新宋体" w:eastAsia="仿宋_GB2312" w:cs="仿宋_GB2312"/>
                <w:kern w:val="0"/>
                <w:szCs w:val="21"/>
              </w:rPr>
              <w:t>支付进度率=（</w:t>
            </w:r>
            <w:r>
              <w:rPr>
                <w:rFonts w:hint="eastAsia" w:ascii="仿宋_GB2312" w:hAnsi="新宋体" w:eastAsia="仿宋_GB2312" w:cs="仿宋_GB2312"/>
                <w:kern w:val="0"/>
                <w:szCs w:val="21"/>
              </w:rPr>
              <w:t>年</w:t>
            </w:r>
            <w:r>
              <w:rPr>
                <w:rFonts w:ascii="仿宋_GB2312" w:hAnsi="新宋体" w:eastAsia="仿宋_GB2312" w:cs="仿宋_GB2312"/>
                <w:kern w:val="0"/>
                <w:szCs w:val="21"/>
              </w:rPr>
              <w:t>度支付数/</w:t>
            </w:r>
            <w:r>
              <w:rPr>
                <w:rFonts w:hint="eastAsia" w:ascii="仿宋_GB2312" w:hAnsi="新宋体" w:eastAsia="仿宋_GB2312" w:cs="仿宋_GB2312"/>
                <w:kern w:val="0"/>
                <w:szCs w:val="21"/>
              </w:rPr>
              <w:t>年</w:t>
            </w:r>
            <w:r>
              <w:rPr>
                <w:rFonts w:ascii="仿宋_GB2312" w:hAnsi="新宋体" w:eastAsia="仿宋_GB2312" w:cs="仿宋_GB2312"/>
                <w:kern w:val="0"/>
                <w:szCs w:val="21"/>
              </w:rPr>
              <w:t>度任务数）×100%。</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按</w:t>
            </w:r>
            <w:r>
              <w:rPr>
                <w:rFonts w:hint="eastAsia" w:ascii="仿宋_GB2312" w:hAnsi="新宋体" w:eastAsia="仿宋_GB2312" w:cs="仿宋_GB2312"/>
                <w:kern w:val="0"/>
                <w:szCs w:val="21"/>
              </w:rPr>
              <w:t>年</w:t>
            </w:r>
            <w:r>
              <w:rPr>
                <w:rFonts w:ascii="仿宋_GB2312" w:hAnsi="新宋体" w:eastAsia="仿宋_GB2312" w:cs="仿宋_GB2312"/>
                <w:kern w:val="0"/>
                <w:szCs w:val="21"/>
              </w:rPr>
              <w:t>度的执行情况进行打分</w:t>
            </w:r>
            <w:r>
              <w:rPr>
                <w:rFonts w:hint="eastAsia" w:ascii="仿宋_GB2312" w:hAnsi="新宋体" w:eastAsia="仿宋_GB2312" w:cs="仿宋_GB2312"/>
                <w:kern w:val="0"/>
                <w:szCs w:val="21"/>
              </w:rPr>
              <w:t>。</w:t>
            </w:r>
            <w:r>
              <w:rPr>
                <w:rFonts w:ascii="仿宋_GB2312" w:hAnsi="新宋体" w:eastAsia="仿宋_GB2312" w:cs="仿宋_GB2312"/>
                <w:kern w:val="0"/>
                <w:szCs w:val="21"/>
              </w:rPr>
              <w:t>得分=</w:t>
            </w:r>
            <w:r>
              <w:rPr>
                <w:rFonts w:hint="eastAsia" w:ascii="仿宋_GB2312" w:hAnsi="新宋体" w:eastAsia="仿宋_GB2312" w:cs="仿宋_GB2312"/>
                <w:kern w:val="0"/>
                <w:szCs w:val="21"/>
              </w:rPr>
              <w:t>年</w:t>
            </w:r>
            <w:r>
              <w:rPr>
                <w:rFonts w:ascii="仿宋_GB2312" w:hAnsi="新宋体" w:eastAsia="仿宋_GB2312" w:cs="仿宋_GB2312"/>
                <w:kern w:val="0"/>
                <w:szCs w:val="21"/>
              </w:rPr>
              <w:t>度支付数/</w:t>
            </w:r>
            <w:r>
              <w:rPr>
                <w:rFonts w:hint="eastAsia" w:ascii="仿宋_GB2312" w:hAnsi="新宋体" w:eastAsia="仿宋_GB2312" w:cs="仿宋_GB2312"/>
                <w:kern w:val="0"/>
                <w:szCs w:val="21"/>
              </w:rPr>
              <w:t>年</w:t>
            </w:r>
            <w:r>
              <w:rPr>
                <w:rFonts w:ascii="仿宋_GB2312" w:hAnsi="新宋体" w:eastAsia="仿宋_GB2312" w:cs="仿宋_GB2312"/>
                <w:kern w:val="0"/>
                <w:szCs w:val="21"/>
              </w:rPr>
              <w:t>度任务数×该指标分值。</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szCs w:val="21"/>
              </w:rPr>
            </w:pPr>
            <w:r>
              <w:rPr>
                <w:rFonts w:hint="eastAsia"/>
                <w:szCs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4"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结转结余率（4</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通过对部门本年度结转结余总额与支出预算数的比较，反映和评价部门对本年度结转结余资金的实际控制程度。</w:t>
            </w:r>
          </w:p>
          <w:p>
            <w:pPr>
              <w:widowControl/>
              <w:spacing w:line="240" w:lineRule="exact"/>
              <w:jc w:val="left"/>
              <w:rPr>
                <w:szCs w:val="21"/>
              </w:rPr>
            </w:pPr>
            <w:r>
              <w:rPr>
                <w:rFonts w:ascii="仿宋_GB2312" w:hAnsi="新宋体" w:eastAsia="仿宋_GB2312" w:cs="仿宋_GB2312"/>
                <w:kern w:val="0"/>
                <w:szCs w:val="21"/>
              </w:rPr>
              <w:t>结转结余率=（结转结余总额/支出预算数）×100%。</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1.结转结余率等于0的，得满分；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2.结转结余率大于或等于50%的，得0分；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3.结转结余率在0-50%之间的，在0和满分之间计算确定：</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得分=[max（结转结余率）－某部门结转结余率]/[max（结转结余率）－min（结转结余率）]×该指标分值。</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szCs w:val="21"/>
              </w:rPr>
            </w:pPr>
            <w:r>
              <w:rPr>
                <w:rFonts w:hint="eastAsia"/>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10"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公用经费控制率（</w:t>
            </w:r>
            <w:r>
              <w:rPr>
                <w:rFonts w:hint="eastAsia" w:ascii="仿宋_GB2312" w:hAnsi="新宋体" w:eastAsia="仿宋_GB2312" w:cs="仿宋_GB2312"/>
                <w:kern w:val="0"/>
                <w:szCs w:val="21"/>
              </w:rPr>
              <w:t>4分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通过对部门本年度实际支出的公用经费总额与预算安排的公用经费总额的比率，反映和评价部门对机构运转成本的实际控制程度。</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公用经费控制率=（实际支出公用经费总额/预算安排公用经费总额）×100%。</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1.公用经费控制率小于或等于100%的，得满分；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2.公用经费控制率大于或等于105%的，得0分；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3.公用经费控制率在100%-105%之间的，在0和满分之间计算确定：</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得分=［max（公用经费控制率）-某部门公用经费控制率］/［max（公用经费控制率）-min（公用经费控制率）］×该指标分值。</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szCs w:val="21"/>
              </w:rPr>
            </w:pPr>
            <w:r>
              <w:rPr>
                <w:rFonts w:hint="eastAsia"/>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0"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政府采购执行率（</w:t>
            </w:r>
            <w:r>
              <w:rPr>
                <w:rFonts w:hint="eastAsia" w:ascii="仿宋_GB2312" w:hAnsi="新宋体" w:eastAsia="仿宋_GB2312" w:cs="仿宋_GB2312"/>
                <w:kern w:val="0"/>
                <w:szCs w:val="21"/>
              </w:rPr>
              <w:t>4分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通过对部门本年度实际政府采购预算项目个数与政府采购预算项目个数的比较，反映和评价部门政府采购预算执行情况。</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政府采购执行率=（实际政府采购预算项目个数/政府采购预算项目个数）×100%。</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政府采购项目中非预算内安排的项目除外。</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1.政府采购执行率等于100%的，得满分；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2.政府采购执行率小于或等于90%的，0分；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3.政府采购执行率在90%-100%之间的，在0和满分之间计算确定：</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得分=［某部门政府采购执行率-min（政府采购执行率）］/［max（政府采购执行率）-min（政府采购执行率）］×该指标分值。</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szCs w:val="21"/>
              </w:rPr>
            </w:pPr>
            <w:r>
              <w:rPr>
                <w:rFonts w:hint="eastAsia"/>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szCs w:val="21"/>
              </w:rPr>
            </w:pPr>
            <w:r>
              <w:rPr>
                <w:rFonts w:ascii="仿宋_GB2312" w:hAnsi="新宋体" w:eastAsia="仿宋_GB2312" w:cs="仿宋_GB2312"/>
                <w:kern w:val="0"/>
                <w:szCs w:val="21"/>
              </w:rPr>
              <w:t>预算管理</w:t>
            </w:r>
            <w:r>
              <w:rPr>
                <w:rFonts w:hint="eastAsia" w:ascii="仿宋_GB2312" w:hAnsi="新宋体" w:eastAsia="仿宋_GB2312" w:cs="仿宋_GB2312"/>
                <w:kern w:val="0"/>
                <w:szCs w:val="21"/>
              </w:rPr>
              <w:t>情况</w:t>
            </w:r>
          </w:p>
          <w:p>
            <w:pPr>
              <w:widowControl/>
              <w:spacing w:line="240" w:lineRule="exact"/>
              <w:jc w:val="left"/>
              <w:rPr>
                <w:szCs w:val="21"/>
              </w:rPr>
            </w:pPr>
            <w:r>
              <w:rPr>
                <w:rFonts w:ascii="仿宋_GB2312" w:hAnsi="新宋体" w:eastAsia="仿宋_GB2312" w:cs="仿宋_GB2312"/>
                <w:kern w:val="0"/>
                <w:szCs w:val="21"/>
              </w:rPr>
              <w:t>（15）</w:t>
            </w: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资金使用合规性（8</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部门使用预算资金是否符合相关的预算财务管理制度的规定，反映和评价部门预算资金的规范运行情况。</w:t>
            </w:r>
          </w:p>
          <w:p>
            <w:pPr>
              <w:widowControl/>
              <w:spacing w:line="240" w:lineRule="exact"/>
              <w:jc w:val="left"/>
              <w:rPr>
                <w:szCs w:val="21"/>
              </w:rPr>
            </w:pPr>
            <w:r>
              <w:rPr>
                <w:rFonts w:ascii="仿宋_GB2312" w:hAnsi="新宋体" w:eastAsia="仿宋_GB2312" w:cs="仿宋_GB2312"/>
                <w:kern w:val="0"/>
                <w:szCs w:val="21"/>
              </w:rPr>
              <w:t>评价要点：</w:t>
            </w:r>
          </w:p>
          <w:p>
            <w:pPr>
              <w:widowControl/>
              <w:spacing w:line="240" w:lineRule="exact"/>
              <w:jc w:val="left"/>
              <w:rPr>
                <w:szCs w:val="21"/>
              </w:rPr>
            </w:pPr>
            <w:r>
              <w:rPr>
                <w:rFonts w:ascii="仿宋_GB2312" w:hAnsi="新宋体" w:eastAsia="仿宋_GB2312" w:cs="仿宋_GB2312"/>
                <w:kern w:val="0"/>
                <w:szCs w:val="21"/>
              </w:rPr>
              <w:t>1.符合国家财经法规和财务管理制度规定以及有关部门资金管理办法的规定；</w:t>
            </w:r>
          </w:p>
          <w:p>
            <w:pPr>
              <w:widowControl/>
              <w:spacing w:line="240" w:lineRule="exact"/>
              <w:jc w:val="left"/>
              <w:rPr>
                <w:szCs w:val="21"/>
              </w:rPr>
            </w:pPr>
            <w:r>
              <w:rPr>
                <w:rFonts w:ascii="仿宋_GB2312" w:hAnsi="新宋体" w:eastAsia="仿宋_GB2312" w:cs="仿宋_GB2312"/>
                <w:kern w:val="0"/>
                <w:szCs w:val="21"/>
              </w:rPr>
              <w:t>2.资金的拨付有完整的审批过程和手续；</w:t>
            </w:r>
          </w:p>
          <w:p>
            <w:pPr>
              <w:widowControl/>
              <w:spacing w:line="240" w:lineRule="exact"/>
              <w:jc w:val="left"/>
              <w:rPr>
                <w:szCs w:val="21"/>
              </w:rPr>
            </w:pPr>
            <w:r>
              <w:rPr>
                <w:rFonts w:ascii="仿宋_GB2312" w:hAnsi="新宋体" w:eastAsia="仿宋_GB2312" w:cs="仿宋_GB2312"/>
                <w:kern w:val="0"/>
                <w:szCs w:val="21"/>
              </w:rPr>
              <w:t>3.项目的重大开支经过评估论证；</w:t>
            </w:r>
          </w:p>
          <w:p>
            <w:pPr>
              <w:widowControl/>
              <w:spacing w:line="240" w:lineRule="exact"/>
              <w:jc w:val="left"/>
              <w:rPr>
                <w:szCs w:val="21"/>
              </w:rPr>
            </w:pPr>
            <w:r>
              <w:rPr>
                <w:rFonts w:ascii="仿宋_GB2312" w:hAnsi="新宋体" w:eastAsia="仿宋_GB2312" w:cs="仿宋_GB2312"/>
                <w:kern w:val="0"/>
                <w:szCs w:val="21"/>
              </w:rPr>
              <w:t>4.符合部门预算批复的用途；</w:t>
            </w:r>
          </w:p>
          <w:p>
            <w:pPr>
              <w:widowControl/>
              <w:spacing w:line="240" w:lineRule="exact"/>
              <w:jc w:val="left"/>
              <w:rPr>
                <w:szCs w:val="21"/>
              </w:rPr>
            </w:pPr>
            <w:r>
              <w:rPr>
                <w:rFonts w:ascii="仿宋_GB2312" w:hAnsi="新宋体" w:eastAsia="仿宋_GB2312" w:cs="仿宋_GB2312"/>
                <w:kern w:val="0"/>
                <w:szCs w:val="21"/>
              </w:rPr>
              <w:t>5.不存在截留情况；</w:t>
            </w:r>
          </w:p>
          <w:p>
            <w:pPr>
              <w:widowControl/>
              <w:spacing w:line="240" w:lineRule="exact"/>
              <w:jc w:val="left"/>
              <w:rPr>
                <w:szCs w:val="21"/>
              </w:rPr>
            </w:pPr>
            <w:r>
              <w:rPr>
                <w:rFonts w:ascii="仿宋_GB2312" w:hAnsi="新宋体" w:eastAsia="仿宋_GB2312" w:cs="仿宋_GB2312"/>
                <w:kern w:val="0"/>
                <w:szCs w:val="21"/>
              </w:rPr>
              <w:t>6.不存在挤占情况；</w:t>
            </w:r>
          </w:p>
          <w:p>
            <w:pPr>
              <w:widowControl/>
              <w:spacing w:line="240" w:lineRule="exact"/>
              <w:jc w:val="left"/>
              <w:rPr>
                <w:szCs w:val="21"/>
              </w:rPr>
            </w:pPr>
            <w:r>
              <w:rPr>
                <w:rFonts w:ascii="仿宋_GB2312" w:hAnsi="新宋体" w:eastAsia="仿宋_GB2312" w:cs="仿宋_GB2312"/>
                <w:kern w:val="0"/>
                <w:szCs w:val="21"/>
              </w:rPr>
              <w:t>7.不存在挪用情况；</w:t>
            </w:r>
          </w:p>
          <w:p>
            <w:pPr>
              <w:widowControl/>
              <w:spacing w:line="240" w:lineRule="exact"/>
              <w:jc w:val="left"/>
              <w:rPr>
                <w:szCs w:val="21"/>
              </w:rPr>
            </w:pPr>
            <w:r>
              <w:rPr>
                <w:rFonts w:ascii="仿宋_GB2312" w:hAnsi="新宋体" w:eastAsia="仿宋_GB2312" w:cs="仿宋_GB2312"/>
                <w:kern w:val="0"/>
                <w:szCs w:val="21"/>
              </w:rPr>
              <w:t>8.不存在虚列支出情况。</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全部符合（8）；</w:t>
            </w:r>
          </w:p>
          <w:p>
            <w:pPr>
              <w:widowControl/>
              <w:spacing w:line="240" w:lineRule="exact"/>
              <w:jc w:val="left"/>
              <w:rPr>
                <w:szCs w:val="21"/>
              </w:rPr>
            </w:pPr>
            <w:r>
              <w:rPr>
                <w:rFonts w:ascii="仿宋_GB2312" w:hAnsi="新宋体" w:eastAsia="仿宋_GB2312" w:cs="仿宋_GB2312"/>
                <w:kern w:val="0"/>
                <w:szCs w:val="21"/>
              </w:rPr>
              <w:t>符合其中七项（6）；</w:t>
            </w:r>
          </w:p>
          <w:p>
            <w:pPr>
              <w:widowControl/>
              <w:spacing w:line="240" w:lineRule="exact"/>
              <w:jc w:val="left"/>
              <w:rPr>
                <w:szCs w:val="21"/>
              </w:rPr>
            </w:pPr>
            <w:r>
              <w:rPr>
                <w:rFonts w:ascii="仿宋_GB2312" w:hAnsi="新宋体" w:eastAsia="仿宋_GB2312" w:cs="仿宋_GB2312"/>
                <w:kern w:val="0"/>
                <w:szCs w:val="21"/>
              </w:rPr>
              <w:t>符合其中六项（4）；</w:t>
            </w:r>
          </w:p>
          <w:p>
            <w:pPr>
              <w:widowControl/>
              <w:spacing w:line="240" w:lineRule="exact"/>
              <w:jc w:val="left"/>
              <w:rPr>
                <w:szCs w:val="21"/>
              </w:rPr>
            </w:pPr>
            <w:r>
              <w:rPr>
                <w:rFonts w:ascii="仿宋_GB2312" w:hAnsi="新宋体" w:eastAsia="仿宋_GB2312" w:cs="仿宋_GB2312"/>
                <w:kern w:val="0"/>
                <w:szCs w:val="21"/>
              </w:rPr>
              <w:t>符合其中五项（2）；</w:t>
            </w:r>
          </w:p>
          <w:p>
            <w:pPr>
              <w:widowControl/>
              <w:spacing w:line="240" w:lineRule="exact"/>
              <w:jc w:val="left"/>
              <w:rPr>
                <w:szCs w:val="21"/>
              </w:rPr>
            </w:pPr>
            <w:r>
              <w:rPr>
                <w:rFonts w:ascii="仿宋_GB2312" w:hAnsi="新宋体" w:eastAsia="仿宋_GB2312" w:cs="仿宋_GB2312"/>
                <w:kern w:val="0"/>
                <w:szCs w:val="21"/>
              </w:rPr>
              <w:t>符合其中四项及以下（0）。</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szCs w:val="21"/>
              </w:rPr>
            </w:pPr>
            <w:r>
              <w:rPr>
                <w:rFonts w:hint="eastAsia"/>
                <w:szCs w:val="21"/>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预决算信息公开性（3</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部门是否按照政府信息公开有关规定公开相关预决算信息，用以反映和评价部门预决算管理的公开透明情况。</w:t>
            </w:r>
          </w:p>
          <w:p>
            <w:pPr>
              <w:widowControl/>
              <w:spacing w:line="240" w:lineRule="exact"/>
              <w:jc w:val="left"/>
              <w:rPr>
                <w:szCs w:val="21"/>
              </w:rPr>
            </w:pPr>
            <w:r>
              <w:rPr>
                <w:rFonts w:ascii="仿宋_GB2312" w:hAnsi="新宋体" w:eastAsia="仿宋_GB2312" w:cs="仿宋_GB2312"/>
                <w:kern w:val="0"/>
                <w:szCs w:val="21"/>
              </w:rPr>
              <w:t>预决算信息是指与部门预算、执行、决算、监督、绩效等管理相关的信息。</w:t>
            </w:r>
          </w:p>
          <w:p>
            <w:pPr>
              <w:widowControl/>
              <w:spacing w:line="240" w:lineRule="exact"/>
              <w:jc w:val="left"/>
              <w:rPr>
                <w:szCs w:val="21"/>
              </w:rPr>
            </w:pPr>
            <w:r>
              <w:rPr>
                <w:rFonts w:ascii="仿宋_GB2312" w:hAnsi="新宋体" w:eastAsia="仿宋_GB2312" w:cs="仿宋_GB2312"/>
                <w:kern w:val="0"/>
                <w:szCs w:val="21"/>
              </w:rPr>
              <w:t>评价要点：</w:t>
            </w:r>
          </w:p>
          <w:p>
            <w:pPr>
              <w:widowControl/>
              <w:spacing w:line="240" w:lineRule="exact"/>
              <w:jc w:val="left"/>
              <w:rPr>
                <w:szCs w:val="21"/>
              </w:rPr>
            </w:pPr>
            <w:r>
              <w:rPr>
                <w:rFonts w:ascii="仿宋_GB2312" w:hAnsi="新宋体" w:eastAsia="仿宋_GB2312" w:cs="仿宋_GB2312"/>
                <w:kern w:val="0"/>
                <w:szCs w:val="21"/>
              </w:rPr>
              <w:t>1.公开预决算信息；</w:t>
            </w:r>
          </w:p>
          <w:p>
            <w:pPr>
              <w:widowControl/>
              <w:spacing w:line="240" w:lineRule="exact"/>
              <w:jc w:val="left"/>
              <w:rPr>
                <w:szCs w:val="21"/>
              </w:rPr>
            </w:pPr>
            <w:r>
              <w:rPr>
                <w:rFonts w:ascii="仿宋_GB2312" w:hAnsi="新宋体" w:eastAsia="仿宋_GB2312" w:cs="仿宋_GB2312"/>
                <w:kern w:val="0"/>
                <w:szCs w:val="21"/>
              </w:rPr>
              <w:t>2.按规定内容公开预决算信息；</w:t>
            </w:r>
          </w:p>
          <w:p>
            <w:pPr>
              <w:widowControl/>
              <w:spacing w:line="240" w:lineRule="exact"/>
              <w:jc w:val="left"/>
              <w:rPr>
                <w:szCs w:val="21"/>
              </w:rPr>
            </w:pPr>
            <w:r>
              <w:rPr>
                <w:rFonts w:ascii="仿宋_GB2312" w:hAnsi="新宋体" w:eastAsia="仿宋_GB2312" w:cs="仿宋_GB2312"/>
                <w:kern w:val="0"/>
                <w:szCs w:val="21"/>
              </w:rPr>
              <w:t>3.按规定时限公开预决算信息。</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全部符合（3）；</w:t>
            </w:r>
          </w:p>
          <w:p>
            <w:pPr>
              <w:widowControl/>
              <w:spacing w:line="240" w:lineRule="exact"/>
              <w:jc w:val="left"/>
              <w:rPr>
                <w:szCs w:val="21"/>
              </w:rPr>
            </w:pPr>
            <w:r>
              <w:rPr>
                <w:rFonts w:ascii="仿宋_GB2312" w:hAnsi="新宋体" w:eastAsia="仿宋_GB2312" w:cs="仿宋_GB2312"/>
                <w:kern w:val="0"/>
                <w:szCs w:val="21"/>
              </w:rPr>
              <w:t>符合其中两项（2）</w:t>
            </w:r>
          </w:p>
          <w:p>
            <w:pPr>
              <w:widowControl/>
              <w:spacing w:line="240" w:lineRule="exact"/>
              <w:jc w:val="left"/>
              <w:rPr>
                <w:szCs w:val="21"/>
              </w:rPr>
            </w:pPr>
            <w:r>
              <w:rPr>
                <w:rFonts w:ascii="仿宋_GB2312" w:hAnsi="新宋体" w:eastAsia="仿宋_GB2312" w:cs="仿宋_GB2312"/>
                <w:kern w:val="0"/>
                <w:szCs w:val="21"/>
              </w:rPr>
              <w:t>符合其中一项及以下（0）。</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szCs w:val="21"/>
              </w:rPr>
            </w:pPr>
            <w:r>
              <w:rPr>
                <w:rFonts w:hint="eastAsia"/>
                <w:szCs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color w:val="000000"/>
                <w:kern w:val="0"/>
                <w:szCs w:val="21"/>
              </w:rPr>
              <w:t>基础信息完善性</w:t>
            </w:r>
            <w:r>
              <w:rPr>
                <w:rFonts w:ascii="仿宋_GB2312" w:hAnsi="新宋体" w:eastAsia="仿宋_GB2312" w:cs="仿宋_GB2312"/>
                <w:kern w:val="0"/>
                <w:szCs w:val="21"/>
              </w:rPr>
              <w:t>（4</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部门基础信息是否完善，用以反映和评价基础信息对预算管理工作的支撑情况。</w:t>
            </w:r>
          </w:p>
          <w:p>
            <w:pPr>
              <w:widowControl/>
              <w:spacing w:line="240" w:lineRule="exact"/>
              <w:jc w:val="left"/>
              <w:rPr>
                <w:szCs w:val="21"/>
              </w:rPr>
            </w:pPr>
            <w:r>
              <w:rPr>
                <w:rFonts w:ascii="仿宋_GB2312" w:hAnsi="新宋体" w:eastAsia="仿宋_GB2312" w:cs="仿宋_GB2312"/>
                <w:kern w:val="0"/>
                <w:szCs w:val="21"/>
              </w:rPr>
              <w:t>评价要点：</w:t>
            </w:r>
          </w:p>
          <w:p>
            <w:pPr>
              <w:widowControl/>
              <w:spacing w:line="240" w:lineRule="exact"/>
              <w:jc w:val="left"/>
              <w:rPr>
                <w:szCs w:val="21"/>
              </w:rPr>
            </w:pPr>
            <w:r>
              <w:rPr>
                <w:rFonts w:ascii="仿宋_GB2312" w:hAnsi="新宋体" w:eastAsia="仿宋_GB2312" w:cs="仿宋_GB2312"/>
                <w:kern w:val="0"/>
                <w:szCs w:val="21"/>
              </w:rPr>
              <w:t>1.基本财务管理制度健全；</w:t>
            </w:r>
          </w:p>
          <w:p>
            <w:pPr>
              <w:widowControl/>
              <w:spacing w:line="240" w:lineRule="exact"/>
              <w:jc w:val="left"/>
              <w:rPr>
                <w:szCs w:val="21"/>
              </w:rPr>
            </w:pPr>
            <w:r>
              <w:rPr>
                <w:rFonts w:ascii="仿宋_GB2312" w:hAnsi="新宋体" w:eastAsia="仿宋_GB2312" w:cs="仿宋_GB2312"/>
                <w:kern w:val="0"/>
                <w:szCs w:val="21"/>
              </w:rPr>
              <w:t>2.基础数据信息和会计信息资料真实；</w:t>
            </w:r>
          </w:p>
          <w:p>
            <w:pPr>
              <w:widowControl/>
              <w:spacing w:line="240" w:lineRule="exact"/>
              <w:jc w:val="left"/>
              <w:rPr>
                <w:szCs w:val="21"/>
              </w:rPr>
            </w:pPr>
            <w:r>
              <w:rPr>
                <w:rFonts w:ascii="仿宋_GB2312" w:hAnsi="新宋体" w:eastAsia="仿宋_GB2312" w:cs="仿宋_GB2312"/>
                <w:kern w:val="0"/>
                <w:szCs w:val="21"/>
              </w:rPr>
              <w:t>3.基础数据信息和会计信息资料完整；</w:t>
            </w:r>
          </w:p>
          <w:p>
            <w:pPr>
              <w:widowControl/>
              <w:spacing w:line="240" w:lineRule="exact"/>
              <w:jc w:val="left"/>
              <w:rPr>
                <w:szCs w:val="21"/>
              </w:rPr>
            </w:pPr>
            <w:r>
              <w:rPr>
                <w:rFonts w:ascii="仿宋_GB2312" w:hAnsi="新宋体" w:eastAsia="仿宋_GB2312" w:cs="仿宋_GB2312"/>
                <w:kern w:val="0"/>
                <w:szCs w:val="21"/>
              </w:rPr>
              <w:t>4.基础数据信息和会计信息资料准确。</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符合全部四项（4）；</w:t>
            </w:r>
          </w:p>
          <w:p>
            <w:pPr>
              <w:widowControl/>
              <w:spacing w:line="240" w:lineRule="exact"/>
              <w:jc w:val="left"/>
              <w:rPr>
                <w:szCs w:val="21"/>
              </w:rPr>
            </w:pPr>
            <w:r>
              <w:rPr>
                <w:rFonts w:ascii="仿宋_GB2312" w:hAnsi="新宋体" w:eastAsia="仿宋_GB2312" w:cs="仿宋_GB2312"/>
                <w:kern w:val="0"/>
                <w:szCs w:val="21"/>
              </w:rPr>
              <w:t>符合其中三项（2）；</w:t>
            </w:r>
          </w:p>
          <w:p>
            <w:pPr>
              <w:widowControl/>
              <w:spacing w:line="240" w:lineRule="exact"/>
              <w:jc w:val="left"/>
              <w:rPr>
                <w:szCs w:val="21"/>
              </w:rPr>
            </w:pPr>
            <w:r>
              <w:rPr>
                <w:rFonts w:ascii="仿宋_GB2312" w:hAnsi="新宋体" w:eastAsia="仿宋_GB2312" w:cs="仿宋_GB2312"/>
                <w:kern w:val="0"/>
                <w:szCs w:val="21"/>
              </w:rPr>
              <w:t>符合其中两项（1）；</w:t>
            </w:r>
          </w:p>
          <w:p>
            <w:pPr>
              <w:widowControl/>
              <w:spacing w:line="240" w:lineRule="exact"/>
              <w:jc w:val="left"/>
              <w:rPr>
                <w:szCs w:val="21"/>
              </w:rPr>
            </w:pPr>
            <w:r>
              <w:rPr>
                <w:rFonts w:ascii="仿宋_GB2312" w:hAnsi="新宋体" w:eastAsia="仿宋_GB2312" w:cs="仿宋_GB2312"/>
                <w:kern w:val="0"/>
                <w:szCs w:val="21"/>
              </w:rPr>
              <w:t>符合其中一项及以下（0）。</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szCs w:val="21"/>
              </w:rPr>
            </w:pPr>
            <w:r>
              <w:rPr>
                <w:rFonts w:hint="eastAsia"/>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szCs w:val="21"/>
              </w:rPr>
            </w:pPr>
            <w:r>
              <w:rPr>
                <w:rFonts w:ascii="仿宋_GB2312" w:hAnsi="新宋体" w:eastAsia="仿宋_GB2312" w:cs="仿宋_GB2312"/>
                <w:kern w:val="0"/>
                <w:szCs w:val="21"/>
              </w:rPr>
              <w:t>资产管理</w:t>
            </w:r>
            <w:r>
              <w:rPr>
                <w:rFonts w:hint="eastAsia" w:ascii="仿宋_GB2312" w:hAnsi="新宋体" w:eastAsia="仿宋_GB2312" w:cs="仿宋_GB2312"/>
                <w:kern w:val="0"/>
                <w:szCs w:val="21"/>
              </w:rPr>
              <w:t>情况</w:t>
            </w:r>
            <w:r>
              <w:rPr>
                <w:rFonts w:ascii="仿宋_GB2312" w:hAnsi="新宋体" w:eastAsia="仿宋_GB2312" w:cs="仿宋_GB2312"/>
                <w:kern w:val="0"/>
                <w:szCs w:val="21"/>
              </w:rPr>
              <w:t>（</w:t>
            </w:r>
            <w:r>
              <w:rPr>
                <w:rFonts w:hint="eastAsia" w:ascii="仿宋_GB2312" w:hAnsi="新宋体" w:eastAsia="仿宋_GB2312" w:cs="仿宋_GB2312"/>
                <w:kern w:val="0"/>
                <w:szCs w:val="21"/>
              </w:rPr>
              <w:t>5分</w:t>
            </w:r>
            <w:r>
              <w:rPr>
                <w:rFonts w:ascii="仿宋_GB2312" w:hAnsi="新宋体" w:eastAsia="仿宋_GB2312" w:cs="仿宋_GB2312"/>
                <w:kern w:val="0"/>
                <w:szCs w:val="21"/>
              </w:rPr>
              <w:t>）</w:t>
            </w:r>
          </w:p>
        </w:tc>
        <w:tc>
          <w:tcPr>
            <w:tcW w:w="1275" w:type="dxa"/>
            <w:tcBorders>
              <w:top w:val="single" w:color="auto" w:sz="4" w:space="0"/>
              <w:left w:val="single" w:color="000000"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资产管理完整性（</w:t>
            </w:r>
            <w:r>
              <w:rPr>
                <w:rFonts w:hint="eastAsia" w:ascii="仿宋_GB2312" w:hAnsi="新宋体" w:eastAsia="仿宋_GB2312" w:cs="仿宋_GB2312"/>
                <w:kern w:val="0"/>
                <w:szCs w:val="21"/>
              </w:rPr>
              <w:t>2分</w:t>
            </w:r>
            <w:r>
              <w:rPr>
                <w:rFonts w:ascii="仿宋_GB2312" w:hAnsi="新宋体" w:eastAsia="仿宋_GB2312" w:cs="仿宋_GB2312"/>
                <w:kern w:val="0"/>
                <w:szCs w:val="21"/>
              </w:rPr>
              <w:t>）</w:t>
            </w:r>
          </w:p>
        </w:tc>
        <w:tc>
          <w:tcPr>
            <w:tcW w:w="3436" w:type="dxa"/>
            <w:tcBorders>
              <w:top w:val="single" w:color="auto" w:sz="4" w:space="0"/>
              <w:left w:val="single" w:color="auto"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部门的资产是否保存完整、使用合规、收入及时足额上缴，用以反映和评价部门资产运行情况。</w:t>
            </w:r>
          </w:p>
          <w:p>
            <w:pPr>
              <w:widowControl/>
              <w:spacing w:line="240" w:lineRule="exact"/>
              <w:jc w:val="left"/>
              <w:rPr>
                <w:szCs w:val="21"/>
              </w:rPr>
            </w:pPr>
            <w:r>
              <w:rPr>
                <w:rFonts w:ascii="仿宋_GB2312" w:hAnsi="新宋体" w:eastAsia="仿宋_GB2312" w:cs="仿宋_GB2312"/>
                <w:kern w:val="0"/>
                <w:szCs w:val="21"/>
              </w:rPr>
              <w:t>评价要点：</w:t>
            </w:r>
          </w:p>
          <w:p>
            <w:pPr>
              <w:widowControl/>
              <w:spacing w:line="240" w:lineRule="exact"/>
              <w:jc w:val="left"/>
              <w:rPr>
                <w:szCs w:val="21"/>
              </w:rPr>
            </w:pPr>
            <w:r>
              <w:rPr>
                <w:rFonts w:ascii="仿宋_GB2312" w:hAnsi="新宋体" w:eastAsia="仿宋_GB2312" w:cs="仿宋_GB2312"/>
                <w:kern w:val="0"/>
                <w:szCs w:val="21"/>
              </w:rPr>
              <w:t>1.资产保存完整；</w:t>
            </w:r>
          </w:p>
          <w:p>
            <w:pPr>
              <w:widowControl/>
              <w:spacing w:line="240" w:lineRule="exact"/>
              <w:jc w:val="left"/>
              <w:rPr>
                <w:szCs w:val="21"/>
              </w:rPr>
            </w:pPr>
            <w:r>
              <w:rPr>
                <w:rFonts w:ascii="仿宋_GB2312" w:hAnsi="新宋体" w:eastAsia="仿宋_GB2312" w:cs="仿宋_GB2312"/>
                <w:kern w:val="0"/>
                <w:szCs w:val="21"/>
              </w:rPr>
              <w:t>2.资产账务管理是否合规，帐实相符；</w:t>
            </w:r>
          </w:p>
          <w:p>
            <w:pPr>
              <w:widowControl/>
              <w:spacing w:line="240" w:lineRule="exact"/>
              <w:jc w:val="left"/>
              <w:rPr>
                <w:szCs w:val="21"/>
              </w:rPr>
            </w:pPr>
            <w:r>
              <w:rPr>
                <w:rFonts w:ascii="仿宋_GB2312" w:hAnsi="新宋体" w:eastAsia="仿宋_GB2312" w:cs="仿宋_GB2312"/>
                <w:kern w:val="0"/>
                <w:szCs w:val="21"/>
              </w:rPr>
              <w:t>3.资产有偿使用及处置收入及时足额上缴。</w:t>
            </w:r>
          </w:p>
        </w:tc>
        <w:tc>
          <w:tcPr>
            <w:tcW w:w="2373" w:type="dxa"/>
            <w:tcBorders>
              <w:top w:val="single" w:color="auto" w:sz="4" w:space="0"/>
              <w:left w:val="single" w:color="auto"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符合全部三项（3）；</w:t>
            </w:r>
          </w:p>
          <w:p>
            <w:pPr>
              <w:widowControl/>
              <w:spacing w:line="240" w:lineRule="exact"/>
              <w:jc w:val="left"/>
              <w:rPr>
                <w:szCs w:val="21"/>
              </w:rPr>
            </w:pPr>
            <w:r>
              <w:rPr>
                <w:rFonts w:ascii="仿宋_GB2312" w:hAnsi="新宋体" w:eastAsia="仿宋_GB2312" w:cs="仿宋_GB2312"/>
                <w:kern w:val="0"/>
                <w:szCs w:val="21"/>
              </w:rPr>
              <w:t>符合其中两项（2）；</w:t>
            </w:r>
          </w:p>
          <w:p>
            <w:pPr>
              <w:widowControl/>
              <w:spacing w:line="240" w:lineRule="exact"/>
              <w:jc w:val="left"/>
              <w:rPr>
                <w:szCs w:val="21"/>
              </w:rPr>
            </w:pPr>
            <w:r>
              <w:rPr>
                <w:rFonts w:ascii="仿宋_GB2312" w:hAnsi="新宋体" w:eastAsia="仿宋_GB2312" w:cs="仿宋_GB2312"/>
                <w:kern w:val="0"/>
                <w:szCs w:val="21"/>
              </w:rPr>
              <w:t>符合其中一项（1）；</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符合零项（0）。</w:t>
            </w:r>
          </w:p>
        </w:tc>
        <w:tc>
          <w:tcPr>
            <w:tcW w:w="764" w:type="dxa"/>
            <w:tcBorders>
              <w:top w:val="single" w:color="auto" w:sz="4" w:space="0"/>
              <w:left w:val="single" w:color="auto" w:sz="4" w:space="0"/>
              <w:bottom w:val="single" w:color="000000" w:sz="4" w:space="0"/>
              <w:right w:val="single" w:color="000000" w:sz="4" w:space="0"/>
            </w:tcBorders>
            <w:vAlign w:val="center"/>
          </w:tcPr>
          <w:p>
            <w:pPr>
              <w:widowControl/>
              <w:spacing w:line="240" w:lineRule="exact"/>
              <w:jc w:val="left"/>
              <w:rPr>
                <w:szCs w:val="21"/>
              </w:rPr>
            </w:pPr>
            <w:r>
              <w:rPr>
                <w:rFonts w:hint="eastAsia"/>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1275" w:type="dxa"/>
            <w:tcBorders>
              <w:top w:val="single" w:color="auto" w:sz="4" w:space="0"/>
              <w:left w:val="single" w:color="000000"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固定资产利用率（</w:t>
            </w:r>
            <w:r>
              <w:rPr>
                <w:rFonts w:hint="eastAsia" w:ascii="仿宋_GB2312" w:hAnsi="新宋体" w:eastAsia="仿宋_GB2312" w:cs="仿宋_GB2312"/>
                <w:kern w:val="0"/>
                <w:szCs w:val="21"/>
              </w:rPr>
              <w:t>3分</w:t>
            </w:r>
            <w:r>
              <w:rPr>
                <w:rFonts w:ascii="仿宋_GB2312" w:hAnsi="新宋体" w:eastAsia="仿宋_GB2312" w:cs="仿宋_GB2312"/>
                <w:kern w:val="0"/>
                <w:szCs w:val="21"/>
              </w:rPr>
              <w:t>）</w:t>
            </w:r>
          </w:p>
        </w:tc>
        <w:tc>
          <w:tcPr>
            <w:tcW w:w="3436" w:type="dxa"/>
            <w:tcBorders>
              <w:top w:val="single" w:color="auto" w:sz="4" w:space="0"/>
              <w:left w:val="single" w:color="auto"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部门实际在用固定资产总额与所有固定资产总额的比率，用以反映和评价部门固定资产使用效率。</w:t>
            </w:r>
          </w:p>
          <w:p>
            <w:pPr>
              <w:widowControl/>
              <w:spacing w:line="240" w:lineRule="exact"/>
              <w:jc w:val="left"/>
              <w:rPr>
                <w:szCs w:val="21"/>
              </w:rPr>
            </w:pPr>
            <w:r>
              <w:rPr>
                <w:rFonts w:ascii="仿宋_GB2312" w:hAnsi="新宋体" w:eastAsia="仿宋_GB2312" w:cs="仿宋_GB2312"/>
                <w:kern w:val="0"/>
                <w:szCs w:val="21"/>
              </w:rPr>
              <w:t>固定资产利用率=（实际在用固定资产总额/所有固定资产总额）×100%。</w:t>
            </w:r>
          </w:p>
        </w:tc>
        <w:tc>
          <w:tcPr>
            <w:tcW w:w="2373" w:type="dxa"/>
            <w:tcBorders>
              <w:top w:val="single" w:color="auto" w:sz="4" w:space="0"/>
              <w:left w:val="single" w:color="auto" w:sz="4" w:space="0"/>
              <w:bottom w:val="single" w:color="000000"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1.固定资产利用率大于或等于95%的，得满分；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2.固定资产利用率小于或等于85%的，得0分；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3.固定资产利用率在85%-95%之间的，在0和满分之间计算确定：</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得分=［某部门固定资产利用率-min（固定资产利用率）］/［max（固定资产利用率）-min（固定资产利用率）］×该指标分值。</w:t>
            </w:r>
          </w:p>
        </w:tc>
        <w:tc>
          <w:tcPr>
            <w:tcW w:w="764" w:type="dxa"/>
            <w:tcBorders>
              <w:top w:val="single" w:color="auto" w:sz="4" w:space="0"/>
              <w:left w:val="single" w:color="auto" w:sz="4" w:space="0"/>
              <w:bottom w:val="single" w:color="000000" w:sz="4" w:space="0"/>
              <w:right w:val="single" w:color="000000" w:sz="4" w:space="0"/>
            </w:tcBorders>
            <w:vAlign w:val="center"/>
          </w:tcPr>
          <w:p>
            <w:pPr>
              <w:widowControl/>
              <w:spacing w:line="240" w:lineRule="exact"/>
              <w:jc w:val="left"/>
              <w:rPr>
                <w:szCs w:val="21"/>
              </w:rPr>
            </w:pPr>
            <w:r>
              <w:rPr>
                <w:rFonts w:hint="eastAsia"/>
                <w:szCs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szCs w:val="21"/>
              </w:rPr>
            </w:pPr>
            <w:r>
              <w:rPr>
                <w:rFonts w:ascii="仿宋_GB2312" w:hAnsi="新宋体" w:eastAsia="仿宋_GB2312" w:cs="仿宋_GB2312"/>
                <w:kern w:val="0"/>
                <w:szCs w:val="21"/>
              </w:rPr>
              <w:t>产出(2</w:t>
            </w:r>
            <w:r>
              <w:rPr>
                <w:rFonts w:hint="eastAsia" w:ascii="仿宋_GB2312" w:hAnsi="新宋体" w:eastAsia="仿宋_GB2312" w:cs="仿宋_GB2312"/>
                <w:kern w:val="0"/>
                <w:szCs w:val="21"/>
              </w:rPr>
              <w:t>5分</w:t>
            </w:r>
            <w:r>
              <w:rPr>
                <w:rFonts w:ascii="仿宋_GB2312" w:hAnsi="新宋体" w:eastAsia="仿宋_GB2312" w:cs="仿宋_GB2312"/>
                <w:kern w:val="0"/>
                <w:szCs w:val="21"/>
              </w:rPr>
              <w:t>)</w:t>
            </w: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szCs w:val="21"/>
              </w:rPr>
            </w:pPr>
            <w:r>
              <w:rPr>
                <w:rFonts w:ascii="仿宋_GB2312" w:hAnsi="新宋体" w:eastAsia="仿宋_GB2312" w:cs="仿宋_GB2312"/>
                <w:kern w:val="0"/>
                <w:szCs w:val="21"/>
              </w:rPr>
              <w:t>职责履行</w:t>
            </w:r>
            <w:r>
              <w:rPr>
                <w:rFonts w:hint="eastAsia" w:ascii="仿宋_GB2312" w:hAnsi="新宋体" w:eastAsia="仿宋_GB2312" w:cs="仿宋_GB2312"/>
                <w:kern w:val="0"/>
                <w:szCs w:val="21"/>
              </w:rPr>
              <w:t>情况</w:t>
            </w:r>
            <w:r>
              <w:rPr>
                <w:rFonts w:ascii="仿宋_GB2312" w:hAnsi="新宋体" w:eastAsia="仿宋_GB2312" w:cs="仿宋_GB2312"/>
                <w:kern w:val="0"/>
                <w:szCs w:val="21"/>
              </w:rPr>
              <w:t>（2</w:t>
            </w:r>
            <w:r>
              <w:rPr>
                <w:rFonts w:hint="eastAsia" w:ascii="仿宋_GB2312" w:hAnsi="新宋体" w:eastAsia="仿宋_GB2312" w:cs="仿宋_GB2312"/>
                <w:kern w:val="0"/>
                <w:szCs w:val="21"/>
              </w:rPr>
              <w:t>5</w:t>
            </w:r>
            <w:r>
              <w:rPr>
                <w:rFonts w:ascii="仿宋_GB2312" w:hAnsi="新宋体" w:eastAsia="仿宋_GB2312" w:cs="仿宋_GB2312"/>
                <w:kern w:val="0"/>
                <w:szCs w:val="21"/>
              </w:rPr>
              <w:t>）</w:t>
            </w:r>
          </w:p>
        </w:tc>
        <w:tc>
          <w:tcPr>
            <w:tcW w:w="1275" w:type="dxa"/>
            <w:tcBorders>
              <w:top w:val="single" w:color="000000" w:sz="4" w:space="0"/>
              <w:left w:val="single" w:color="000000" w:sz="4" w:space="0"/>
              <w:bottom w:val="single" w:color="auto" w:sz="4" w:space="0"/>
              <w:right w:val="single" w:color="auto" w:sz="4" w:space="0"/>
            </w:tcBorders>
            <w:vAlign w:val="center"/>
          </w:tcPr>
          <w:p>
            <w:pPr>
              <w:widowControl/>
              <w:spacing w:line="240" w:lineRule="exact"/>
              <w:jc w:val="left"/>
              <w:rPr>
                <w:szCs w:val="21"/>
              </w:rPr>
            </w:pPr>
            <w:r>
              <w:rPr>
                <w:rFonts w:hint="eastAsia" w:ascii="仿宋_GB2312" w:hAnsi="新宋体" w:eastAsia="仿宋_GB2312" w:cs="仿宋_GB2312"/>
                <w:kern w:val="0"/>
                <w:szCs w:val="21"/>
              </w:rPr>
              <w:t>履职完成情况</w:t>
            </w:r>
            <w:r>
              <w:rPr>
                <w:rFonts w:ascii="仿宋_GB2312" w:hAnsi="新宋体" w:eastAsia="仿宋_GB2312" w:cs="仿宋_GB2312"/>
                <w:kern w:val="0"/>
                <w:szCs w:val="21"/>
              </w:rPr>
              <w:t>（</w:t>
            </w:r>
            <w:r>
              <w:rPr>
                <w:rFonts w:hint="eastAsia" w:ascii="仿宋_GB2312" w:hAnsi="新宋体" w:eastAsia="仿宋_GB2312" w:cs="仿宋_GB2312"/>
                <w:kern w:val="0"/>
                <w:szCs w:val="21"/>
              </w:rPr>
              <w:t>10分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jc w:val="left"/>
              <w:textAlignment w:val="center"/>
              <w:rPr>
                <w:szCs w:val="21"/>
              </w:rPr>
            </w:pPr>
            <w:r>
              <w:rPr>
                <w:rFonts w:hint="eastAsia" w:ascii="仿宋" w:hAnsi="仿宋" w:eastAsia="仿宋" w:cs="仿宋"/>
                <w:color w:val="000000"/>
                <w:kern w:val="0"/>
                <w:szCs w:val="21"/>
              </w:rPr>
              <w:t>根据年度主要任务分解表的的具体任务，逐项评价任务量化指标完成情况、实施效果和责任制建立情况。用以反映和考核部门（单位）履职工作任务目标的完成情况。评价要点：</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 xml:space="preserve">1.每项任务是否已制定了明确、具体、可量化、可衡量的绩效指标；           </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2.每项任务绩效指标的完成情况，是全部完成、基本完成、未完成，还是未实施；</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3.每项任务实施效果情况，是优秀、良好、一般，还是无效果；</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4.每项任务是否建立了目标责任制，是否落实到具体部门和人员负责。</w:t>
            </w:r>
          </w:p>
        </w:tc>
        <w:tc>
          <w:tcPr>
            <w:tcW w:w="2373"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jc w:val="left"/>
              <w:textAlignment w:val="center"/>
              <w:rPr>
                <w:szCs w:val="21"/>
              </w:rPr>
            </w:pPr>
            <w:r>
              <w:rPr>
                <w:rFonts w:hint="eastAsia" w:ascii="仿宋" w:hAnsi="仿宋" w:eastAsia="仿宋" w:cs="仿宋"/>
                <w:color w:val="000000"/>
                <w:kern w:val="0"/>
                <w:szCs w:val="21"/>
              </w:rPr>
              <w:t>根据不同部门履职的内容和特点，具体测算部门履职工作任务目标的完成情况。</w:t>
            </w:r>
          </w:p>
        </w:tc>
        <w:tc>
          <w:tcPr>
            <w:tcW w:w="764" w:type="dxa"/>
            <w:tcBorders>
              <w:top w:val="single" w:color="000000" w:sz="4" w:space="0"/>
              <w:left w:val="single" w:color="auto" w:sz="4" w:space="0"/>
              <w:bottom w:val="single" w:color="auto" w:sz="4" w:space="0"/>
              <w:right w:val="single" w:color="000000" w:sz="4" w:space="0"/>
            </w:tcBorders>
            <w:vAlign w:val="center"/>
          </w:tcPr>
          <w:p>
            <w:pPr>
              <w:widowControl/>
              <w:spacing w:line="240" w:lineRule="exact"/>
              <w:jc w:val="left"/>
              <w:rPr>
                <w:szCs w:val="21"/>
              </w:rPr>
            </w:pPr>
            <w:r>
              <w:rPr>
                <w:rFonts w:hint="eastAsia"/>
                <w:szCs w:val="21"/>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90"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1275" w:type="dxa"/>
            <w:tcBorders>
              <w:top w:val="single" w:color="000000" w:sz="4" w:space="0"/>
              <w:left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项目</w:t>
            </w:r>
            <w:r>
              <w:rPr>
                <w:rFonts w:hint="eastAsia" w:ascii="仿宋_GB2312" w:hAnsi="新宋体" w:eastAsia="仿宋_GB2312" w:cs="仿宋_GB2312"/>
                <w:kern w:val="0"/>
                <w:szCs w:val="21"/>
              </w:rPr>
              <w:t>完成</w:t>
            </w:r>
            <w:r>
              <w:rPr>
                <w:rFonts w:ascii="仿宋_GB2312" w:hAnsi="新宋体" w:eastAsia="仿宋_GB2312" w:cs="仿宋_GB2312"/>
                <w:kern w:val="0"/>
                <w:szCs w:val="21"/>
              </w:rPr>
              <w:t>质量达标率（</w:t>
            </w:r>
            <w:r>
              <w:rPr>
                <w:rFonts w:hint="eastAsia" w:ascii="仿宋_GB2312" w:hAnsi="新宋体" w:eastAsia="仿宋_GB2312" w:cs="仿宋_GB2312"/>
                <w:kern w:val="0"/>
                <w:szCs w:val="21"/>
              </w:rPr>
              <w:t>15</w:t>
            </w:r>
            <w:r>
              <w:rPr>
                <w:rFonts w:ascii="仿宋_GB2312" w:hAnsi="新宋体" w:eastAsia="仿宋_GB2312" w:cs="仿宋_GB2312"/>
                <w:kern w:val="0"/>
                <w:szCs w:val="21"/>
              </w:rPr>
              <w:t>）</w:t>
            </w:r>
          </w:p>
        </w:tc>
        <w:tc>
          <w:tcPr>
            <w:tcW w:w="3436" w:type="dxa"/>
            <w:tcBorders>
              <w:top w:val="single" w:color="000000" w:sz="4" w:space="0"/>
              <w:left w:val="single" w:color="auto"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部门已完成项目中质量达标项目个数占已完成项目个数的比率,用以反映和评价部门履职质量目标的实现程度。</w:t>
            </w:r>
          </w:p>
          <w:p>
            <w:pPr>
              <w:widowControl/>
              <w:spacing w:line="240" w:lineRule="exact"/>
              <w:jc w:val="left"/>
              <w:rPr>
                <w:szCs w:val="21"/>
              </w:rPr>
            </w:pPr>
            <w:r>
              <w:rPr>
                <w:rFonts w:ascii="仿宋_GB2312" w:hAnsi="新宋体" w:eastAsia="仿宋_GB2312" w:cs="仿宋_GB2312"/>
                <w:kern w:val="0"/>
                <w:szCs w:val="21"/>
              </w:rPr>
              <w:t>项目质量达标率=（已完成项目中质量达标项目个数/已完成项目个数）×100%。</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项目质量达标是指项目决算验收合格。</w:t>
            </w:r>
          </w:p>
        </w:tc>
        <w:tc>
          <w:tcPr>
            <w:tcW w:w="2373" w:type="dxa"/>
            <w:tcBorders>
              <w:top w:val="single" w:color="000000" w:sz="4" w:space="0"/>
              <w:left w:val="single" w:color="auto"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1.项目质量达标率等于100%的，得满分；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2.项目质量达标率小于或等于99%的，得0分；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 xml:space="preserve">3.项目质量达标率在99%-100%之间的，在0和满分之间计算确定： </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得分=［某部门项目质量达标率-min（项目质量达标率）］/［max（项目质量达标率）-min（项目质量达标率）］×该指标分值。</w:t>
            </w:r>
          </w:p>
        </w:tc>
        <w:tc>
          <w:tcPr>
            <w:tcW w:w="764" w:type="dxa"/>
            <w:tcBorders>
              <w:top w:val="single" w:color="000000" w:sz="4" w:space="0"/>
              <w:left w:val="single" w:color="auto" w:sz="4" w:space="0"/>
              <w:bottom w:val="single" w:color="auto" w:sz="4" w:space="0"/>
              <w:right w:val="single" w:color="000000" w:sz="4" w:space="0"/>
            </w:tcBorders>
            <w:vAlign w:val="center"/>
          </w:tcPr>
          <w:p>
            <w:pPr>
              <w:widowControl/>
              <w:spacing w:line="240" w:lineRule="exact"/>
              <w:jc w:val="left"/>
              <w:rPr>
                <w:szCs w:val="21"/>
              </w:rPr>
            </w:pPr>
            <w:r>
              <w:rPr>
                <w:rFonts w:hint="eastAsia"/>
                <w:szCs w:val="21"/>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szCs w:val="21"/>
              </w:rPr>
            </w:pPr>
            <w:r>
              <w:rPr>
                <w:rFonts w:ascii="仿宋_GB2312" w:hAnsi="新宋体" w:eastAsia="仿宋_GB2312" w:cs="仿宋_GB2312"/>
                <w:kern w:val="0"/>
                <w:szCs w:val="21"/>
              </w:rPr>
              <w:t>效果（</w:t>
            </w:r>
            <w:r>
              <w:rPr>
                <w:rFonts w:hint="eastAsia" w:ascii="仿宋_GB2312" w:hAnsi="新宋体" w:eastAsia="仿宋_GB2312" w:cs="仿宋_GB2312"/>
                <w:kern w:val="0"/>
                <w:szCs w:val="21"/>
              </w:rPr>
              <w:t>2</w:t>
            </w:r>
            <w:r>
              <w:rPr>
                <w:rFonts w:ascii="仿宋_GB2312" w:hAnsi="新宋体" w:eastAsia="仿宋_GB2312" w:cs="仿宋_GB2312"/>
                <w:kern w:val="0"/>
                <w:szCs w:val="21"/>
              </w:rPr>
              <w:t>0</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743" w:type="dxa"/>
            <w:vMerge w:val="restart"/>
            <w:tcBorders>
              <w:top w:val="single" w:color="auto" w:sz="4" w:space="0"/>
              <w:left w:val="single" w:color="000000" w:sz="4" w:space="0"/>
              <w:right w:val="single" w:color="000000" w:sz="4" w:space="0"/>
            </w:tcBorders>
            <w:vAlign w:val="center"/>
          </w:tcPr>
          <w:p>
            <w:pPr>
              <w:widowControl/>
              <w:spacing w:line="240" w:lineRule="exact"/>
              <w:jc w:val="left"/>
              <w:rPr>
                <w:rFonts w:ascii="仿宋_GB2312" w:hAnsi="新宋体" w:eastAsia="仿宋_GB2312" w:cs="仿宋_GB2312"/>
                <w:kern w:val="0"/>
                <w:szCs w:val="21"/>
              </w:rPr>
            </w:pPr>
          </w:p>
          <w:p>
            <w:pPr>
              <w:widowControl/>
              <w:spacing w:line="240" w:lineRule="exact"/>
              <w:jc w:val="left"/>
              <w:rPr>
                <w:rFonts w:ascii="仿宋_GB2312" w:hAnsi="新宋体" w:eastAsia="仿宋_GB2312" w:cs="仿宋_GB2312"/>
                <w:kern w:val="0"/>
                <w:szCs w:val="21"/>
              </w:rPr>
            </w:pPr>
            <w:r>
              <w:rPr>
                <w:rFonts w:hint="eastAsia" w:ascii="仿宋_GB2312" w:hAnsi="新宋体" w:eastAsia="仿宋_GB2312" w:cs="仿宋_GB2312"/>
                <w:kern w:val="0"/>
                <w:szCs w:val="21"/>
              </w:rPr>
              <w:t>履职效益情况</w:t>
            </w:r>
          </w:p>
          <w:p>
            <w:pPr>
              <w:widowControl/>
              <w:spacing w:line="240" w:lineRule="exact"/>
              <w:jc w:val="left"/>
              <w:rPr>
                <w:rFonts w:ascii="仿宋_GB2312" w:hAnsi="新宋体" w:eastAsia="仿宋_GB2312" w:cs="仿宋_GB2312"/>
                <w:kern w:val="0"/>
                <w:szCs w:val="21"/>
              </w:rPr>
            </w:pPr>
            <w:r>
              <w:rPr>
                <w:rFonts w:ascii="仿宋_GB2312" w:hAnsi="新宋体" w:eastAsia="仿宋_GB2312" w:cs="仿宋_GB2312"/>
                <w:kern w:val="0"/>
                <w:szCs w:val="21"/>
              </w:rPr>
              <w:t>（</w:t>
            </w:r>
            <w:r>
              <w:rPr>
                <w:rFonts w:hint="eastAsia" w:ascii="仿宋_GB2312" w:hAnsi="新宋体" w:eastAsia="仿宋_GB2312" w:cs="仿宋_GB2312"/>
                <w:kern w:val="0"/>
                <w:szCs w:val="21"/>
              </w:rPr>
              <w:t>2</w:t>
            </w:r>
            <w:r>
              <w:rPr>
                <w:rFonts w:ascii="仿宋_GB2312" w:hAnsi="新宋体" w:eastAsia="仿宋_GB2312" w:cs="仿宋_GB2312"/>
                <w:kern w:val="0"/>
                <w:szCs w:val="21"/>
              </w:rPr>
              <w:t>0</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szCs w:val="21"/>
              </w:rPr>
            </w:pPr>
            <w:r>
              <w:rPr>
                <w:rFonts w:hint="eastAsia" w:ascii="仿宋_GB2312" w:hAnsi="新宋体" w:eastAsia="仿宋_GB2312" w:cs="仿宋_GB2312"/>
                <w:color w:val="000000"/>
                <w:kern w:val="0"/>
                <w:szCs w:val="21"/>
              </w:rPr>
              <w:t>经济效益</w:t>
            </w:r>
            <w:r>
              <w:rPr>
                <w:rFonts w:ascii="仿宋_GB2312" w:hAnsi="新宋体" w:eastAsia="仿宋_GB2312" w:cs="仿宋_GB2312"/>
                <w:kern w:val="0"/>
                <w:szCs w:val="21"/>
              </w:rPr>
              <w:t>（5</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rPr>
              <w:t>部门及所属二级单位通过履行职责和预算安排支出项目的实施，对我市带来的经济影响。</w:t>
            </w:r>
          </w:p>
          <w:p>
            <w:pPr>
              <w:widowControl/>
              <w:spacing w:line="240" w:lineRule="exact"/>
              <w:jc w:val="left"/>
              <w:textAlignment w:val="center"/>
              <w:rPr>
                <w:rFonts w:ascii="仿宋" w:hAnsi="仿宋" w:eastAsia="仿宋" w:cs="仿宋"/>
                <w:szCs w:val="21"/>
              </w:rPr>
            </w:pPr>
            <w:r>
              <w:rPr>
                <w:rFonts w:hint="eastAsia" w:ascii="仿宋" w:hAnsi="仿宋" w:eastAsia="仿宋" w:cs="仿宋"/>
                <w:color w:val="000000"/>
                <w:kern w:val="0"/>
                <w:szCs w:val="21"/>
              </w:rPr>
              <w:t>评价要点：</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 xml:space="preserve">1.通过部门所属企事业单位改革，促进了企事业单位效益增长情况；          </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2.通过预算支出项目的实施，促进了行业生产能力增长，从而带动行业经济效益增长；</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3.通过预算支出项目的实施，有效提高劳动效率，节约成本费用；</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4.通过预算支出项目的实施，降低了损耗，从而提高了生产效益；</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5.通过预算支出项目的实施，完善了突发情况的监测预警，保障了生产安全，降低了生产损失。</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textAlignment w:val="center"/>
              <w:rPr>
                <w:rFonts w:ascii="仿宋" w:hAnsi="仿宋" w:eastAsia="仿宋" w:cs="仿宋"/>
                <w:szCs w:val="21"/>
              </w:rPr>
            </w:pPr>
            <w:r>
              <w:rPr>
                <w:rFonts w:hint="eastAsia" w:ascii="仿宋" w:hAnsi="仿宋" w:eastAsia="仿宋" w:cs="仿宋"/>
                <w:color w:val="000000"/>
                <w:kern w:val="0"/>
                <w:szCs w:val="21"/>
              </w:rPr>
              <w:t>根据不同部门履职的内容和特点，具体测算部门履职产生的经济效益。</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szCs w:val="21"/>
              </w:rPr>
            </w:pPr>
            <w:r>
              <w:rPr>
                <w:rFonts w:hint="eastAsia"/>
                <w:szCs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left w:val="single" w:color="000000" w:sz="4" w:space="0"/>
              <w:right w:val="single" w:color="000000" w:sz="4" w:space="0"/>
            </w:tcBorders>
            <w:vAlign w:val="center"/>
          </w:tcPr>
          <w:p>
            <w:pPr>
              <w:widowControl/>
              <w:spacing w:line="240" w:lineRule="exact"/>
              <w:jc w:val="left"/>
              <w:rPr>
                <w:rFonts w:ascii="仿宋_GB2312" w:hAnsi="新宋体" w:eastAsia="仿宋_GB2312" w:cs="仿宋_GB2312"/>
                <w:kern w:val="0"/>
                <w:szCs w:val="21"/>
              </w:rPr>
            </w:pPr>
          </w:p>
        </w:tc>
        <w:tc>
          <w:tcPr>
            <w:tcW w:w="743" w:type="dxa"/>
            <w:vMerge w:val="continue"/>
            <w:tcBorders>
              <w:left w:val="single" w:color="000000" w:sz="4" w:space="0"/>
              <w:right w:val="single" w:color="000000" w:sz="4" w:space="0"/>
            </w:tcBorders>
            <w:vAlign w:val="center"/>
          </w:tcPr>
          <w:p>
            <w:pPr>
              <w:widowControl/>
              <w:spacing w:line="240" w:lineRule="exact"/>
              <w:jc w:val="left"/>
              <w:rPr>
                <w:rFonts w:ascii="仿宋_GB2312" w:hAnsi="新宋体" w:eastAsia="仿宋_GB2312" w:cs="仿宋_GB2312"/>
                <w:kern w:val="0"/>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rPr>
                <w:rFonts w:ascii="仿宋_GB2312" w:hAnsi="新宋体" w:eastAsia="仿宋_GB2312" w:cs="仿宋_GB2312"/>
                <w:color w:val="000000"/>
                <w:kern w:val="0"/>
                <w:szCs w:val="21"/>
              </w:rPr>
            </w:pPr>
            <w:r>
              <w:rPr>
                <w:rFonts w:hint="eastAsia" w:ascii="仿宋_GB2312" w:hAnsi="新宋体" w:eastAsia="仿宋_GB2312" w:cs="仿宋_GB2312"/>
                <w:color w:val="000000"/>
                <w:kern w:val="0"/>
                <w:szCs w:val="21"/>
              </w:rPr>
              <w:t>社会效益（5分）</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textAlignment w:val="center"/>
              <w:rPr>
                <w:rFonts w:ascii="仿宋" w:hAnsi="仿宋" w:eastAsia="仿宋" w:cs="仿宋"/>
                <w:color w:val="000000"/>
                <w:kern w:val="0"/>
                <w:szCs w:val="21"/>
              </w:rPr>
            </w:pPr>
            <w:r>
              <w:rPr>
                <w:rFonts w:hint="eastAsia" w:ascii="仿宋" w:hAnsi="仿宋" w:eastAsia="仿宋" w:cs="仿宋"/>
                <w:color w:val="000000"/>
                <w:kern w:val="0"/>
                <w:szCs w:val="21"/>
              </w:rPr>
              <w:t>部门及所属二级单位履行职责对社会发展所带来的直接或间接影响。</w:t>
            </w:r>
          </w:p>
          <w:p>
            <w:pPr>
              <w:widowControl/>
              <w:spacing w:line="240" w:lineRule="exact"/>
              <w:textAlignment w:val="center"/>
              <w:rPr>
                <w:rFonts w:ascii="仿宋" w:hAnsi="仿宋" w:eastAsia="仿宋" w:cs="仿宋"/>
                <w:color w:val="000000"/>
                <w:kern w:val="0"/>
                <w:szCs w:val="21"/>
              </w:rPr>
            </w:pPr>
            <w:r>
              <w:rPr>
                <w:rFonts w:hint="eastAsia" w:ascii="仿宋" w:hAnsi="仿宋" w:eastAsia="仿宋" w:cs="仿宋"/>
                <w:color w:val="000000"/>
                <w:kern w:val="0"/>
                <w:szCs w:val="21"/>
              </w:rPr>
              <w:t>评价要点：</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 xml:space="preserve">1.通过部门所属企事业单位的改革，促进了企事业单位可持续发展，带动就业增长情况；          </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2.通过预算支出项目的实施，是否明显促进了行业精神文明建设；</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3.通过部门履职是否明显提高城乡居民生活水平，满足了人们日益增长的物质与文化生活需求；</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4.通过预算项目的实施，是否提高了劳动生产率，降低了劳动强度，促进了劳动人民的身心健康；</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5.通过部门履职行业形象是否得到了大大提升了，增强了部门影响力。</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textAlignment w:val="center"/>
              <w:rPr>
                <w:rFonts w:ascii="仿宋" w:hAnsi="仿宋" w:eastAsia="仿宋" w:cs="仿宋"/>
                <w:szCs w:val="21"/>
              </w:rPr>
            </w:pPr>
            <w:r>
              <w:rPr>
                <w:rFonts w:hint="eastAsia" w:ascii="仿宋" w:hAnsi="仿宋" w:eastAsia="仿宋" w:cs="仿宋"/>
                <w:color w:val="000000"/>
                <w:kern w:val="0"/>
                <w:szCs w:val="21"/>
              </w:rPr>
              <w:t>根据不同部门履职的内容和特点，具体测算部门履职产生的社会效益。</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szCs w:val="21"/>
              </w:rPr>
            </w:pPr>
            <w:r>
              <w:rPr>
                <w:rFonts w:hint="eastAsia"/>
                <w:szCs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left w:val="single" w:color="000000" w:sz="4" w:space="0"/>
              <w:right w:val="single" w:color="000000" w:sz="4" w:space="0"/>
            </w:tcBorders>
            <w:vAlign w:val="center"/>
          </w:tcPr>
          <w:p>
            <w:pPr>
              <w:widowControl/>
              <w:spacing w:line="240" w:lineRule="exact"/>
              <w:jc w:val="left"/>
              <w:rPr>
                <w:rFonts w:ascii="仿宋_GB2312" w:hAnsi="新宋体" w:eastAsia="仿宋_GB2312" w:cs="仿宋_GB2312"/>
                <w:kern w:val="0"/>
                <w:szCs w:val="21"/>
              </w:rPr>
            </w:pPr>
          </w:p>
        </w:tc>
        <w:tc>
          <w:tcPr>
            <w:tcW w:w="743" w:type="dxa"/>
            <w:vMerge w:val="continue"/>
            <w:tcBorders>
              <w:left w:val="single" w:color="000000" w:sz="4" w:space="0"/>
              <w:right w:val="single" w:color="000000" w:sz="4" w:space="0"/>
            </w:tcBorders>
            <w:vAlign w:val="center"/>
          </w:tcPr>
          <w:p>
            <w:pPr>
              <w:widowControl/>
              <w:spacing w:line="240" w:lineRule="exact"/>
              <w:jc w:val="left"/>
              <w:rPr>
                <w:rFonts w:ascii="仿宋_GB2312" w:hAnsi="新宋体" w:eastAsia="仿宋_GB2312" w:cs="仿宋_GB2312"/>
                <w:kern w:val="0"/>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rFonts w:ascii="仿宋_GB2312" w:hAnsi="新宋体" w:eastAsia="仿宋_GB2312" w:cs="仿宋_GB2312"/>
                <w:color w:val="000000"/>
                <w:kern w:val="0"/>
                <w:szCs w:val="21"/>
              </w:rPr>
            </w:pPr>
            <w:r>
              <w:rPr>
                <w:rFonts w:hint="eastAsia" w:ascii="仿宋_GB2312" w:hAnsi="新宋体" w:eastAsia="仿宋_GB2312" w:cs="仿宋_GB2312"/>
                <w:color w:val="000000"/>
                <w:kern w:val="0"/>
                <w:szCs w:val="21"/>
              </w:rPr>
              <w:t>生态效益（5分）</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rPr>
              <w:t>部门及所属二级单位履行职责对生态环境所带来的直接或间接影响。</w:t>
            </w:r>
          </w:p>
          <w:p>
            <w:pPr>
              <w:widowControl/>
              <w:spacing w:line="240" w:lineRule="exact"/>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rPr>
              <w:t>评价要点：</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1.通过预算支出项目的实施，绿色、节能环保新技术的应用和推广，明显带动各环节的节能减排，也具有一定的环境效益；</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2.通过履职有效地控制虚假、伪劣、霉变等劣质产品进入市场，影响了人民生活质量，净化地市场环境；</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3.通过预算支出项目的实施，是否达到减少污染物排放；</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4.通过预算支出项目的实施，周围环境得到了整治，面貌得到了改善。</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textAlignment w:val="center"/>
              <w:rPr>
                <w:szCs w:val="21"/>
              </w:rPr>
            </w:pPr>
            <w:r>
              <w:rPr>
                <w:rFonts w:hint="eastAsia" w:ascii="仿宋" w:hAnsi="仿宋" w:eastAsia="仿宋" w:cs="仿宋"/>
                <w:color w:val="000000"/>
                <w:kern w:val="0"/>
                <w:szCs w:val="21"/>
              </w:rPr>
              <w:t>根据不同部门履职的内容和特点，具体测算部门履职产生的生态效益。</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szCs w:val="21"/>
              </w:rPr>
            </w:pPr>
            <w:r>
              <w:rPr>
                <w:rFonts w:hint="eastAsia"/>
                <w:szCs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continue"/>
            <w:tcBorders>
              <w:left w:val="single" w:color="000000" w:sz="4" w:space="0"/>
              <w:bottom w:val="single" w:color="auto" w:sz="4" w:space="0"/>
              <w:right w:val="single" w:color="000000" w:sz="4" w:space="0"/>
            </w:tcBorders>
            <w:vAlign w:val="center"/>
          </w:tcPr>
          <w:p>
            <w:pPr>
              <w:widowControl/>
              <w:spacing w:line="240" w:lineRule="exact"/>
              <w:jc w:val="left"/>
              <w:rPr>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szCs w:val="21"/>
              </w:rPr>
            </w:pPr>
            <w:r>
              <w:rPr>
                <w:rFonts w:hint="eastAsia" w:ascii="仿宋_GB2312" w:hAnsi="新宋体" w:eastAsia="仿宋_GB2312" w:cs="仿宋_GB2312"/>
                <w:kern w:val="0"/>
                <w:szCs w:val="21"/>
              </w:rPr>
              <w:t>服务对象</w:t>
            </w:r>
            <w:r>
              <w:rPr>
                <w:rFonts w:ascii="仿宋_GB2312" w:hAnsi="新宋体" w:eastAsia="仿宋_GB2312" w:cs="仿宋_GB2312"/>
                <w:kern w:val="0"/>
                <w:szCs w:val="21"/>
              </w:rPr>
              <w:t>满意度（5）</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hint="eastAsia" w:ascii="仿宋_GB2312" w:hAnsi="新宋体" w:eastAsia="仿宋_GB2312" w:cs="仿宋_GB2312"/>
                <w:kern w:val="0"/>
                <w:szCs w:val="21"/>
              </w:rPr>
              <w:t>通过对部门（单位）的服务对象对部门履职效果的满意程度调查，反映和考核社会公众或服务对象对部门履职的满意度。</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rPr>
                <w:rFonts w:ascii="仿宋" w:hAnsi="仿宋" w:eastAsia="仿宋" w:cs="宋体"/>
                <w:kern w:val="0"/>
                <w:szCs w:val="21"/>
              </w:rPr>
            </w:pPr>
            <w:r>
              <w:rPr>
                <w:rFonts w:ascii="仿宋" w:hAnsi="仿宋" w:eastAsia="仿宋" w:cs="Arial"/>
                <w:kern w:val="0"/>
                <w:szCs w:val="21"/>
              </w:rPr>
              <w:t>按照满意度调查的优秀、良好、合格、不合格给予该项指标打分：</w:t>
            </w:r>
          </w:p>
          <w:p>
            <w:pPr>
              <w:widowControl/>
              <w:spacing w:line="240" w:lineRule="exact"/>
              <w:rPr>
                <w:szCs w:val="21"/>
              </w:rPr>
            </w:pPr>
            <w:r>
              <w:rPr>
                <w:rFonts w:ascii="仿宋" w:hAnsi="仿宋" w:eastAsia="仿宋" w:cs="Arial"/>
                <w:kern w:val="0"/>
                <w:szCs w:val="21"/>
              </w:rPr>
              <w:t>优秀（</w:t>
            </w:r>
            <w:r>
              <w:rPr>
                <w:rFonts w:hint="eastAsia" w:ascii="仿宋" w:hAnsi="仿宋" w:eastAsia="仿宋" w:cs="Arial"/>
                <w:kern w:val="0"/>
                <w:szCs w:val="21"/>
              </w:rPr>
              <w:t>5</w:t>
            </w:r>
            <w:r>
              <w:rPr>
                <w:rFonts w:ascii="仿宋" w:hAnsi="仿宋" w:eastAsia="仿宋" w:cs="Arial"/>
                <w:kern w:val="0"/>
                <w:szCs w:val="21"/>
              </w:rPr>
              <w:t>）；良好（</w:t>
            </w:r>
            <w:r>
              <w:rPr>
                <w:rFonts w:hint="eastAsia" w:ascii="仿宋" w:hAnsi="仿宋" w:eastAsia="仿宋" w:cs="Arial"/>
                <w:kern w:val="0"/>
                <w:szCs w:val="21"/>
              </w:rPr>
              <w:t>3</w:t>
            </w:r>
            <w:r>
              <w:rPr>
                <w:rFonts w:ascii="仿宋" w:hAnsi="仿宋" w:eastAsia="仿宋" w:cs="Arial"/>
                <w:kern w:val="0"/>
                <w:szCs w:val="21"/>
              </w:rPr>
              <w:t>）；合格（</w:t>
            </w:r>
            <w:r>
              <w:rPr>
                <w:rFonts w:hint="eastAsia" w:ascii="仿宋" w:hAnsi="仿宋" w:eastAsia="仿宋" w:cs="Arial"/>
                <w:kern w:val="0"/>
                <w:szCs w:val="21"/>
              </w:rPr>
              <w:t>1</w:t>
            </w:r>
            <w:r>
              <w:rPr>
                <w:rFonts w:ascii="仿宋" w:hAnsi="仿宋" w:eastAsia="仿宋" w:cs="Arial"/>
                <w:kern w:val="0"/>
                <w:szCs w:val="21"/>
              </w:rPr>
              <w:t>）；不合格（</w:t>
            </w:r>
            <w:r>
              <w:rPr>
                <w:rFonts w:hint="eastAsia" w:ascii="仿宋" w:hAnsi="仿宋" w:eastAsia="仿宋" w:cs="Arial"/>
                <w:kern w:val="0"/>
                <w:szCs w:val="21"/>
              </w:rPr>
              <w:t>0</w:t>
            </w:r>
            <w:r>
              <w:rPr>
                <w:rFonts w:ascii="仿宋" w:hAnsi="仿宋" w:eastAsia="仿宋" w:cs="Arial"/>
                <w:kern w:val="0"/>
                <w:szCs w:val="21"/>
              </w:rPr>
              <w:t>）。</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szCs w:val="21"/>
              </w:rPr>
            </w:pPr>
            <w:r>
              <w:rPr>
                <w:rFonts w:hint="eastAsia"/>
                <w:szCs w:val="21"/>
              </w:rPr>
              <w:t>5</w:t>
            </w:r>
          </w:p>
        </w:tc>
      </w:tr>
    </w:tbl>
    <w:p>
      <w:pPr>
        <w:spacing w:line="240" w:lineRule="exact"/>
        <w:rPr>
          <w:rFonts w:ascii="仿宋" w:hAnsi="仿宋" w:eastAsia="仿宋" w:cs="仿宋"/>
          <w:sz w:val="32"/>
          <w:szCs w:val="32"/>
        </w:rPr>
      </w:pPr>
    </w:p>
    <w:p>
      <w:pPr>
        <w:spacing w:line="240" w:lineRule="exact"/>
        <w:rPr>
          <w:rFonts w:ascii="仿宋" w:hAnsi="仿宋" w:eastAsia="仿宋" w:cs="仿宋"/>
          <w:sz w:val="32"/>
          <w:szCs w:val="32"/>
        </w:rPr>
      </w:pPr>
    </w:p>
    <w:p>
      <w:pPr>
        <w:spacing w:line="240" w:lineRule="exact"/>
        <w:rPr>
          <w:rFonts w:ascii="仿宋" w:hAnsi="仿宋" w:eastAsia="仿宋" w:cs="仿宋"/>
          <w:sz w:val="32"/>
          <w:szCs w:val="32"/>
        </w:rPr>
      </w:pPr>
    </w:p>
    <w:p>
      <w:pPr>
        <w:rPr>
          <w:rFonts w:ascii="仿宋" w:hAnsi="仿宋" w:eastAsia="仿宋" w:cs="仿宋"/>
          <w:b/>
          <w:bCs/>
          <w:sz w:val="30"/>
          <w:szCs w:val="30"/>
        </w:rPr>
      </w:pPr>
      <w:r>
        <w:rPr>
          <w:rFonts w:hint="eastAsia" w:ascii="仿宋" w:hAnsi="仿宋" w:eastAsia="仿宋" w:cs="仿宋"/>
          <w:b/>
          <w:bCs/>
          <w:sz w:val="30"/>
          <w:szCs w:val="30"/>
        </w:rPr>
        <w:t>部门整体支出绩效评价报告主要内容包括：</w:t>
      </w:r>
    </w:p>
    <w:p>
      <w:pPr>
        <w:numPr>
          <w:ilvl w:val="0"/>
          <w:numId w:val="1"/>
        </w:numPr>
        <w:ind w:firstLine="640" w:firstLineChars="200"/>
        <w:rPr>
          <w:rFonts w:ascii="仿宋" w:hAnsi="仿宋" w:eastAsia="仿宋" w:cs="仿宋"/>
          <w:sz w:val="32"/>
          <w:szCs w:val="32"/>
        </w:rPr>
      </w:pPr>
      <w:r>
        <w:rPr>
          <w:rFonts w:hint="eastAsia" w:ascii="仿宋" w:hAnsi="仿宋" w:eastAsia="仿宋" w:cs="仿宋"/>
          <w:sz w:val="32"/>
          <w:szCs w:val="32"/>
        </w:rPr>
        <w:t>基本概况。包括部门主要职责职能，组织架构、人员及资产情况、部门履职总体目标、年度整体绩效目标、工作任务，预算资金安排及资金支出情况。</w:t>
      </w:r>
    </w:p>
    <w:p>
      <w:pPr>
        <w:numPr>
          <w:ilvl w:val="0"/>
          <w:numId w:val="1"/>
        </w:numPr>
        <w:ind w:firstLine="640" w:firstLineChars="200"/>
        <w:rPr>
          <w:rFonts w:ascii="仿宋" w:hAnsi="仿宋" w:eastAsia="仿宋" w:cs="仿宋"/>
          <w:sz w:val="32"/>
          <w:szCs w:val="32"/>
        </w:rPr>
      </w:pPr>
      <w:r>
        <w:rPr>
          <w:rFonts w:hint="eastAsia" w:ascii="仿宋" w:hAnsi="仿宋" w:eastAsia="仿宋" w:cs="仿宋"/>
          <w:sz w:val="32"/>
          <w:szCs w:val="32"/>
        </w:rPr>
        <w:t>预算绩效管理开展及整体绩效实现情况。包括部门开展预算绩效管理情况、工作履行活动完成情况、实施履职活动产生的效果及社会公众或服务对象满意程度。</w:t>
      </w:r>
    </w:p>
    <w:p>
      <w:pPr>
        <w:numPr>
          <w:ilvl w:val="0"/>
          <w:numId w:val="1"/>
        </w:numPr>
        <w:ind w:firstLine="640" w:firstLineChars="200"/>
        <w:rPr>
          <w:rFonts w:ascii="仿宋" w:hAnsi="仿宋" w:eastAsia="仿宋" w:cs="仿宋"/>
          <w:sz w:val="32"/>
          <w:szCs w:val="32"/>
        </w:rPr>
      </w:pPr>
      <w:r>
        <w:rPr>
          <w:rFonts w:hint="eastAsia" w:ascii="仿宋" w:hAnsi="仿宋" w:eastAsia="仿宋" w:cs="仿宋"/>
          <w:sz w:val="32"/>
          <w:szCs w:val="32"/>
        </w:rPr>
        <w:t>绩效评价的组织实施情况。包括评价对象绩效目标、绩效指标、评价标准和评价方法。</w:t>
      </w:r>
    </w:p>
    <w:p>
      <w:pPr>
        <w:numPr>
          <w:ilvl w:val="0"/>
          <w:numId w:val="1"/>
        </w:numPr>
        <w:ind w:firstLine="640" w:firstLineChars="200"/>
        <w:rPr>
          <w:rFonts w:ascii="仿宋" w:hAnsi="仿宋" w:eastAsia="仿宋" w:cs="仿宋"/>
          <w:sz w:val="32"/>
          <w:szCs w:val="32"/>
        </w:rPr>
      </w:pPr>
      <w:r>
        <w:rPr>
          <w:rFonts w:hint="eastAsia" w:ascii="仿宋" w:hAnsi="仿宋" w:eastAsia="仿宋" w:cs="仿宋"/>
          <w:sz w:val="32"/>
          <w:szCs w:val="32"/>
        </w:rPr>
        <w:t>各项绩效目标的实现程度及差异性原因分析。</w:t>
      </w:r>
    </w:p>
    <w:p>
      <w:pPr>
        <w:numPr>
          <w:ilvl w:val="0"/>
          <w:numId w:val="1"/>
        </w:numPr>
        <w:ind w:firstLine="640" w:firstLineChars="200"/>
        <w:rPr>
          <w:rFonts w:ascii="仿宋" w:hAnsi="仿宋" w:eastAsia="仿宋" w:cs="仿宋"/>
          <w:sz w:val="32"/>
          <w:szCs w:val="32"/>
        </w:rPr>
      </w:pPr>
      <w:r>
        <w:rPr>
          <w:rFonts w:hint="eastAsia" w:ascii="仿宋" w:hAnsi="仿宋" w:eastAsia="仿宋" w:cs="仿宋"/>
          <w:sz w:val="32"/>
          <w:szCs w:val="32"/>
        </w:rPr>
        <w:t>存在问题、采取的纠偏措施及改进绩效管理建议。</w:t>
      </w:r>
    </w:p>
    <w:p>
      <w:pPr>
        <w:numPr>
          <w:ilvl w:val="0"/>
          <w:numId w:val="1"/>
        </w:numPr>
        <w:ind w:firstLine="640" w:firstLineChars="200"/>
        <w:rPr>
          <w:rFonts w:ascii="仿宋" w:hAnsi="仿宋" w:eastAsia="仿宋" w:cs="仿宋"/>
          <w:sz w:val="32"/>
          <w:szCs w:val="32"/>
        </w:rPr>
      </w:pPr>
      <w:r>
        <w:rPr>
          <w:rFonts w:hint="eastAsia" w:ascii="仿宋" w:hAnsi="仿宋" w:eastAsia="仿宋" w:cs="仿宋"/>
          <w:sz w:val="32"/>
          <w:szCs w:val="32"/>
        </w:rPr>
        <w:t>其他需要说明的问题。</w:t>
      </w:r>
    </w:p>
    <w:p>
      <w:pPr>
        <w:jc w:val="center"/>
        <w:rPr>
          <w:b/>
          <w:sz w:val="44"/>
          <w:szCs w:val="44"/>
        </w:rPr>
      </w:pPr>
      <w:r>
        <w:rPr>
          <w:rFonts w:hint="eastAsia"/>
          <w:b/>
          <w:sz w:val="44"/>
          <w:szCs w:val="44"/>
        </w:rPr>
        <w:t>平乡县教师进修学校</w:t>
      </w:r>
    </w:p>
    <w:p>
      <w:pPr>
        <w:jc w:val="center"/>
        <w:rPr>
          <w:b/>
          <w:sz w:val="44"/>
          <w:szCs w:val="44"/>
        </w:rPr>
      </w:pPr>
      <w:r>
        <w:rPr>
          <w:rFonts w:hint="eastAsia"/>
          <w:b/>
          <w:sz w:val="44"/>
          <w:szCs w:val="44"/>
        </w:rPr>
        <w:t>2020年部门整体支出绩效自评报告</w:t>
      </w:r>
    </w:p>
    <w:p>
      <w:pPr>
        <w:jc w:val="center"/>
        <w:rPr>
          <w:sz w:val="44"/>
          <w:szCs w:val="44"/>
        </w:rPr>
      </w:pPr>
    </w:p>
    <w:p>
      <w:pPr>
        <w:jc w:val="left"/>
        <w:rPr>
          <w:rFonts w:ascii="仿宋" w:hAnsi="仿宋" w:eastAsia="仿宋" w:cs="仿宋"/>
          <w:sz w:val="32"/>
          <w:szCs w:val="32"/>
        </w:rPr>
      </w:pPr>
      <w:r>
        <w:rPr>
          <w:rFonts w:hint="eastAsia" w:ascii="仿宋" w:hAnsi="仿宋" w:eastAsia="仿宋" w:cs="仿宋"/>
          <w:sz w:val="32"/>
          <w:szCs w:val="32"/>
        </w:rPr>
        <w:t>平乡县财政局：</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我校对2020年部门整体支出开展了绩效评价工作，现将部门支出绩效评价情况报告如下：</w:t>
      </w:r>
    </w:p>
    <w:p>
      <w:pPr>
        <w:jc w:val="left"/>
        <w:rPr>
          <w:rFonts w:ascii="仿宋" w:hAnsi="仿宋" w:eastAsia="仿宋" w:cs="仿宋"/>
          <w:sz w:val="32"/>
          <w:szCs w:val="32"/>
        </w:rPr>
      </w:pPr>
      <w:r>
        <w:rPr>
          <w:rFonts w:hint="eastAsia" w:ascii="仿宋" w:hAnsi="仿宋" w:eastAsia="仿宋" w:cs="仿宋"/>
          <w:sz w:val="32"/>
          <w:szCs w:val="32"/>
        </w:rPr>
        <w:t>一、基本概况</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1、学校基本情况</w:t>
      </w:r>
    </w:p>
    <w:p>
      <w:pPr>
        <w:ind w:firstLine="640" w:firstLineChars="200"/>
        <w:rPr>
          <w:rFonts w:ascii="仿宋" w:hAnsi="仿宋" w:eastAsia="仿宋" w:cs="仿宋"/>
          <w:sz w:val="32"/>
          <w:szCs w:val="32"/>
        </w:rPr>
      </w:pPr>
      <w:r>
        <w:rPr>
          <w:rFonts w:hint="eastAsia" w:ascii="仿宋" w:hAnsi="仿宋" w:eastAsia="仿宋" w:cs="仿宋"/>
          <w:sz w:val="32"/>
          <w:szCs w:val="32"/>
        </w:rPr>
        <w:t>平乡县教师进修学校是平乡县机构编制委员会批准成立的独立法人机构，为成人提供短期培训服务，教师短期培训是学校的主要工作职能。学校现任校长孙璐，现有教职工50人，专职教师46人。学校设有办公室、培训处、电大教学站、清华教学站、工会五个中层机构，分别形式行政后勤、成人学历教育和教师培训工作三大职能，形成了既相对独立又相互配合、协调发展的工作格局。</w:t>
      </w:r>
    </w:p>
    <w:p>
      <w:pPr>
        <w:numPr>
          <w:ilvl w:val="0"/>
          <w:numId w:val="2"/>
        </w:numPr>
        <w:ind w:firstLine="640" w:firstLineChars="200"/>
        <w:rPr>
          <w:rFonts w:ascii="仿宋" w:hAnsi="仿宋" w:eastAsia="仿宋" w:cs="仿宋"/>
          <w:sz w:val="32"/>
          <w:szCs w:val="32"/>
        </w:rPr>
      </w:pPr>
      <w:r>
        <w:rPr>
          <w:rFonts w:hint="eastAsia" w:ascii="仿宋" w:hAnsi="仿宋" w:eastAsia="仿宋" w:cs="仿宋"/>
          <w:sz w:val="32"/>
          <w:szCs w:val="32"/>
        </w:rPr>
        <w:t>基本支出收支情况</w:t>
      </w:r>
    </w:p>
    <w:p>
      <w:pPr>
        <w:ind w:firstLine="640" w:firstLineChars="200"/>
        <w:rPr>
          <w:rFonts w:ascii="仿宋" w:hAnsi="仿宋" w:eastAsia="仿宋" w:cs="仿宋"/>
          <w:sz w:val="32"/>
          <w:szCs w:val="32"/>
        </w:rPr>
      </w:pPr>
      <w:r>
        <w:rPr>
          <w:rFonts w:hint="eastAsia" w:ascii="仿宋" w:hAnsi="仿宋" w:eastAsia="仿宋" w:cs="仿宋"/>
          <w:sz w:val="32"/>
          <w:szCs w:val="32"/>
        </w:rPr>
        <w:t>2020年县财政划拨我校基本支出补助584.3万元。其中:人员经费557.4万元,公用经费26.9万元。</w:t>
      </w:r>
    </w:p>
    <w:p>
      <w:pPr>
        <w:ind w:left="643"/>
        <w:rPr>
          <w:rFonts w:hint="eastAsia" w:ascii="仿宋" w:hAnsi="仿宋" w:eastAsia="仿宋" w:cs="仿宋"/>
          <w:b/>
          <w:sz w:val="32"/>
          <w:szCs w:val="32"/>
        </w:rPr>
      </w:pPr>
      <w:r>
        <w:rPr>
          <w:rFonts w:hint="eastAsia" w:ascii="仿宋" w:hAnsi="仿宋" w:eastAsia="仿宋" w:cs="仿宋"/>
          <w:b/>
          <w:sz w:val="32"/>
          <w:szCs w:val="32"/>
        </w:rPr>
        <w:t>二、预算绩效管理开展及整体绩效实现情况。</w:t>
      </w:r>
    </w:p>
    <w:p>
      <w:pPr>
        <w:ind w:left="643"/>
        <w:jc w:val="left"/>
        <w:rPr>
          <w:rFonts w:ascii="仿宋" w:hAnsi="仿宋" w:eastAsia="仿宋" w:cs="仿宋"/>
          <w:sz w:val="32"/>
          <w:szCs w:val="32"/>
        </w:rPr>
      </w:pPr>
      <w:r>
        <w:rPr>
          <w:rFonts w:hint="eastAsia" w:ascii="仿宋" w:hAnsi="仿宋" w:eastAsia="仿宋" w:cs="仿宋"/>
          <w:sz w:val="32"/>
          <w:szCs w:val="32"/>
        </w:rPr>
        <w:t>2020年，教师进修学校按照省市县的考核要求，积极开展预算绩效管理工作，实现预算绩效管理全过程化。</w:t>
      </w:r>
    </w:p>
    <w:p>
      <w:pPr>
        <w:ind w:firstLine="640" w:firstLineChars="200"/>
        <w:rPr>
          <w:rFonts w:ascii="仿宋" w:hAnsi="仿宋" w:eastAsia="仿宋" w:cs="仿宋"/>
          <w:sz w:val="32"/>
          <w:szCs w:val="32"/>
        </w:rPr>
      </w:pPr>
      <w:r>
        <w:rPr>
          <w:rFonts w:hint="eastAsia" w:ascii="仿宋" w:hAnsi="仿宋" w:eastAsia="仿宋" w:cs="仿宋"/>
          <w:sz w:val="32"/>
          <w:szCs w:val="32"/>
        </w:rPr>
        <w:t>1、做好全员培训工作</w:t>
      </w:r>
    </w:p>
    <w:p>
      <w:pPr>
        <w:ind w:firstLine="640" w:firstLineChars="200"/>
        <w:rPr>
          <w:rFonts w:ascii="仿宋" w:hAnsi="仿宋" w:eastAsia="仿宋" w:cs="仿宋"/>
          <w:sz w:val="32"/>
          <w:szCs w:val="32"/>
        </w:rPr>
      </w:pPr>
      <w:r>
        <w:rPr>
          <w:rFonts w:hint="eastAsia" w:ascii="仿宋" w:hAnsi="仿宋" w:eastAsia="仿宋" w:cs="仿宋"/>
          <w:sz w:val="32"/>
          <w:szCs w:val="32"/>
        </w:rPr>
        <w:t>在疫情防控严峻的形势下，我校抓好日常培训工作的同时，我们不放松学校常规培训，高标准高质量的完成各项基本工作，2020年共承办2321名教师的全员远程培训任务。</w:t>
      </w:r>
    </w:p>
    <w:p>
      <w:pPr>
        <w:ind w:firstLine="640" w:firstLineChars="200"/>
        <w:rPr>
          <w:rFonts w:ascii="仿宋" w:hAnsi="仿宋" w:eastAsia="仿宋" w:cs="仿宋"/>
          <w:sz w:val="32"/>
          <w:szCs w:val="32"/>
        </w:rPr>
      </w:pPr>
      <w:r>
        <w:rPr>
          <w:rFonts w:hint="eastAsia" w:ascii="仿宋" w:hAnsi="仿宋" w:eastAsia="仿宋" w:cs="仿宋"/>
          <w:sz w:val="32"/>
          <w:szCs w:val="32"/>
        </w:rPr>
        <w:t>2、中小学（幼儿园）教师（2020）“国培计划项目”</w:t>
      </w:r>
    </w:p>
    <w:p>
      <w:pPr>
        <w:ind w:firstLine="640" w:firstLineChars="200"/>
        <w:rPr>
          <w:rFonts w:ascii="仿宋" w:hAnsi="仿宋" w:eastAsia="仿宋" w:cs="仿宋"/>
          <w:sz w:val="32"/>
          <w:szCs w:val="32"/>
        </w:rPr>
      </w:pPr>
      <w:r>
        <w:rPr>
          <w:rFonts w:hint="eastAsia" w:ascii="仿宋" w:hAnsi="仿宋" w:eastAsia="仿宋" w:cs="仿宋"/>
          <w:sz w:val="32"/>
          <w:szCs w:val="32"/>
        </w:rPr>
        <w:t>今年，我校承接了六项国培任务，包括小学语文工作坊、小学数学送教下乡、“一对一”精准扶贫整校推进、新入职教师三年助力培训、幼儿园教师送教下乡、幼儿园教师工作坊，参训教师共计400余名，以上培训项目已经圆满完成。　</w:t>
      </w:r>
    </w:p>
    <w:p>
      <w:pPr>
        <w:ind w:firstLine="640" w:firstLineChars="200"/>
        <w:rPr>
          <w:rFonts w:ascii="仿宋" w:hAnsi="仿宋" w:eastAsia="仿宋" w:cs="仿宋"/>
          <w:sz w:val="32"/>
          <w:szCs w:val="32"/>
        </w:rPr>
      </w:pPr>
      <w:r>
        <w:rPr>
          <w:rFonts w:hint="eastAsia" w:ascii="仿宋" w:hAnsi="仿宋" w:eastAsia="仿宋" w:cs="仿宋"/>
          <w:sz w:val="32"/>
          <w:szCs w:val="32"/>
        </w:rPr>
        <w:t>3、抓交流、促提升，充分利用乡村振兴工作站，拓展培训空间</w:t>
      </w:r>
    </w:p>
    <w:p>
      <w:pPr>
        <w:ind w:firstLine="640" w:firstLineChars="200"/>
        <w:rPr>
          <w:rFonts w:ascii="仿宋" w:hAnsi="仿宋" w:eastAsia="仿宋" w:cs="仿宋"/>
          <w:sz w:val="32"/>
          <w:szCs w:val="32"/>
        </w:rPr>
      </w:pPr>
      <w:r>
        <w:rPr>
          <w:rFonts w:hint="eastAsia" w:ascii="仿宋" w:hAnsi="仿宋" w:eastAsia="仿宋" w:cs="仿宋"/>
          <w:sz w:val="32"/>
          <w:szCs w:val="32"/>
        </w:rPr>
        <w:t>2020年，清华乡村振兴工作站再创辉煌。充分利用清华大学优质教育资源，组织开展了清华新科普讲坛、伟新教育扶贫高考辅导项目等八个线上培训项目，参与培训14588人次。我校教学站蝉联全国优秀教学站一等奖，并做为全国仅有的两个代表之一，在清华大学教育扶贫年会上面对全国教学站做经验分享；</w:t>
      </w:r>
    </w:p>
    <w:p>
      <w:pPr>
        <w:ind w:firstLine="640" w:firstLineChars="200"/>
        <w:rPr>
          <w:rFonts w:ascii="仿宋" w:hAnsi="仿宋" w:eastAsia="仿宋" w:cs="仿宋"/>
          <w:sz w:val="32"/>
          <w:szCs w:val="32"/>
        </w:rPr>
      </w:pPr>
      <w:r>
        <w:rPr>
          <w:rFonts w:hint="eastAsia" w:ascii="仿宋" w:hAnsi="仿宋" w:eastAsia="仿宋" w:cs="仿宋"/>
          <w:sz w:val="32"/>
          <w:szCs w:val="32"/>
        </w:rPr>
        <w:t>4、电大招生工作扎实推进，继续保持优良势头</w:t>
      </w:r>
    </w:p>
    <w:p>
      <w:pPr>
        <w:ind w:firstLine="640" w:firstLineChars="200"/>
        <w:rPr>
          <w:rFonts w:ascii="仿宋" w:hAnsi="仿宋" w:eastAsia="仿宋" w:cs="仿宋"/>
          <w:sz w:val="32"/>
          <w:szCs w:val="32"/>
        </w:rPr>
      </w:pPr>
      <w:r>
        <w:rPr>
          <w:rFonts w:hint="eastAsia" w:ascii="仿宋" w:hAnsi="仿宋" w:eastAsia="仿宋" w:cs="仿宋"/>
          <w:sz w:val="32"/>
          <w:szCs w:val="32"/>
        </w:rPr>
        <w:t>2020年春秋两季克服疫情影响，出色完成招生任务，孙璐同志被授予市电大系统先进招生个人。目前电大注册学员492人，涵盖本、专两个学段14个专业，其中本科260人，专科232人。</w:t>
      </w:r>
    </w:p>
    <w:p>
      <w:pPr>
        <w:ind w:firstLine="640" w:firstLineChars="200"/>
        <w:rPr>
          <w:rFonts w:ascii="仿宋" w:hAnsi="仿宋" w:eastAsia="仿宋" w:cs="仿宋"/>
          <w:sz w:val="32"/>
          <w:szCs w:val="32"/>
        </w:rPr>
      </w:pPr>
      <w:r>
        <w:rPr>
          <w:rFonts w:hint="eastAsia" w:ascii="仿宋" w:hAnsi="仿宋" w:eastAsia="仿宋" w:cs="仿宋"/>
          <w:sz w:val="32"/>
          <w:szCs w:val="32"/>
        </w:rPr>
        <w:t>除此之外，我单位还组织了教师信息素养与在线教学能力提升专题研修班、中学校长研修班、小学校长研修班、幼儿园园长研修班、学校信息化建设专题研修班、乡村美术教师培养计划第四期、清华终身云课堂系列课程，清华大学碧桂园乡村振兴云课堂系列课程、师德师风系列培训、普通话培训、魏书生教育思想报告会等教师培训工作。</w:t>
      </w:r>
    </w:p>
    <w:p>
      <w:pPr>
        <w:spacing w:line="560" w:lineRule="exact"/>
        <w:ind w:firstLine="642" w:firstLineChars="200"/>
        <w:jc w:val="left"/>
        <w:rPr>
          <w:rFonts w:ascii="仿宋" w:hAnsi="仿宋" w:eastAsia="仿宋" w:cs="仿宋"/>
          <w:b/>
          <w:bCs/>
          <w:sz w:val="32"/>
          <w:szCs w:val="32"/>
        </w:rPr>
      </w:pPr>
      <w:r>
        <w:rPr>
          <w:rFonts w:hint="eastAsia" w:ascii="仿宋" w:hAnsi="仿宋" w:eastAsia="仿宋" w:cs="仿宋"/>
          <w:b/>
          <w:bCs/>
          <w:sz w:val="32"/>
          <w:szCs w:val="32"/>
        </w:rPr>
        <w:t>三、绩效评价的组织实施情况。</w:t>
      </w:r>
    </w:p>
    <w:p>
      <w:pPr>
        <w:ind w:firstLine="640" w:firstLineChars="200"/>
        <w:rPr>
          <w:rFonts w:ascii="仿宋" w:hAnsi="仿宋" w:eastAsia="仿宋" w:cs="仿宋"/>
          <w:sz w:val="32"/>
          <w:szCs w:val="32"/>
        </w:rPr>
      </w:pPr>
      <w:r>
        <w:rPr>
          <w:rFonts w:hint="eastAsia" w:ascii="仿宋" w:hAnsi="仿宋" w:eastAsia="仿宋" w:cs="仿宋"/>
          <w:sz w:val="32"/>
          <w:szCs w:val="32"/>
        </w:rPr>
        <w:t>我校对2020年绩效目标开展整体绩效自评工作，绩效自评的流程包括部门制定工作方案，填报项目自评表以及撰写绩效评价报告。</w:t>
      </w:r>
    </w:p>
    <w:p>
      <w:pPr>
        <w:spacing w:line="560" w:lineRule="exact"/>
        <w:ind w:firstLine="642" w:firstLineChars="200"/>
        <w:jc w:val="left"/>
        <w:rPr>
          <w:rFonts w:ascii="仿宋" w:hAnsi="仿宋" w:eastAsia="仿宋" w:cs="仿宋"/>
          <w:b/>
          <w:bCs/>
          <w:sz w:val="32"/>
          <w:szCs w:val="32"/>
        </w:rPr>
      </w:pPr>
      <w:r>
        <w:rPr>
          <w:rFonts w:hint="eastAsia" w:ascii="仿宋" w:hAnsi="仿宋" w:eastAsia="仿宋" w:cs="仿宋"/>
          <w:b/>
          <w:bCs/>
          <w:sz w:val="32"/>
          <w:szCs w:val="32"/>
        </w:rPr>
        <w:t>四、各项绩效目标的实现程度及差异性原因分析。</w:t>
      </w:r>
    </w:p>
    <w:p>
      <w:pPr>
        <w:ind w:firstLine="640" w:firstLineChars="200"/>
        <w:rPr>
          <w:rFonts w:ascii="仿宋" w:hAnsi="仿宋" w:eastAsia="仿宋" w:cs="仿宋"/>
          <w:sz w:val="32"/>
          <w:szCs w:val="32"/>
        </w:rPr>
      </w:pPr>
      <w:r>
        <w:rPr>
          <w:rFonts w:hint="eastAsia" w:ascii="仿宋" w:hAnsi="仿宋" w:eastAsia="仿宋" w:cs="仿宋"/>
          <w:sz w:val="32"/>
          <w:szCs w:val="32"/>
        </w:rPr>
        <w:t>各项绩效目标基本实现。</w:t>
      </w:r>
    </w:p>
    <w:p>
      <w:pPr>
        <w:ind w:left="643"/>
        <w:rPr>
          <w:rFonts w:ascii="仿宋" w:hAnsi="仿宋" w:eastAsia="仿宋" w:cs="仿宋"/>
          <w:b/>
          <w:sz w:val="32"/>
          <w:szCs w:val="32"/>
        </w:rPr>
      </w:pPr>
      <w:r>
        <w:rPr>
          <w:rFonts w:hint="eastAsia" w:ascii="仿宋" w:hAnsi="仿宋" w:eastAsia="仿宋" w:cs="仿宋"/>
          <w:b/>
          <w:sz w:val="32"/>
          <w:szCs w:val="32"/>
        </w:rPr>
        <w:t>五、存在问题、采取的纠偏措施及改进绩效管理建议。</w:t>
      </w:r>
    </w:p>
    <w:p>
      <w:pPr>
        <w:ind w:firstLine="640" w:firstLineChars="200"/>
        <w:rPr>
          <w:rFonts w:ascii="仿宋" w:hAnsi="仿宋" w:eastAsia="仿宋" w:cs="仿宋"/>
          <w:sz w:val="32"/>
          <w:szCs w:val="32"/>
        </w:rPr>
      </w:pPr>
      <w:r>
        <w:rPr>
          <w:rFonts w:hint="eastAsia" w:ascii="仿宋" w:hAnsi="仿宋" w:eastAsia="仿宋" w:cs="仿宋"/>
          <w:sz w:val="32"/>
          <w:szCs w:val="32"/>
        </w:rPr>
        <w:t>根据本次绩效评价情况，存在预算绩效申报时，编制的项目自评指标体系不够精细，绩效目标不具体，绩效目标未完全细化，分解工作任务不够具体，部分绩效指标不清晰，在经费支出过程中经济功能精确度有待提高。针对上述问题，在今后的预算绩效申报时，将全年工作任务细化分解为具体的工作目标，并尽量采取定量的方式制定清晰、可衡量的绩效指标，提高项目使用经济功能精确度。</w:t>
      </w:r>
    </w:p>
    <w:p>
      <w:pPr>
        <w:rPr>
          <w:rFonts w:ascii="仿宋" w:hAnsi="仿宋" w:eastAsia="仿宋" w:cs="仿宋"/>
          <w:b/>
          <w:sz w:val="32"/>
          <w:szCs w:val="32"/>
        </w:rPr>
      </w:pPr>
    </w:p>
    <w:p>
      <w:pPr>
        <w:rPr>
          <w:rFonts w:ascii="仿宋" w:hAnsi="仿宋" w:eastAsia="仿宋" w:cs="仿宋"/>
          <w:sz w:val="32"/>
          <w:szCs w:val="32"/>
        </w:rPr>
      </w:pPr>
    </w:p>
    <w:p>
      <w:pPr>
        <w:rPr>
          <w:rFonts w:ascii="仿宋" w:hAnsi="仿宋" w:eastAsia="仿宋" w:cs="仿宋"/>
          <w:sz w:val="32"/>
          <w:szCs w:val="32"/>
        </w:rPr>
      </w:pPr>
    </w:p>
    <w:sectPr>
      <w:footerReference r:id="rId3" w:type="default"/>
      <w:footerReference r:id="rId4" w:type="even"/>
      <w:pgSz w:w="11906" w:h="16838"/>
      <w:pgMar w:top="1985" w:right="1418" w:bottom="1985" w:left="1418" w:header="851" w:footer="1701" w:gutter="0"/>
      <w:cols w:space="425" w:num="1"/>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6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ourier New">
    <w:altName w:val="DejaVu Sans"/>
    <w:panose1 w:val="02070309020205020404"/>
    <w:charset w:val="00"/>
    <w:family w:val="modern"/>
    <w:pitch w:val="default"/>
    <w:sig w:usb0="00000000" w:usb1="00000000" w:usb2="00000009" w:usb3="00000000" w:csb0="000001FF"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新宋体">
    <w:altName w:val="方正书宋_GBK"/>
    <w:panose1 w:val="02010609030101010101"/>
    <w:charset w:val="86"/>
    <w:family w:val="modern"/>
    <w:pitch w:val="default"/>
    <w:sig w:usb0="00000000" w:usb1="00000000" w:usb2="00000016" w:usb3="00000000" w:csb0="00040001" w:csb1="00000000"/>
  </w:font>
  <w:font w:name="Arial">
    <w:altName w:val="DejaVu Sans"/>
    <w:panose1 w:val="020B0604020202020204"/>
    <w:charset w:val="00"/>
    <w:family w:val="swiss"/>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1"/>
        <w:rFonts w:ascii="宋体" w:hAnsi="宋体" w:eastAsia="宋体"/>
        <w:sz w:val="28"/>
        <w:szCs w:val="28"/>
      </w:rPr>
    </w:pPr>
    <w:r>
      <w:rPr>
        <w:rStyle w:val="11"/>
        <w:rFonts w:hint="eastAsia" w:ascii="宋体" w:hAnsi="宋体" w:eastAsia="宋体"/>
        <w:sz w:val="28"/>
        <w:szCs w:val="28"/>
      </w:rPr>
      <w:t>-</w:t>
    </w:r>
    <w:r>
      <w:rPr>
        <w:rStyle w:val="11"/>
        <w:rFonts w:ascii="宋体" w:hAnsi="宋体" w:eastAsia="宋体"/>
        <w:sz w:val="28"/>
        <w:szCs w:val="28"/>
      </w:rPr>
      <w:fldChar w:fldCharType="begin"/>
    </w:r>
    <w:r>
      <w:rPr>
        <w:rStyle w:val="11"/>
        <w:rFonts w:ascii="宋体" w:hAnsi="宋体" w:eastAsia="宋体"/>
        <w:sz w:val="28"/>
        <w:szCs w:val="28"/>
      </w:rPr>
      <w:instrText xml:space="preserve">PAGE  </w:instrText>
    </w:r>
    <w:r>
      <w:rPr>
        <w:rStyle w:val="11"/>
        <w:rFonts w:ascii="宋体" w:hAnsi="宋体" w:eastAsia="宋体"/>
        <w:sz w:val="28"/>
        <w:szCs w:val="28"/>
      </w:rPr>
      <w:fldChar w:fldCharType="separate"/>
    </w:r>
    <w:r>
      <w:rPr>
        <w:rStyle w:val="11"/>
        <w:rFonts w:ascii="宋体" w:hAnsi="宋体" w:eastAsia="宋体"/>
        <w:sz w:val="28"/>
        <w:szCs w:val="28"/>
      </w:rPr>
      <w:t>2</w:t>
    </w:r>
    <w:r>
      <w:rPr>
        <w:rStyle w:val="11"/>
        <w:rFonts w:ascii="宋体" w:hAnsi="宋体" w:eastAsia="宋体"/>
        <w:sz w:val="28"/>
        <w:szCs w:val="28"/>
      </w:rPr>
      <w:fldChar w:fldCharType="end"/>
    </w:r>
    <w:r>
      <w:rPr>
        <w:rStyle w:val="11"/>
        <w:rFonts w:hint="eastAsia" w:ascii="宋体" w:hAnsi="宋体" w:eastAsia="宋体"/>
        <w:sz w:val="28"/>
        <w:szCs w:val="28"/>
      </w:rPr>
      <w:t>-</w:t>
    </w:r>
  </w:p>
  <w:p>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1"/>
      </w:rPr>
    </w:pPr>
    <w:r>
      <w:rPr>
        <w:rStyle w:val="11"/>
      </w:rPr>
      <w:fldChar w:fldCharType="begin"/>
    </w:r>
    <w:r>
      <w:rPr>
        <w:rStyle w:val="11"/>
      </w:rPr>
      <w:instrText xml:space="preserve">PAGE  </w:instrText>
    </w:r>
    <w:r>
      <w:rPr>
        <w:rStyle w:val="11"/>
      </w:rPr>
      <w:fldChar w:fldCharType="end"/>
    </w:r>
  </w:p>
  <w:p>
    <w:pPr>
      <w:pStyle w:val="5"/>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EDEA68"/>
    <w:multiLevelType w:val="singleLevel"/>
    <w:tmpl w:val="41EDEA68"/>
    <w:lvl w:ilvl="0" w:tentative="0">
      <w:start w:val="1"/>
      <w:numFmt w:val="chineseCounting"/>
      <w:suff w:val="nothing"/>
      <w:lvlText w:val="（%1）"/>
      <w:lvlJc w:val="left"/>
      <w:rPr>
        <w:rFonts w:hint="eastAsia"/>
      </w:rPr>
    </w:lvl>
  </w:abstractNum>
  <w:abstractNum w:abstractNumId="1">
    <w:nsid w:val="4EEB4029"/>
    <w:multiLevelType w:val="singleLevel"/>
    <w:tmpl w:val="4EEB4029"/>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cumentProtection w:enforcement="0"/>
  <w:defaultTabStop w:val="420"/>
  <w:drawingGridHorizontalSpacing w:val="105"/>
  <w:drawingGridVerticalSpacing w:val="31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42933"/>
    <w:rsid w:val="00002F2C"/>
    <w:rsid w:val="000070A8"/>
    <w:rsid w:val="00016CA4"/>
    <w:rsid w:val="000324AE"/>
    <w:rsid w:val="00042933"/>
    <w:rsid w:val="0008033E"/>
    <w:rsid w:val="0008759D"/>
    <w:rsid w:val="00094F2B"/>
    <w:rsid w:val="000B0A83"/>
    <w:rsid w:val="000B6322"/>
    <w:rsid w:val="000C2CC1"/>
    <w:rsid w:val="000E4A5A"/>
    <w:rsid w:val="00103547"/>
    <w:rsid w:val="00167EAE"/>
    <w:rsid w:val="0017068B"/>
    <w:rsid w:val="00185A3C"/>
    <w:rsid w:val="00192D5A"/>
    <w:rsid w:val="001C59B3"/>
    <w:rsid w:val="001E0886"/>
    <w:rsid w:val="001F7E31"/>
    <w:rsid w:val="002071BC"/>
    <w:rsid w:val="00225AE6"/>
    <w:rsid w:val="00235F0F"/>
    <w:rsid w:val="00255783"/>
    <w:rsid w:val="00290BA1"/>
    <w:rsid w:val="002A6AEA"/>
    <w:rsid w:val="002F2268"/>
    <w:rsid w:val="003C50C2"/>
    <w:rsid w:val="00401A17"/>
    <w:rsid w:val="0041099F"/>
    <w:rsid w:val="00436A1D"/>
    <w:rsid w:val="004379D7"/>
    <w:rsid w:val="004A68B1"/>
    <w:rsid w:val="004B64F3"/>
    <w:rsid w:val="004E3B64"/>
    <w:rsid w:val="004F65E4"/>
    <w:rsid w:val="004F7327"/>
    <w:rsid w:val="005020C5"/>
    <w:rsid w:val="00535B6F"/>
    <w:rsid w:val="00567FE6"/>
    <w:rsid w:val="0058162A"/>
    <w:rsid w:val="005B3616"/>
    <w:rsid w:val="005E12FA"/>
    <w:rsid w:val="00664D43"/>
    <w:rsid w:val="00683167"/>
    <w:rsid w:val="006A5056"/>
    <w:rsid w:val="006E64C9"/>
    <w:rsid w:val="007048FF"/>
    <w:rsid w:val="00712100"/>
    <w:rsid w:val="0071700D"/>
    <w:rsid w:val="00742652"/>
    <w:rsid w:val="00772600"/>
    <w:rsid w:val="007D5D41"/>
    <w:rsid w:val="007F01F9"/>
    <w:rsid w:val="00856BA1"/>
    <w:rsid w:val="00867620"/>
    <w:rsid w:val="008709E0"/>
    <w:rsid w:val="008A6A10"/>
    <w:rsid w:val="008A6A31"/>
    <w:rsid w:val="00904AF4"/>
    <w:rsid w:val="00905542"/>
    <w:rsid w:val="00917700"/>
    <w:rsid w:val="00956F74"/>
    <w:rsid w:val="009B0B5F"/>
    <w:rsid w:val="009B7F2F"/>
    <w:rsid w:val="009C04DA"/>
    <w:rsid w:val="009C4C62"/>
    <w:rsid w:val="009E3627"/>
    <w:rsid w:val="009F53E7"/>
    <w:rsid w:val="00A11BF8"/>
    <w:rsid w:val="00A14A33"/>
    <w:rsid w:val="00A6449D"/>
    <w:rsid w:val="00A768DB"/>
    <w:rsid w:val="00AA09C8"/>
    <w:rsid w:val="00AD5F30"/>
    <w:rsid w:val="00B0681D"/>
    <w:rsid w:val="00B4371D"/>
    <w:rsid w:val="00B9023F"/>
    <w:rsid w:val="00BC1FDC"/>
    <w:rsid w:val="00BD0FD8"/>
    <w:rsid w:val="00C44804"/>
    <w:rsid w:val="00C6362A"/>
    <w:rsid w:val="00C81363"/>
    <w:rsid w:val="00CB27A5"/>
    <w:rsid w:val="00CD55ED"/>
    <w:rsid w:val="00CD63C0"/>
    <w:rsid w:val="00CE62A0"/>
    <w:rsid w:val="00D21F0C"/>
    <w:rsid w:val="00D366C1"/>
    <w:rsid w:val="00D877F7"/>
    <w:rsid w:val="00DB2D43"/>
    <w:rsid w:val="00E266F1"/>
    <w:rsid w:val="00EB16A8"/>
    <w:rsid w:val="00EC7904"/>
    <w:rsid w:val="00F72E93"/>
    <w:rsid w:val="00F87A11"/>
    <w:rsid w:val="00FB7E01"/>
    <w:rsid w:val="00FE5F4C"/>
    <w:rsid w:val="00FF39F6"/>
    <w:rsid w:val="035E6A21"/>
    <w:rsid w:val="05374814"/>
    <w:rsid w:val="0AC229F6"/>
    <w:rsid w:val="0F8F6BFC"/>
    <w:rsid w:val="16E73F1B"/>
    <w:rsid w:val="19693E4B"/>
    <w:rsid w:val="1CA770E2"/>
    <w:rsid w:val="2C9E4BE2"/>
    <w:rsid w:val="352834CC"/>
    <w:rsid w:val="375600D8"/>
    <w:rsid w:val="3791647A"/>
    <w:rsid w:val="3FDFBB12"/>
    <w:rsid w:val="42AB4556"/>
    <w:rsid w:val="455969D8"/>
    <w:rsid w:val="526A3656"/>
    <w:rsid w:val="54C32CAB"/>
    <w:rsid w:val="5C5E6725"/>
    <w:rsid w:val="5D643D56"/>
    <w:rsid w:val="62C9093E"/>
    <w:rsid w:val="64875FA9"/>
    <w:rsid w:val="69BD0A47"/>
    <w:rsid w:val="71A911C9"/>
    <w:rsid w:val="78774D51"/>
    <w:rsid w:val="7CCC213E"/>
    <w:rsid w:val="7FC734B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9"/>
    <w:pPr>
      <w:spacing w:before="100" w:beforeAutospacing="1" w:after="100" w:afterAutospacing="1"/>
      <w:jc w:val="left"/>
      <w:outlineLvl w:val="0"/>
    </w:pPr>
    <w:rPr>
      <w:rFonts w:hint="eastAsia" w:ascii="宋体" w:hAnsi="宋体" w:eastAsia="宋体" w:cs="宋体"/>
      <w:b/>
      <w:kern w:val="44"/>
      <w:sz w:val="48"/>
      <w:szCs w:val="4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99"/>
    <w:pPr>
      <w:autoSpaceDE w:val="0"/>
      <w:autoSpaceDN w:val="0"/>
      <w:adjustRightInd w:val="0"/>
      <w:snapToGrid w:val="0"/>
      <w:spacing w:line="588" w:lineRule="atLeast"/>
    </w:pPr>
    <w:rPr>
      <w:rFonts w:ascii="宋体" w:hAnsi="宋体" w:eastAsia="仿宋_GB2312"/>
      <w:spacing w:val="-2"/>
      <w:sz w:val="32"/>
      <w:szCs w:val="24"/>
    </w:rPr>
  </w:style>
  <w:style w:type="paragraph" w:styleId="4">
    <w:name w:val="Plain Text"/>
    <w:basedOn w:val="1"/>
    <w:link w:val="14"/>
    <w:qFormat/>
    <w:uiPriority w:val="0"/>
    <w:rPr>
      <w:rFonts w:ascii="宋体" w:hAnsi="Courier New" w:eastAsia="宋体" w:cs="Courier New"/>
      <w:szCs w:val="21"/>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qFormat/>
    <w:uiPriority w:val="22"/>
    <w:rPr>
      <w:b/>
      <w:bCs/>
    </w:rPr>
  </w:style>
  <w:style w:type="character" w:styleId="11">
    <w:name w:val="page number"/>
    <w:basedOn w:val="9"/>
    <w:semiHidden/>
    <w:unhideWhenUsed/>
    <w:qFormat/>
    <w:uiPriority w:val="99"/>
  </w:style>
  <w:style w:type="character" w:customStyle="1" w:styleId="12">
    <w:name w:val="页眉 Char"/>
    <w:basedOn w:val="9"/>
    <w:link w:val="6"/>
    <w:qFormat/>
    <w:uiPriority w:val="99"/>
    <w:rPr>
      <w:sz w:val="18"/>
      <w:szCs w:val="18"/>
    </w:rPr>
  </w:style>
  <w:style w:type="character" w:customStyle="1" w:styleId="13">
    <w:name w:val="页脚 Char"/>
    <w:basedOn w:val="9"/>
    <w:link w:val="5"/>
    <w:qFormat/>
    <w:uiPriority w:val="99"/>
    <w:rPr>
      <w:sz w:val="18"/>
      <w:szCs w:val="18"/>
    </w:rPr>
  </w:style>
  <w:style w:type="character" w:customStyle="1" w:styleId="14">
    <w:name w:val="纯文本 Char"/>
    <w:basedOn w:val="9"/>
    <w:link w:val="4"/>
    <w:qFormat/>
    <w:uiPriority w:val="0"/>
    <w:rPr>
      <w:rFonts w:ascii="宋体" w:hAnsi="Courier New" w:eastAsia="宋体" w:cs="Courier New"/>
      <w:szCs w:val="21"/>
    </w:rPr>
  </w:style>
  <w:style w:type="character" w:customStyle="1" w:styleId="15">
    <w:name w:val="标题 1 Char"/>
    <w:basedOn w:val="9"/>
    <w:link w:val="2"/>
    <w:qFormat/>
    <w:uiPriority w:val="9"/>
    <w:rPr>
      <w:rFonts w:ascii="宋体" w:hAnsi="宋体" w:eastAsia="宋体" w:cs="宋体"/>
      <w:b/>
      <w:kern w:val="44"/>
      <w:sz w:val="48"/>
      <w:szCs w:val="48"/>
    </w:rPr>
  </w:style>
  <w:style w:type="character" w:customStyle="1" w:styleId="16">
    <w:name w:val="font31"/>
    <w:basedOn w:val="9"/>
    <w:qFormat/>
    <w:uiPriority w:val="0"/>
    <w:rPr>
      <w:rFonts w:hint="eastAsia" w:ascii="宋体" w:hAnsi="宋体" w:eastAsia="宋体" w:cs="宋体"/>
      <w:b/>
      <w:color w:val="000000"/>
      <w:sz w:val="36"/>
      <w:szCs w:val="36"/>
      <w:u w:val="none"/>
    </w:rPr>
  </w:style>
  <w:style w:type="paragraph" w:customStyle="1" w:styleId="17">
    <w:name w:val="p05"/>
    <w:basedOn w:val="1"/>
    <w:qFormat/>
    <w:uiPriority w:val="0"/>
    <w:pPr>
      <w:widowControl/>
      <w:spacing w:line="408" w:lineRule="auto"/>
      <w:ind w:left="1"/>
    </w:pPr>
    <w:rPr>
      <w:rFonts w:ascii="Times New Roman" w:hAnsi="Times New Roman" w:eastAsia="Times New Roman" w:cs="Times New Roman"/>
      <w:color w:val="000000"/>
      <w:kern w:val="0"/>
      <w:szCs w:val="20"/>
      <w:lang w:eastAsia="en-US"/>
    </w:rPr>
  </w:style>
  <w:style w:type="paragraph" w:customStyle="1" w:styleId="18">
    <w:name w:val="p01"/>
    <w:basedOn w:val="1"/>
    <w:qFormat/>
    <w:uiPriority w:val="0"/>
    <w:pPr>
      <w:widowControl/>
      <w:spacing w:line="408" w:lineRule="auto"/>
      <w:ind w:left="1"/>
    </w:pPr>
    <w:rPr>
      <w:rFonts w:ascii="Times New Roman" w:hAnsi="Times New Roman" w:eastAsia="Times New Roman" w:cs="Times New Roman"/>
      <w:color w:val="000000"/>
      <w:kern w:val="0"/>
      <w:szCs w:val="20"/>
      <w:lang w:eastAsia="en-US"/>
    </w:rPr>
  </w:style>
  <w:style w:type="paragraph" w:styleId="19">
    <w:name w:val="List Paragraph"/>
    <w:basedOn w:val="1"/>
    <w:unhideWhenUsed/>
    <w:qFormat/>
    <w:uiPriority w:val="99"/>
    <w:pPr>
      <w:ind w:firstLine="420" w:firstLineChars="200"/>
    </w:pPr>
  </w:style>
  <w:style w:type="paragraph" w:customStyle="1" w:styleId="20">
    <w:name w:val="正文1"/>
    <w:qFormat/>
    <w:uiPriority w:val="99"/>
    <w:pPr>
      <w:jc w:val="both"/>
    </w:pPr>
    <w:rPr>
      <w:rFonts w:ascii="Calibri" w:hAnsi="Calibri" w:eastAsia="宋体" w:cs="Calibri"/>
      <w:kern w:val="2"/>
      <w:sz w:val="21"/>
      <w:szCs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Pages>
  <Words>1042</Words>
  <Characters>5940</Characters>
  <Lines>49</Lines>
  <Paragraphs>13</Paragraphs>
  <TotalTime>61</TotalTime>
  <ScaleCrop>false</ScaleCrop>
  <LinksUpToDate>false</LinksUpToDate>
  <CharactersWithSpaces>6969</CharactersWithSpaces>
  <Application>WPS Office_11.8.2.1127_F1E327BC-269C-435d-A152-05C5408002CA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2016-02-22T15:07:00Z</dcterms:created>
  <dc:creator>Administrator</dc:creator>
  <cp:lastModifiedBy>sss</cp:lastModifiedBy>
  <cp:lastPrinted>2021-09-02T16:29:00Z</cp:lastPrinted>
  <dcterms:modified xsi:type="dcterms:W3CDTF">2025-04-10T09:38:29Z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2052-11.8.2.1127</vt:lpwstr>
  </property>
  <property fmtid="{D5CDD505-2E9C-101B-9397-08002B2CF9AE}" pid="3" name="ICV">
    <vt:lpwstr>D12964BEDACAFC291521F7670221BF56</vt:lpwstr>
  </property>
</Properties>
</file>