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ascii="仿宋" w:hAnsi="仿宋" w:eastAsia="仿宋" w:cs="仿宋"/>
          <w:kern w:val="0"/>
          <w:sz w:val="32"/>
          <w:szCs w:val="32"/>
          <w:shd w:val="clear" w:color="auto" w:fill="FFFFFF"/>
        </w:rPr>
      </w:pPr>
      <w:bookmarkStart w:id="0" w:name="_GoBack"/>
      <w:bookmarkEnd w:id="0"/>
      <w:r>
        <w:rPr>
          <w:rFonts w:hint="eastAsia" w:ascii="仿宋" w:hAnsi="仿宋" w:eastAsia="仿宋" w:cs="仿宋"/>
          <w:kern w:val="0"/>
          <w:sz w:val="32"/>
          <w:szCs w:val="32"/>
          <w:shd w:val="clear" w:color="auto" w:fill="FFFFFF"/>
        </w:rPr>
        <w:t>想附件6：</w:t>
      </w:r>
    </w:p>
    <w:p>
      <w:pPr>
        <w:spacing w:line="480" w:lineRule="exact"/>
        <w:jc w:val="center"/>
        <w:rPr>
          <w:rFonts w:ascii="宋体" w:hAnsi="宋体" w:eastAsia="宋体" w:cs="宋体"/>
          <w:b/>
          <w:color w:val="000000"/>
          <w:kern w:val="0"/>
          <w:sz w:val="44"/>
          <w:szCs w:val="44"/>
          <w:shd w:val="clear" w:color="auto" w:fill="FFFFFF"/>
        </w:rPr>
      </w:pPr>
      <w:r>
        <w:rPr>
          <w:rFonts w:hint="eastAsia" w:ascii="宋体" w:hAnsi="宋体"/>
          <w:b/>
          <w:sz w:val="44"/>
          <w:szCs w:val="44"/>
        </w:rPr>
        <w:t>平乡五中整体支出绩效评价</w:t>
      </w:r>
      <w:r>
        <w:rPr>
          <w:rFonts w:hint="eastAsia" w:ascii="宋体" w:hAnsi="宋体" w:eastAsia="宋体" w:cs="宋体"/>
          <w:b/>
          <w:color w:val="000000"/>
          <w:kern w:val="0"/>
          <w:sz w:val="44"/>
          <w:szCs w:val="44"/>
          <w:shd w:val="clear" w:color="auto" w:fill="FFFFFF"/>
        </w:rPr>
        <w:t>指标体系评分表</w:t>
      </w:r>
    </w:p>
    <w:p>
      <w:pPr>
        <w:spacing w:line="480" w:lineRule="exact"/>
        <w:jc w:val="center"/>
        <w:rPr>
          <w:rFonts w:ascii="仿宋" w:hAnsi="仿宋" w:eastAsia="仿宋" w:cs="仿宋"/>
          <w:sz w:val="32"/>
          <w:szCs w:val="32"/>
        </w:rPr>
      </w:pP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ind w:firstLine="420" w:firstLineChars="200"/>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ind w:firstLine="420" w:firstLineChars="200"/>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ind w:firstLine="420" w:firstLineChars="200"/>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符合（1）；</w:t>
            </w:r>
          </w:p>
          <w:p>
            <w:pPr>
              <w:widowControl/>
              <w:spacing w:line="240" w:lineRule="exact"/>
              <w:ind w:firstLine="420" w:firstLineChars="200"/>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ind w:firstLine="420" w:firstLineChars="200"/>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1.部门活动的设定在部门所确定的职责范围之内；</w:t>
            </w:r>
          </w:p>
          <w:p>
            <w:pPr>
              <w:widowControl/>
              <w:spacing w:line="240" w:lineRule="exact"/>
              <w:ind w:firstLine="420" w:firstLineChars="200"/>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全部符合（2）；</w:t>
            </w:r>
          </w:p>
          <w:p>
            <w:pPr>
              <w:widowControl/>
              <w:spacing w:line="240" w:lineRule="exact"/>
              <w:ind w:firstLine="420" w:firstLineChars="200"/>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ind w:firstLine="420" w:firstLineChars="200"/>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全部符合（2）；</w:t>
            </w:r>
          </w:p>
          <w:p>
            <w:pPr>
              <w:widowControl/>
              <w:spacing w:line="240" w:lineRule="exact"/>
              <w:ind w:firstLine="420" w:firstLineChars="200"/>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ind w:firstLine="420" w:firstLineChars="200"/>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ind w:firstLine="420" w:firstLineChars="200"/>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ind w:firstLine="420" w:firstLineChars="200"/>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1.预算调整率等于0的，得满分；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ind w:firstLine="420" w:firstLineChars="200"/>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ind w:firstLine="420" w:firstLineChars="200"/>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ind w:firstLine="420" w:firstLineChars="200"/>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ind w:firstLine="420" w:firstLineChars="200"/>
              <w:jc w:val="left"/>
              <w:rPr>
                <w:szCs w:val="21"/>
              </w:rPr>
            </w:pPr>
            <w:r>
              <w:rPr>
                <w:rFonts w:ascii="仿宋_GB2312" w:hAnsi="新宋体" w:eastAsia="仿宋_GB2312" w:cs="仿宋_GB2312"/>
                <w:kern w:val="0"/>
                <w:szCs w:val="21"/>
              </w:rPr>
              <w:t>2.资金的拨付有完整的审批过程和手续；</w:t>
            </w:r>
          </w:p>
          <w:p>
            <w:pPr>
              <w:widowControl/>
              <w:spacing w:line="240" w:lineRule="exact"/>
              <w:ind w:firstLine="420" w:firstLineChars="200"/>
              <w:jc w:val="left"/>
              <w:rPr>
                <w:szCs w:val="21"/>
              </w:rPr>
            </w:pPr>
            <w:r>
              <w:rPr>
                <w:rFonts w:ascii="仿宋_GB2312" w:hAnsi="新宋体" w:eastAsia="仿宋_GB2312" w:cs="仿宋_GB2312"/>
                <w:kern w:val="0"/>
                <w:szCs w:val="21"/>
              </w:rPr>
              <w:t>3.项目的重大开支经过评估论证；</w:t>
            </w:r>
          </w:p>
          <w:p>
            <w:pPr>
              <w:widowControl/>
              <w:spacing w:line="240" w:lineRule="exact"/>
              <w:ind w:firstLine="420" w:firstLineChars="200"/>
              <w:jc w:val="left"/>
              <w:rPr>
                <w:szCs w:val="21"/>
              </w:rPr>
            </w:pPr>
            <w:r>
              <w:rPr>
                <w:rFonts w:ascii="仿宋_GB2312" w:hAnsi="新宋体" w:eastAsia="仿宋_GB2312" w:cs="仿宋_GB2312"/>
                <w:kern w:val="0"/>
                <w:szCs w:val="21"/>
              </w:rPr>
              <w:t>4.符合部门预算批复的用途；</w:t>
            </w:r>
          </w:p>
          <w:p>
            <w:pPr>
              <w:widowControl/>
              <w:spacing w:line="240" w:lineRule="exact"/>
              <w:ind w:firstLine="420" w:firstLineChars="200"/>
              <w:jc w:val="left"/>
              <w:rPr>
                <w:szCs w:val="21"/>
              </w:rPr>
            </w:pPr>
            <w:r>
              <w:rPr>
                <w:rFonts w:ascii="仿宋_GB2312" w:hAnsi="新宋体" w:eastAsia="仿宋_GB2312" w:cs="仿宋_GB2312"/>
                <w:kern w:val="0"/>
                <w:szCs w:val="21"/>
              </w:rPr>
              <w:t>5.不存在截留情况；</w:t>
            </w:r>
          </w:p>
          <w:p>
            <w:pPr>
              <w:widowControl/>
              <w:spacing w:line="240" w:lineRule="exact"/>
              <w:ind w:firstLine="420" w:firstLineChars="200"/>
              <w:jc w:val="left"/>
              <w:rPr>
                <w:szCs w:val="21"/>
              </w:rPr>
            </w:pPr>
            <w:r>
              <w:rPr>
                <w:rFonts w:ascii="仿宋_GB2312" w:hAnsi="新宋体" w:eastAsia="仿宋_GB2312" w:cs="仿宋_GB2312"/>
                <w:kern w:val="0"/>
                <w:szCs w:val="21"/>
              </w:rPr>
              <w:t>6.不存在挤占情况；</w:t>
            </w:r>
          </w:p>
          <w:p>
            <w:pPr>
              <w:widowControl/>
              <w:spacing w:line="240" w:lineRule="exact"/>
              <w:ind w:firstLine="420" w:firstLineChars="200"/>
              <w:jc w:val="left"/>
              <w:rPr>
                <w:szCs w:val="21"/>
              </w:rPr>
            </w:pPr>
            <w:r>
              <w:rPr>
                <w:rFonts w:ascii="仿宋_GB2312" w:hAnsi="新宋体" w:eastAsia="仿宋_GB2312" w:cs="仿宋_GB2312"/>
                <w:kern w:val="0"/>
                <w:szCs w:val="21"/>
              </w:rPr>
              <w:t>7.不存在挪用情况；</w:t>
            </w:r>
          </w:p>
          <w:p>
            <w:pPr>
              <w:widowControl/>
              <w:spacing w:line="240" w:lineRule="exact"/>
              <w:ind w:firstLine="420" w:firstLineChars="200"/>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全部符合（8）；</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符合其中七项（6）；</w:t>
            </w:r>
          </w:p>
          <w:p>
            <w:pPr>
              <w:widowControl/>
              <w:spacing w:line="240" w:lineRule="exact"/>
              <w:ind w:firstLine="420" w:firstLineChars="200"/>
              <w:jc w:val="left"/>
              <w:rPr>
                <w:szCs w:val="21"/>
              </w:rPr>
            </w:pPr>
            <w:r>
              <w:rPr>
                <w:rFonts w:ascii="仿宋_GB2312" w:hAnsi="新宋体" w:eastAsia="仿宋_GB2312" w:cs="仿宋_GB2312"/>
                <w:kern w:val="0"/>
                <w:szCs w:val="21"/>
              </w:rPr>
              <w:t>符合其中六项（4）；</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符合其中五项（2）；</w:t>
            </w:r>
          </w:p>
          <w:p>
            <w:pPr>
              <w:widowControl/>
              <w:spacing w:line="240" w:lineRule="exact"/>
              <w:ind w:firstLine="420" w:firstLineChars="200"/>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ind w:firstLine="420" w:firstLineChars="200"/>
              <w:jc w:val="left"/>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1.公开预决算信息；</w:t>
            </w:r>
          </w:p>
          <w:p>
            <w:pPr>
              <w:widowControl/>
              <w:spacing w:line="240" w:lineRule="exact"/>
              <w:ind w:firstLine="420" w:firstLineChars="200"/>
              <w:jc w:val="left"/>
              <w:rPr>
                <w:szCs w:val="21"/>
              </w:rPr>
            </w:pPr>
            <w:r>
              <w:rPr>
                <w:rFonts w:ascii="仿宋_GB2312" w:hAnsi="新宋体" w:eastAsia="仿宋_GB2312" w:cs="仿宋_GB2312"/>
                <w:kern w:val="0"/>
                <w:szCs w:val="21"/>
              </w:rPr>
              <w:t>2.按规定内容公开预决算信息；</w:t>
            </w:r>
          </w:p>
          <w:p>
            <w:pPr>
              <w:widowControl/>
              <w:spacing w:line="240" w:lineRule="exact"/>
              <w:ind w:firstLine="420" w:firstLineChars="200"/>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全部符合（3）；</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符合其中两项（2）</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1.基本财务管理制度健全；</w:t>
            </w:r>
          </w:p>
          <w:p>
            <w:pPr>
              <w:widowControl/>
              <w:spacing w:line="240" w:lineRule="exact"/>
              <w:ind w:firstLine="420" w:firstLineChars="200"/>
              <w:jc w:val="left"/>
              <w:rPr>
                <w:szCs w:val="21"/>
              </w:rPr>
            </w:pPr>
            <w:r>
              <w:rPr>
                <w:rFonts w:ascii="仿宋_GB2312" w:hAnsi="新宋体" w:eastAsia="仿宋_GB2312" w:cs="仿宋_GB2312"/>
                <w:kern w:val="0"/>
                <w:szCs w:val="21"/>
              </w:rPr>
              <w:t>2.基础数据信息和会计信息资料真实；</w:t>
            </w:r>
          </w:p>
          <w:p>
            <w:pPr>
              <w:widowControl/>
              <w:spacing w:line="240" w:lineRule="exact"/>
              <w:ind w:firstLine="420" w:firstLineChars="200"/>
              <w:jc w:val="left"/>
              <w:rPr>
                <w:szCs w:val="21"/>
              </w:rPr>
            </w:pPr>
            <w:r>
              <w:rPr>
                <w:rFonts w:ascii="仿宋_GB2312" w:hAnsi="新宋体" w:eastAsia="仿宋_GB2312" w:cs="仿宋_GB2312"/>
                <w:kern w:val="0"/>
                <w:szCs w:val="21"/>
              </w:rPr>
              <w:t>3.基础数据信息和会计信息资料完整；</w:t>
            </w:r>
          </w:p>
          <w:p>
            <w:pPr>
              <w:widowControl/>
              <w:spacing w:line="240" w:lineRule="exact"/>
              <w:ind w:firstLine="420" w:firstLineChars="200"/>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符合全部四项（4）；</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符合其中三项（2）；</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符合其中两项（1）；</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1.资产保存完整；</w:t>
            </w:r>
          </w:p>
          <w:p>
            <w:pPr>
              <w:widowControl/>
              <w:spacing w:line="240" w:lineRule="exact"/>
              <w:ind w:firstLine="420" w:firstLineChars="200"/>
              <w:jc w:val="left"/>
              <w:rPr>
                <w:szCs w:val="21"/>
              </w:rPr>
            </w:pPr>
            <w:r>
              <w:rPr>
                <w:rFonts w:ascii="仿宋_GB2312" w:hAnsi="新宋体" w:eastAsia="仿宋_GB2312" w:cs="仿宋_GB2312"/>
                <w:kern w:val="0"/>
                <w:szCs w:val="21"/>
              </w:rPr>
              <w:t>2.资产账务管理是否合规，帐实相符；</w:t>
            </w:r>
          </w:p>
          <w:p>
            <w:pPr>
              <w:widowControl/>
              <w:spacing w:line="240" w:lineRule="exact"/>
              <w:ind w:firstLine="420" w:firstLineChars="200"/>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符合全部三项（3）；</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符合其中两项（2）；</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ind w:firstLine="420" w:firstLineChars="200"/>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1.每项任务是否已制定了明确、具体、可量化、可衡量的绩效指标；</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ind w:firstLine="420" w:firstLineChars="200"/>
              <w:jc w:val="left"/>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3.项目质量达标率在99%-100%之间的，在0和满分之间计算确定：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p>
            <w:pPr>
              <w:widowControl/>
              <w:spacing w:line="240" w:lineRule="exact"/>
              <w:ind w:firstLine="420" w:firstLineChars="200"/>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ind w:firstLine="420" w:firstLineChars="200"/>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1.通过部门所属企事业单位改革，促进了企事业单位效益增长情况；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1.通过部门所属企事业单位的改革，促进了企事业单位可持续发展，带动就业增长情况；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widowControl/>
              <w:spacing w:line="240" w:lineRule="exact"/>
              <w:ind w:firstLine="420" w:firstLineChars="200"/>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ind w:firstLine="420" w:firstLineChars="200"/>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bl>
    <w:p>
      <w:pPr>
        <w:spacing w:line="240" w:lineRule="exact"/>
        <w:ind w:firstLine="640" w:firstLineChars="200"/>
        <w:rPr>
          <w:rFonts w:ascii="仿宋" w:hAnsi="仿宋" w:eastAsia="仿宋" w:cs="仿宋"/>
          <w:sz w:val="32"/>
          <w:szCs w:val="32"/>
        </w:rPr>
      </w:pPr>
    </w:p>
    <w:p>
      <w:pPr>
        <w:spacing w:line="240" w:lineRule="exact"/>
        <w:ind w:firstLine="640" w:firstLineChars="200"/>
        <w:rPr>
          <w:rFonts w:ascii="仿宋" w:hAnsi="仿宋" w:eastAsia="仿宋" w:cs="仿宋"/>
          <w:sz w:val="32"/>
          <w:szCs w:val="32"/>
        </w:rPr>
      </w:pPr>
    </w:p>
    <w:p>
      <w:pPr>
        <w:spacing w:line="240" w:lineRule="exact"/>
        <w:ind w:firstLine="640" w:firstLineChars="200"/>
        <w:rPr>
          <w:rFonts w:ascii="仿宋" w:hAnsi="仿宋" w:eastAsia="仿宋" w:cs="仿宋"/>
          <w:sz w:val="32"/>
          <w:szCs w:val="32"/>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spacing w:line="500" w:lineRule="exact"/>
        <w:rPr>
          <w:rFonts w:ascii="仿宋" w:hAnsi="仿宋" w:eastAsia="仿宋" w:cs="仿宋"/>
          <w:b/>
          <w:bCs/>
          <w:sz w:val="28"/>
          <w:szCs w:val="28"/>
        </w:rPr>
      </w:pPr>
      <w:r>
        <w:rPr>
          <w:rFonts w:hint="eastAsia" w:ascii="仿宋" w:hAnsi="仿宋" w:eastAsia="仿宋" w:cs="仿宋"/>
          <w:b/>
          <w:bCs/>
          <w:sz w:val="28"/>
          <w:szCs w:val="28"/>
        </w:rPr>
        <w:t>部门整体支出绩效评价报告主要内容包括：</w:t>
      </w: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一、基本概况。</w:t>
      </w: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1、部门主要职责职能</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平乡县第</w:t>
      </w:r>
      <w:r>
        <w:rPr>
          <w:rFonts w:hint="eastAsia" w:ascii="仿宋" w:hAnsi="仿宋" w:eastAsia="仿宋" w:cs="仿宋"/>
          <w:color w:val="auto"/>
          <w:kern w:val="2"/>
          <w:sz w:val="28"/>
          <w:szCs w:val="28"/>
          <w:lang w:eastAsia="zh-CN"/>
        </w:rPr>
        <w:t>五</w:t>
      </w:r>
      <w:r>
        <w:rPr>
          <w:rFonts w:ascii="仿宋" w:hAnsi="仿宋" w:eastAsia="仿宋" w:cs="仿宋"/>
          <w:color w:val="auto"/>
          <w:kern w:val="2"/>
          <w:sz w:val="28"/>
          <w:szCs w:val="28"/>
          <w:lang w:eastAsia="zh-CN"/>
        </w:rPr>
        <w:t>中学隶属于平乡县教育局</w:t>
      </w:r>
      <w:r>
        <w:rPr>
          <w:rFonts w:hint="eastAsia" w:ascii="仿宋" w:hAnsi="仿宋" w:eastAsia="仿宋" w:cs="仿宋"/>
          <w:color w:val="auto"/>
          <w:kern w:val="2"/>
          <w:sz w:val="28"/>
          <w:szCs w:val="28"/>
          <w:lang w:eastAsia="zh-CN"/>
        </w:rPr>
        <w:t>，</w:t>
      </w:r>
      <w:r>
        <w:rPr>
          <w:rFonts w:ascii="仿宋" w:hAnsi="仿宋" w:eastAsia="仿宋" w:cs="仿宋"/>
          <w:color w:val="auto"/>
          <w:kern w:val="2"/>
          <w:sz w:val="28"/>
          <w:szCs w:val="28"/>
          <w:lang w:eastAsia="zh-CN"/>
        </w:rPr>
        <w:t>是一所全额拨款事业单位</w:t>
      </w:r>
      <w:r>
        <w:rPr>
          <w:rFonts w:hint="eastAsia" w:ascii="仿宋" w:hAnsi="仿宋" w:eastAsia="仿宋" w:cs="仿宋"/>
          <w:color w:val="auto"/>
          <w:kern w:val="2"/>
          <w:sz w:val="28"/>
          <w:szCs w:val="28"/>
          <w:lang w:eastAsia="zh-CN"/>
        </w:rPr>
        <w:t>，主要职责</w:t>
      </w:r>
      <w:r>
        <w:rPr>
          <w:rFonts w:ascii="仿宋" w:hAnsi="仿宋" w:eastAsia="仿宋" w:cs="仿宋"/>
          <w:color w:val="auto"/>
          <w:kern w:val="2"/>
          <w:sz w:val="28"/>
          <w:szCs w:val="28"/>
          <w:lang w:eastAsia="zh-CN"/>
        </w:rPr>
        <w:t>是实施初中义务教育</w:t>
      </w:r>
      <w:r>
        <w:rPr>
          <w:rFonts w:hint="eastAsia" w:ascii="仿宋" w:hAnsi="仿宋" w:eastAsia="仿宋" w:cs="仿宋"/>
          <w:color w:val="auto"/>
          <w:kern w:val="2"/>
          <w:sz w:val="28"/>
          <w:szCs w:val="28"/>
          <w:lang w:eastAsia="zh-CN"/>
        </w:rPr>
        <w:t>，</w:t>
      </w:r>
      <w:r>
        <w:rPr>
          <w:rFonts w:ascii="仿宋" w:hAnsi="仿宋" w:eastAsia="仿宋" w:cs="仿宋"/>
          <w:color w:val="auto"/>
          <w:kern w:val="2"/>
          <w:sz w:val="28"/>
          <w:szCs w:val="28"/>
          <w:lang w:eastAsia="zh-CN"/>
        </w:rPr>
        <w:t>促进基础教育发展</w:t>
      </w:r>
      <w:r>
        <w:rPr>
          <w:rFonts w:hint="eastAsia" w:ascii="仿宋" w:hAnsi="仿宋" w:eastAsia="仿宋" w:cs="仿宋"/>
          <w:color w:val="auto"/>
          <w:kern w:val="2"/>
          <w:sz w:val="28"/>
          <w:szCs w:val="28"/>
          <w:lang w:eastAsia="zh-CN"/>
        </w:rPr>
        <w:t>，</w:t>
      </w:r>
      <w:r>
        <w:rPr>
          <w:rFonts w:ascii="仿宋" w:hAnsi="仿宋" w:eastAsia="仿宋" w:cs="仿宋"/>
          <w:color w:val="auto"/>
          <w:kern w:val="2"/>
          <w:sz w:val="28"/>
          <w:szCs w:val="28"/>
          <w:lang w:eastAsia="zh-CN"/>
        </w:rPr>
        <w:t>初中学历教育</w:t>
      </w:r>
      <w:r>
        <w:rPr>
          <w:rFonts w:hint="eastAsia" w:ascii="仿宋" w:hAnsi="仿宋" w:eastAsia="仿宋" w:cs="仿宋"/>
          <w:color w:val="auto"/>
          <w:kern w:val="2"/>
          <w:sz w:val="28"/>
          <w:szCs w:val="28"/>
          <w:lang w:eastAsia="zh-CN"/>
        </w:rPr>
        <w:t>。</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（一）贯彻落实党和国家教育工作的方针、政策和法律法规。</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（二）负责学校教育统筹规划和协调管理，</w:t>
      </w:r>
      <w:r>
        <w:rPr>
          <w:rFonts w:hint="eastAsia" w:ascii="仿宋" w:hAnsi="仿宋" w:eastAsia="仿宋" w:cs="仿宋"/>
          <w:color w:val="auto"/>
          <w:kern w:val="2"/>
          <w:sz w:val="28"/>
          <w:szCs w:val="28"/>
          <w:lang w:eastAsia="zh-CN"/>
        </w:rPr>
        <w:t>落实</w:t>
      </w:r>
      <w:r>
        <w:rPr>
          <w:rFonts w:ascii="仿宋" w:hAnsi="仿宋" w:eastAsia="仿宋" w:cs="仿宋"/>
          <w:color w:val="auto"/>
          <w:kern w:val="2"/>
          <w:sz w:val="28"/>
          <w:szCs w:val="28"/>
          <w:lang w:eastAsia="zh-CN"/>
        </w:rPr>
        <w:t>教育教学改革。</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（三）综合管理教师队伍建设的中长期规划及教师培养、培训的政策、规划制定和组织实施工作；负责推进义务教育均衡发展和促进教育公平。</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（四）负责推进教育教学改革和科研工作；全面实施素质教育，提高教学质量和水平。</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（五）负责管理本部门教育经费和服从领导部门对经费</w:t>
      </w:r>
      <w:r>
        <w:rPr>
          <w:rFonts w:hint="eastAsia" w:ascii="仿宋" w:hAnsi="仿宋" w:eastAsia="仿宋" w:cs="仿宋"/>
          <w:color w:val="auto"/>
          <w:kern w:val="2"/>
          <w:sz w:val="28"/>
          <w:szCs w:val="28"/>
          <w:lang w:eastAsia="zh-CN"/>
        </w:rPr>
        <w:t>的</w:t>
      </w:r>
      <w:r>
        <w:rPr>
          <w:rFonts w:ascii="仿宋" w:hAnsi="仿宋" w:eastAsia="仿宋" w:cs="仿宋"/>
          <w:color w:val="auto"/>
          <w:kern w:val="2"/>
          <w:sz w:val="28"/>
          <w:szCs w:val="28"/>
          <w:lang w:eastAsia="zh-CN"/>
        </w:rPr>
        <w:t>使用</w:t>
      </w:r>
      <w:r>
        <w:rPr>
          <w:rFonts w:hint="eastAsia" w:ascii="仿宋" w:hAnsi="仿宋" w:eastAsia="仿宋" w:cs="仿宋"/>
          <w:color w:val="auto"/>
          <w:kern w:val="2"/>
          <w:sz w:val="28"/>
          <w:szCs w:val="28"/>
          <w:lang w:eastAsia="zh-CN"/>
        </w:rPr>
        <w:t>和</w:t>
      </w:r>
      <w:r>
        <w:rPr>
          <w:rFonts w:ascii="仿宋" w:hAnsi="仿宋" w:eastAsia="仿宋" w:cs="仿宋"/>
          <w:color w:val="auto"/>
          <w:kern w:val="2"/>
          <w:sz w:val="28"/>
          <w:szCs w:val="28"/>
          <w:lang w:eastAsia="zh-CN"/>
        </w:rPr>
        <w:t>监督；实施对家庭困难学生的资助工作。</w:t>
      </w:r>
    </w:p>
    <w:p>
      <w:pPr>
        <w:spacing w:line="50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2、部门履职总体目标</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20</w:t>
      </w:r>
      <w:r>
        <w:rPr>
          <w:rFonts w:hint="eastAsia" w:ascii="仿宋" w:hAnsi="仿宋" w:eastAsia="仿宋" w:cs="仿宋"/>
          <w:sz w:val="28"/>
          <w:szCs w:val="28"/>
        </w:rPr>
        <w:t>20</w:t>
      </w:r>
      <w:r>
        <w:rPr>
          <w:rFonts w:ascii="仿宋" w:hAnsi="仿宋" w:eastAsia="仿宋" w:cs="仿宋"/>
          <w:sz w:val="28"/>
          <w:szCs w:val="28"/>
        </w:rPr>
        <w:t>年，</w:t>
      </w:r>
      <w:r>
        <w:rPr>
          <w:rFonts w:hint="eastAsia" w:ascii="仿宋" w:hAnsi="仿宋" w:eastAsia="仿宋" w:cs="仿宋"/>
          <w:sz w:val="28"/>
          <w:szCs w:val="28"/>
        </w:rPr>
        <w:t>学校</w:t>
      </w:r>
      <w:r>
        <w:rPr>
          <w:rFonts w:ascii="仿宋" w:hAnsi="仿宋" w:eastAsia="仿宋" w:cs="仿宋"/>
          <w:sz w:val="28"/>
          <w:szCs w:val="28"/>
        </w:rPr>
        <w:t>全面贯彻十九大精神和省、市、县重大决策部署，以习近平新时代中国特色社会主义思想为指导，贯彻党的教育方针，落实“立德树人”根本任务，纵深推进教育改革，提升教育品质，办好人民满意的教育。</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一</w:t>
      </w:r>
      <w:r>
        <w:rPr>
          <w:rFonts w:hint="eastAsia" w:ascii="仿宋" w:hAnsi="仿宋" w:eastAsia="仿宋" w:cs="仿宋"/>
          <w:sz w:val="28"/>
          <w:szCs w:val="28"/>
        </w:rPr>
        <w:t>）</w:t>
      </w:r>
      <w:r>
        <w:rPr>
          <w:rFonts w:ascii="仿宋" w:hAnsi="仿宋" w:eastAsia="仿宋" w:cs="仿宋"/>
          <w:sz w:val="28"/>
          <w:szCs w:val="28"/>
        </w:rPr>
        <w:t>、着力加强党的领导，</w:t>
      </w:r>
      <w:r>
        <w:rPr>
          <w:rFonts w:hint="eastAsia" w:ascii="仿宋" w:hAnsi="仿宋" w:eastAsia="仿宋" w:cs="仿宋"/>
          <w:sz w:val="28"/>
          <w:szCs w:val="28"/>
        </w:rPr>
        <w:t>做好</w:t>
      </w:r>
      <w:r>
        <w:rPr>
          <w:rFonts w:ascii="仿宋" w:hAnsi="仿宋" w:eastAsia="仿宋" w:cs="仿宋"/>
          <w:sz w:val="28"/>
          <w:szCs w:val="28"/>
        </w:rPr>
        <w:t>学校各项工作</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1.学习、宣传、贯彻、落实党的十九大精神。通过系列活动和“不忘初心</w:t>
      </w:r>
      <w:r>
        <w:rPr>
          <w:rFonts w:hint="eastAsia" w:ascii="仿宋" w:hAnsi="仿宋" w:eastAsia="仿宋" w:cs="仿宋"/>
          <w:sz w:val="28"/>
          <w:szCs w:val="28"/>
        </w:rPr>
        <w:t>、</w:t>
      </w:r>
      <w:r>
        <w:rPr>
          <w:rFonts w:ascii="仿宋" w:hAnsi="仿宋" w:eastAsia="仿宋" w:cs="仿宋"/>
          <w:sz w:val="28"/>
          <w:szCs w:val="28"/>
        </w:rPr>
        <w:t>牢记使命”</w:t>
      </w:r>
      <w:r>
        <w:rPr>
          <w:rFonts w:hint="eastAsia" w:ascii="仿宋" w:hAnsi="仿宋" w:eastAsia="仿宋" w:cs="仿宋"/>
          <w:sz w:val="28"/>
          <w:szCs w:val="28"/>
        </w:rPr>
        <w:t>主</w:t>
      </w:r>
      <w:r>
        <w:rPr>
          <w:rFonts w:ascii="仿宋" w:hAnsi="仿宋" w:eastAsia="仿宋" w:cs="仿宋"/>
          <w:sz w:val="28"/>
          <w:szCs w:val="28"/>
        </w:rPr>
        <w:t>题教育，广泛开展十九大精神进校园等系列活动，狠抓工作落实。</w:t>
      </w:r>
    </w:p>
    <w:p>
      <w:pPr>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2.规范党建制度建设。制定年度学习教育计划，党员每周五参加党组织举办的集中性学习活动。充分发挥基层党组织的战斗堡垒和党员的先锋模范作用，引领学校正风正气。</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二</w:t>
      </w:r>
      <w:r>
        <w:rPr>
          <w:rFonts w:hint="eastAsia" w:ascii="仿宋" w:hAnsi="仿宋" w:eastAsia="仿宋" w:cs="仿宋"/>
          <w:sz w:val="28"/>
          <w:szCs w:val="28"/>
        </w:rPr>
        <w:t>）</w:t>
      </w:r>
      <w:r>
        <w:rPr>
          <w:rFonts w:ascii="仿宋" w:hAnsi="仿宋" w:eastAsia="仿宋" w:cs="仿宋"/>
          <w:sz w:val="28"/>
          <w:szCs w:val="28"/>
        </w:rPr>
        <w:t>、深入推进教育改革，全面提高教育质量</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1.加强中小学学校管理工作。以5A级学校创建工作为主线，狠抓学校精细化管理工作。</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.严格队伍管理，加强师德师风建设，强化师资培训。</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（三）</w:t>
      </w:r>
      <w:r>
        <w:rPr>
          <w:rFonts w:ascii="仿宋" w:hAnsi="仿宋" w:eastAsia="仿宋" w:cs="仿宋"/>
          <w:sz w:val="28"/>
          <w:szCs w:val="28"/>
        </w:rPr>
        <w:t>、抓好德育管理和活动育人</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强化师德师风建设</w:t>
      </w:r>
      <w:r>
        <w:rPr>
          <w:rFonts w:hint="eastAsia" w:ascii="仿宋" w:hAnsi="仿宋" w:eastAsia="仿宋" w:cs="仿宋"/>
          <w:sz w:val="28"/>
          <w:szCs w:val="28"/>
        </w:rPr>
        <w:t>，</w:t>
      </w:r>
      <w:r>
        <w:rPr>
          <w:rFonts w:ascii="仿宋" w:hAnsi="仿宋" w:eastAsia="仿宋" w:cs="仿宋"/>
          <w:sz w:val="28"/>
          <w:szCs w:val="28"/>
        </w:rPr>
        <w:t>牢固树立“四个意识”，争做“四有”好老师。把师德表现作为年度考核、职称评审、岗位聘用、评优奖励的首要标准。</w:t>
      </w:r>
    </w:p>
    <w:p>
      <w:pPr>
        <w:pStyle w:val="17"/>
        <w:spacing w:line="500" w:lineRule="exact"/>
        <w:ind w:firstLine="562"/>
        <w:rPr>
          <w:rFonts w:ascii="仿宋" w:hAnsi="仿宋" w:eastAsia="仿宋" w:cs="仿宋"/>
          <w:b/>
          <w:sz w:val="28"/>
          <w:szCs w:val="28"/>
        </w:rPr>
      </w:pPr>
      <w:r>
        <w:rPr>
          <w:rFonts w:hint="eastAsia" w:ascii="仿宋" w:hAnsi="仿宋" w:eastAsia="仿宋" w:cs="仿宋"/>
          <w:b/>
          <w:sz w:val="28"/>
          <w:szCs w:val="28"/>
        </w:rPr>
        <w:t>3、预算资金安排及资金支出情况。</w:t>
      </w:r>
    </w:p>
    <w:p>
      <w:pPr>
        <w:pStyle w:val="17"/>
        <w:spacing w:line="500" w:lineRule="exact"/>
        <w:ind w:firstLine="560"/>
        <w:rPr>
          <w:rFonts w:ascii="仿宋" w:hAnsi="仿宋" w:eastAsia="仿宋" w:cs="仿宋"/>
          <w:sz w:val="28"/>
          <w:szCs w:val="28"/>
        </w:rPr>
      </w:pPr>
      <w:r>
        <w:rPr>
          <w:rFonts w:hint="eastAsia" w:ascii="仿宋" w:hAnsi="仿宋" w:eastAsia="仿宋" w:cs="仿宋"/>
          <w:sz w:val="28"/>
          <w:szCs w:val="28"/>
        </w:rPr>
        <w:t>2020年教育预算资金安排共计994.586万元，其中人员经费835.986万元，日常公用经费158.6万元。</w:t>
      </w:r>
    </w:p>
    <w:p>
      <w:pPr>
        <w:spacing w:line="500" w:lineRule="exact"/>
        <w:ind w:left="643"/>
        <w:rPr>
          <w:rFonts w:ascii="仿宋" w:hAnsi="仿宋" w:eastAsia="仿宋" w:cs="仿宋"/>
          <w:sz w:val="28"/>
          <w:szCs w:val="28"/>
        </w:rPr>
      </w:pPr>
      <w:r>
        <w:rPr>
          <w:rFonts w:hint="eastAsia" w:ascii="仿宋" w:hAnsi="仿宋" w:eastAsia="仿宋" w:cs="仿宋"/>
          <w:b/>
          <w:sz w:val="28"/>
          <w:szCs w:val="28"/>
        </w:rPr>
        <w:t>二、预算绩效管理开展及整体绩效实现情况。</w:t>
      </w:r>
    </w:p>
    <w:p>
      <w:pPr>
        <w:pStyle w:val="7"/>
        <w:shd w:val="clear" w:color="auto" w:fill="FFFFFF"/>
        <w:spacing w:before="0" w:beforeAutospacing="0" w:after="0" w:afterAutospacing="0" w:line="50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本单位严格按照相关规定，厉行节俭，强化资金合理利用，按期保质完成预决算编制。当年收入支出预算执行情况良好，完成学校发展总体目标任务。</w:t>
      </w:r>
    </w:p>
    <w:p>
      <w:pPr>
        <w:pStyle w:val="7"/>
        <w:shd w:val="clear" w:color="auto" w:fill="FFFFFF"/>
        <w:spacing w:before="0" w:beforeAutospacing="0" w:after="0" w:afterAutospacing="0" w:line="50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2020年，财政资金绩效覆盖率指标已纳入政府效能考核指标体系中，财政资金绩效覆盖率指标占各预算部门绩效考核分值权重为5分。在该体系中，按要求及时编报项目资金预算绩效目标、按季度开展绩效运行监控、按要求制定项目资金预算绩效评价等具体的评分标准，形成以政府重视、财政牵头、部门实施的良好的工作联动机制。</w:t>
      </w:r>
    </w:p>
    <w:p>
      <w:pPr>
        <w:spacing w:line="500" w:lineRule="exact"/>
        <w:ind w:left="643"/>
        <w:rPr>
          <w:rFonts w:ascii="仿宋" w:hAnsi="仿宋" w:eastAsia="仿宋" w:cs="仿宋"/>
          <w:b/>
          <w:sz w:val="28"/>
          <w:szCs w:val="28"/>
        </w:rPr>
      </w:pPr>
      <w:r>
        <w:rPr>
          <w:rFonts w:hint="eastAsia" w:ascii="仿宋" w:hAnsi="仿宋" w:eastAsia="仿宋" w:cs="仿宋"/>
          <w:b/>
          <w:sz w:val="28"/>
          <w:szCs w:val="28"/>
        </w:rPr>
        <w:t>三、绩效评价的组织实施情况。</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我校对2020年绩效目标管理的项目开展绩效自评工作。绩效自评的流程包括部门制定工作方案，填报项目自评表以及撰写绩效评价报告。</w:t>
      </w:r>
    </w:p>
    <w:p>
      <w:pPr>
        <w:spacing w:line="500" w:lineRule="exact"/>
        <w:ind w:left="640"/>
        <w:rPr>
          <w:rFonts w:ascii="仿宋" w:hAnsi="仿宋" w:eastAsia="仿宋" w:cs="仿宋"/>
          <w:b/>
          <w:sz w:val="28"/>
          <w:szCs w:val="28"/>
        </w:rPr>
      </w:pPr>
      <w:r>
        <w:rPr>
          <w:rFonts w:hint="eastAsia" w:ascii="仿宋" w:hAnsi="仿宋" w:eastAsia="仿宋" w:cs="仿宋"/>
          <w:b/>
          <w:sz w:val="28"/>
          <w:szCs w:val="28"/>
        </w:rPr>
        <w:t>四、各项绩效目标的实现程度及差异性原因分析。</w:t>
      </w:r>
    </w:p>
    <w:p>
      <w:pPr>
        <w:spacing w:line="500" w:lineRule="exact"/>
        <w:ind w:firstLine="560" w:firstLineChars="200"/>
        <w:rPr>
          <w:rFonts w:ascii="仿宋" w:hAnsi="仿宋" w:eastAsia="仿宋" w:cs="仿宋"/>
          <w:b/>
          <w:sz w:val="28"/>
          <w:szCs w:val="28"/>
          <w:highlight w:val="yellow"/>
        </w:rPr>
      </w:pPr>
      <w:r>
        <w:rPr>
          <w:rFonts w:hint="eastAsia" w:ascii="仿宋" w:hAnsi="仿宋" w:eastAsia="仿宋" w:cs="仿宋"/>
          <w:sz w:val="28"/>
          <w:szCs w:val="28"/>
        </w:rPr>
        <w:t>各项绩效目标基本实现。</w:t>
      </w:r>
    </w:p>
    <w:p>
      <w:pPr>
        <w:spacing w:line="500" w:lineRule="exact"/>
        <w:ind w:left="643"/>
        <w:rPr>
          <w:rFonts w:ascii="仿宋" w:hAnsi="仿宋" w:eastAsia="仿宋" w:cs="仿宋"/>
          <w:b/>
          <w:sz w:val="28"/>
          <w:szCs w:val="28"/>
        </w:rPr>
      </w:pPr>
      <w:r>
        <w:rPr>
          <w:rFonts w:hint="eastAsia" w:ascii="仿宋" w:hAnsi="仿宋" w:eastAsia="仿宋" w:cs="仿宋"/>
          <w:b/>
          <w:sz w:val="28"/>
          <w:szCs w:val="28"/>
        </w:rPr>
        <w:t>五、存在问题、采取的纠偏措施及改进绩效管理建议。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需相关业务处室将全年工作任务细化分解为具体的工作目标，并尽量采取定量的方式制定清晰、可衡量的绩效指标，提高项目使用经济功能精确度。</w:t>
      </w:r>
    </w:p>
    <w:p>
      <w:pPr>
        <w:spacing w:line="500" w:lineRule="exact"/>
        <w:ind w:left="643"/>
        <w:rPr>
          <w:rFonts w:ascii="仿宋" w:hAnsi="仿宋" w:eastAsia="仿宋" w:cs="仿宋"/>
          <w:b/>
          <w:sz w:val="28"/>
          <w:szCs w:val="28"/>
        </w:rPr>
      </w:pPr>
      <w:r>
        <w:rPr>
          <w:rFonts w:hint="eastAsia" w:ascii="仿宋" w:hAnsi="仿宋" w:eastAsia="仿宋" w:cs="仿宋"/>
          <w:b/>
          <w:sz w:val="28"/>
          <w:szCs w:val="28"/>
        </w:rPr>
        <w:t>六、其他需要说明的问题。</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无</w:t>
      </w:r>
    </w:p>
    <w:sectPr>
      <w:footerReference r:id="rId3" w:type="default"/>
      <w:footerReference r:id="rId4" w:type="even"/>
      <w:pgSz w:w="11906" w:h="16838"/>
      <w:pgMar w:top="1985" w:right="1418" w:bottom="1560" w:left="1418" w:header="851" w:footer="1032"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7</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34B8"/>
    <w:rsid w:val="000E4A5A"/>
    <w:rsid w:val="00100344"/>
    <w:rsid w:val="00103547"/>
    <w:rsid w:val="00145BF9"/>
    <w:rsid w:val="0017068B"/>
    <w:rsid w:val="00185A3C"/>
    <w:rsid w:val="00192D5A"/>
    <w:rsid w:val="00194AD1"/>
    <w:rsid w:val="001C59B3"/>
    <w:rsid w:val="001E0886"/>
    <w:rsid w:val="001F7E31"/>
    <w:rsid w:val="002071BC"/>
    <w:rsid w:val="00225AE6"/>
    <w:rsid w:val="00235F0F"/>
    <w:rsid w:val="00255783"/>
    <w:rsid w:val="002745A1"/>
    <w:rsid w:val="00290BA1"/>
    <w:rsid w:val="002A6AEA"/>
    <w:rsid w:val="002F2268"/>
    <w:rsid w:val="00322CAB"/>
    <w:rsid w:val="003711DF"/>
    <w:rsid w:val="003C50C2"/>
    <w:rsid w:val="0041099F"/>
    <w:rsid w:val="00436A1D"/>
    <w:rsid w:val="004379D7"/>
    <w:rsid w:val="004A68B1"/>
    <w:rsid w:val="004B0686"/>
    <w:rsid w:val="004B403E"/>
    <w:rsid w:val="004B64F3"/>
    <w:rsid w:val="004E3B64"/>
    <w:rsid w:val="004F7327"/>
    <w:rsid w:val="004F7846"/>
    <w:rsid w:val="005020C5"/>
    <w:rsid w:val="00525A32"/>
    <w:rsid w:val="00567FE6"/>
    <w:rsid w:val="0058162A"/>
    <w:rsid w:val="005A761C"/>
    <w:rsid w:val="005B3616"/>
    <w:rsid w:val="005E12FA"/>
    <w:rsid w:val="00683167"/>
    <w:rsid w:val="006A5056"/>
    <w:rsid w:val="006E64C9"/>
    <w:rsid w:val="007048FF"/>
    <w:rsid w:val="00712100"/>
    <w:rsid w:val="0071700D"/>
    <w:rsid w:val="00742652"/>
    <w:rsid w:val="00764955"/>
    <w:rsid w:val="00772600"/>
    <w:rsid w:val="007B35B1"/>
    <w:rsid w:val="007B4CB0"/>
    <w:rsid w:val="007D5D41"/>
    <w:rsid w:val="007F01F9"/>
    <w:rsid w:val="0080149E"/>
    <w:rsid w:val="00856BA1"/>
    <w:rsid w:val="00865236"/>
    <w:rsid w:val="00867620"/>
    <w:rsid w:val="008709E0"/>
    <w:rsid w:val="008A6A10"/>
    <w:rsid w:val="008A6A31"/>
    <w:rsid w:val="00904AF4"/>
    <w:rsid w:val="00905542"/>
    <w:rsid w:val="00917700"/>
    <w:rsid w:val="00956F74"/>
    <w:rsid w:val="009640D2"/>
    <w:rsid w:val="00964ECB"/>
    <w:rsid w:val="009B0B5F"/>
    <w:rsid w:val="009B7F2F"/>
    <w:rsid w:val="009C04DA"/>
    <w:rsid w:val="009C4C62"/>
    <w:rsid w:val="009E3627"/>
    <w:rsid w:val="009F53E7"/>
    <w:rsid w:val="00A11BF8"/>
    <w:rsid w:val="00A14A33"/>
    <w:rsid w:val="00A23E19"/>
    <w:rsid w:val="00A463E6"/>
    <w:rsid w:val="00A62394"/>
    <w:rsid w:val="00A62FDB"/>
    <w:rsid w:val="00A6449D"/>
    <w:rsid w:val="00A768DB"/>
    <w:rsid w:val="00AA09C8"/>
    <w:rsid w:val="00AA7EF6"/>
    <w:rsid w:val="00AD5F30"/>
    <w:rsid w:val="00AE3EE6"/>
    <w:rsid w:val="00AE7819"/>
    <w:rsid w:val="00AF1D99"/>
    <w:rsid w:val="00B0681D"/>
    <w:rsid w:val="00B17F16"/>
    <w:rsid w:val="00B31479"/>
    <w:rsid w:val="00B4371D"/>
    <w:rsid w:val="00B9023F"/>
    <w:rsid w:val="00BC1FDC"/>
    <w:rsid w:val="00BD0FD8"/>
    <w:rsid w:val="00C44804"/>
    <w:rsid w:val="00C61804"/>
    <w:rsid w:val="00C6362A"/>
    <w:rsid w:val="00C81363"/>
    <w:rsid w:val="00CB27A5"/>
    <w:rsid w:val="00CC2C2C"/>
    <w:rsid w:val="00CD55ED"/>
    <w:rsid w:val="00CD63C0"/>
    <w:rsid w:val="00CE62A0"/>
    <w:rsid w:val="00CF7E02"/>
    <w:rsid w:val="00D21F0C"/>
    <w:rsid w:val="00D366C1"/>
    <w:rsid w:val="00D877F7"/>
    <w:rsid w:val="00DB2D43"/>
    <w:rsid w:val="00E15D32"/>
    <w:rsid w:val="00E25D40"/>
    <w:rsid w:val="00E266F1"/>
    <w:rsid w:val="00E33E94"/>
    <w:rsid w:val="00E56530"/>
    <w:rsid w:val="00E91A8E"/>
    <w:rsid w:val="00E974BC"/>
    <w:rsid w:val="00EB16A8"/>
    <w:rsid w:val="00EB25EC"/>
    <w:rsid w:val="00EC7904"/>
    <w:rsid w:val="00EF355E"/>
    <w:rsid w:val="00F47A94"/>
    <w:rsid w:val="00F57FC7"/>
    <w:rsid w:val="00F72E93"/>
    <w:rsid w:val="00F87A11"/>
    <w:rsid w:val="00FA0851"/>
    <w:rsid w:val="00FB7E01"/>
    <w:rsid w:val="00FE5F4C"/>
    <w:rsid w:val="00FE70F7"/>
    <w:rsid w:val="00FF39F6"/>
    <w:rsid w:val="05374814"/>
    <w:rsid w:val="0F8F6BFC"/>
    <w:rsid w:val="3791647A"/>
    <w:rsid w:val="455969D8"/>
    <w:rsid w:val="526A3656"/>
    <w:rsid w:val="5D643D56"/>
    <w:rsid w:val="646800CF"/>
    <w:rsid w:val="69BD0A47"/>
    <w:rsid w:val="71A911C9"/>
    <w:rsid w:val="7735115D"/>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styleId="17">
    <w:name w:val="List Paragraph"/>
    <w:basedOn w:val="1"/>
    <w:unhideWhenUsed/>
    <w:qFormat/>
    <w:uiPriority w:val="99"/>
    <w:pPr>
      <w:ind w:firstLine="420" w:firstLineChars="200"/>
    </w:pPr>
  </w:style>
  <w:style w:type="paragraph" w:customStyle="1" w:styleId="18">
    <w:name w:val="p05"/>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customStyle="1" w:styleId="19">
    <w:name w:val="p01"/>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1004</Words>
  <Characters>5729</Characters>
  <Lines>47</Lines>
  <Paragraphs>13</Paragraphs>
  <TotalTime>183</TotalTime>
  <ScaleCrop>false</ScaleCrop>
  <LinksUpToDate>false</LinksUpToDate>
  <CharactersWithSpaces>6720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2016-02-22T15:07:00Z</dcterms:created>
  <dc:creator>Administrator</dc:creator>
  <cp:lastModifiedBy>sss</cp:lastModifiedBy>
  <cp:lastPrinted>2020-04-15T10:52:00Z</cp:lastPrinted>
  <dcterms:modified xsi:type="dcterms:W3CDTF">2025-04-10T09:39:16Z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2A311D8D6EF42CDA4421F767C2CB1488</vt:lpwstr>
  </property>
</Properties>
</file>