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
          <w:kern w:val="0"/>
          <w:sz w:val="32"/>
          <w:szCs w:val="32"/>
          <w:shd w:val="clear" w:color="auto" w:fill="FFFFFF"/>
        </w:rPr>
      </w:pPr>
      <w:bookmarkStart w:id="0" w:name="_GoBack"/>
      <w:bookmarkEnd w:id="0"/>
    </w:p>
    <w:p>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职责明确</w:t>
            </w:r>
            <w:r>
              <w:rPr>
                <w:rFonts w:hint="eastAsia" w:ascii="仿宋_GB2312" w:hAnsi="新宋体" w:eastAsia="仿宋_GB2312" w:cs="仿宋_GB2312"/>
                <w:kern w:val="0"/>
                <w:szCs w:val="21"/>
              </w:rPr>
              <w:t xml:space="preserve"> </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符合（1）；</w:t>
            </w:r>
          </w:p>
          <w:p>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center"/>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center"/>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center"/>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rPr>
              <w:t>3.项目的重大开支经过评估论证；</w:t>
            </w:r>
          </w:p>
          <w:p>
            <w:pPr>
              <w:widowControl/>
              <w:spacing w:line="240" w:lineRule="exact"/>
              <w:jc w:val="left"/>
              <w:rPr>
                <w:szCs w:val="21"/>
              </w:rPr>
            </w:pPr>
            <w:r>
              <w:rPr>
                <w:rFonts w:ascii="仿宋_GB2312" w:hAnsi="新宋体" w:eastAsia="仿宋_GB2312" w:cs="仿宋_GB2312"/>
                <w:kern w:val="0"/>
                <w:szCs w:val="21"/>
              </w:rPr>
              <w:t>4.符合部门预算批复的用途；</w:t>
            </w:r>
          </w:p>
          <w:p>
            <w:pPr>
              <w:widowControl/>
              <w:spacing w:line="240" w:lineRule="exact"/>
              <w:jc w:val="left"/>
              <w:rPr>
                <w:szCs w:val="21"/>
              </w:rPr>
            </w:pPr>
            <w:r>
              <w:rPr>
                <w:rFonts w:ascii="仿宋_GB2312" w:hAnsi="新宋体" w:eastAsia="仿宋_GB2312" w:cs="仿宋_GB2312"/>
                <w:kern w:val="0"/>
                <w:szCs w:val="21"/>
              </w:rPr>
              <w:t>5.不存在截留情况；</w:t>
            </w:r>
          </w:p>
          <w:p>
            <w:pPr>
              <w:widowControl/>
              <w:spacing w:line="240" w:lineRule="exact"/>
              <w:jc w:val="left"/>
              <w:rPr>
                <w:szCs w:val="21"/>
              </w:rPr>
            </w:pPr>
            <w:r>
              <w:rPr>
                <w:rFonts w:ascii="仿宋_GB2312" w:hAnsi="新宋体" w:eastAsia="仿宋_GB2312" w:cs="仿宋_GB2312"/>
                <w:kern w:val="0"/>
                <w:szCs w:val="21"/>
              </w:rPr>
              <w:t>6.不存在挤占情况；</w:t>
            </w:r>
          </w:p>
          <w:p>
            <w:pPr>
              <w:widowControl/>
              <w:spacing w:line="240" w:lineRule="exact"/>
              <w:jc w:val="left"/>
              <w:rPr>
                <w:szCs w:val="21"/>
              </w:rPr>
            </w:pPr>
            <w:r>
              <w:rPr>
                <w:rFonts w:ascii="仿宋_GB2312" w:hAnsi="新宋体" w:eastAsia="仿宋_GB2312" w:cs="仿宋_GB2312"/>
                <w:kern w:val="0"/>
                <w:szCs w:val="21"/>
              </w:rPr>
              <w:t>7.不存在挪用情况；</w:t>
            </w:r>
          </w:p>
          <w:p>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全部符合（8）；</w:t>
            </w:r>
          </w:p>
          <w:p>
            <w:pPr>
              <w:widowControl/>
              <w:spacing w:line="240" w:lineRule="exact"/>
              <w:jc w:val="left"/>
              <w:rPr>
                <w:szCs w:val="21"/>
              </w:rPr>
            </w:pPr>
            <w:r>
              <w:rPr>
                <w:rFonts w:ascii="仿宋_GB2312" w:hAnsi="新宋体" w:eastAsia="仿宋_GB2312" w:cs="仿宋_GB2312"/>
                <w:kern w:val="0"/>
                <w:szCs w:val="21"/>
              </w:rPr>
              <w:t>符合其中七项（6）；</w:t>
            </w:r>
          </w:p>
          <w:p>
            <w:pPr>
              <w:widowControl/>
              <w:spacing w:line="240" w:lineRule="exact"/>
              <w:jc w:val="left"/>
              <w:rPr>
                <w:szCs w:val="21"/>
              </w:rPr>
            </w:pPr>
            <w:r>
              <w:rPr>
                <w:rFonts w:ascii="仿宋_GB2312" w:hAnsi="新宋体" w:eastAsia="仿宋_GB2312" w:cs="仿宋_GB2312"/>
                <w:kern w:val="0"/>
                <w:szCs w:val="21"/>
              </w:rPr>
              <w:t>符合其中六项（4）；</w:t>
            </w:r>
          </w:p>
          <w:p>
            <w:pPr>
              <w:widowControl/>
              <w:spacing w:line="240" w:lineRule="exact"/>
              <w:jc w:val="left"/>
              <w:rPr>
                <w:szCs w:val="21"/>
              </w:rPr>
            </w:pPr>
            <w:r>
              <w:rPr>
                <w:rFonts w:ascii="仿宋_GB2312" w:hAnsi="新宋体" w:eastAsia="仿宋_GB2312" w:cs="仿宋_GB2312"/>
                <w:kern w:val="0"/>
                <w:szCs w:val="21"/>
              </w:rPr>
              <w:t>符合其中五项（2）；</w:t>
            </w:r>
          </w:p>
          <w:p>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1.公开预决算信息；</w:t>
            </w:r>
          </w:p>
          <w:p>
            <w:pPr>
              <w:widowControl/>
              <w:spacing w:line="240" w:lineRule="exact"/>
              <w:jc w:val="left"/>
              <w:rPr>
                <w:szCs w:val="21"/>
              </w:rPr>
            </w:pPr>
            <w:r>
              <w:rPr>
                <w:rFonts w:ascii="仿宋_GB2312" w:hAnsi="新宋体" w:eastAsia="仿宋_GB2312" w:cs="仿宋_GB2312"/>
                <w:kern w:val="0"/>
                <w:szCs w:val="21"/>
              </w:rPr>
              <w:t>2.按规定内容公开预决算信息；</w:t>
            </w:r>
          </w:p>
          <w:p>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1.基本财务管理制度健全；</w:t>
            </w:r>
          </w:p>
          <w:p>
            <w:pPr>
              <w:widowControl/>
              <w:spacing w:line="240" w:lineRule="exact"/>
              <w:jc w:val="left"/>
              <w:rPr>
                <w:szCs w:val="21"/>
              </w:rPr>
            </w:pPr>
            <w:r>
              <w:rPr>
                <w:rFonts w:ascii="仿宋_GB2312" w:hAnsi="新宋体" w:eastAsia="仿宋_GB2312" w:cs="仿宋_GB2312"/>
                <w:kern w:val="0"/>
                <w:szCs w:val="21"/>
              </w:rPr>
              <w:t>2.基础数据信息和会计信息资料真实；</w:t>
            </w:r>
          </w:p>
          <w:p>
            <w:pPr>
              <w:widowControl/>
              <w:spacing w:line="240" w:lineRule="exact"/>
              <w:jc w:val="left"/>
              <w:rPr>
                <w:szCs w:val="21"/>
              </w:rPr>
            </w:pPr>
            <w:r>
              <w:rPr>
                <w:rFonts w:ascii="仿宋_GB2312" w:hAnsi="新宋体" w:eastAsia="仿宋_GB2312" w:cs="仿宋_GB2312"/>
                <w:kern w:val="0"/>
                <w:szCs w:val="21"/>
              </w:rPr>
              <w:t>3.基础数据信息和会计信息资料完整；</w:t>
            </w:r>
          </w:p>
          <w:p>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符合全部四项（4）；</w:t>
            </w:r>
          </w:p>
          <w:p>
            <w:pPr>
              <w:widowControl/>
              <w:spacing w:line="240" w:lineRule="exact"/>
              <w:jc w:val="left"/>
              <w:rPr>
                <w:szCs w:val="21"/>
              </w:rPr>
            </w:pPr>
            <w:r>
              <w:rPr>
                <w:rFonts w:ascii="仿宋_GB2312" w:hAnsi="新宋体" w:eastAsia="仿宋_GB2312" w:cs="仿宋_GB2312"/>
                <w:kern w:val="0"/>
                <w:szCs w:val="21"/>
              </w:rPr>
              <w:t>符合其中三项（2）；</w:t>
            </w:r>
          </w:p>
          <w:p>
            <w:pPr>
              <w:widowControl/>
              <w:spacing w:line="240" w:lineRule="exact"/>
              <w:jc w:val="left"/>
              <w:rPr>
                <w:szCs w:val="21"/>
              </w:rPr>
            </w:pPr>
            <w:r>
              <w:rPr>
                <w:rFonts w:ascii="仿宋_GB2312" w:hAnsi="新宋体" w:eastAsia="仿宋_GB2312" w:cs="仿宋_GB2312"/>
                <w:kern w:val="0"/>
                <w:szCs w:val="21"/>
              </w:rPr>
              <w:t>符合其中两项（1）；</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1.资产保存完整；</w:t>
            </w:r>
          </w:p>
          <w:p>
            <w:pPr>
              <w:widowControl/>
              <w:spacing w:line="240" w:lineRule="exact"/>
              <w:jc w:val="left"/>
              <w:rPr>
                <w:szCs w:val="21"/>
              </w:rPr>
            </w:pPr>
            <w:r>
              <w:rPr>
                <w:rFonts w:ascii="仿宋_GB2312" w:hAnsi="新宋体" w:eastAsia="仿宋_GB2312" w:cs="仿宋_GB2312"/>
                <w:kern w:val="0"/>
                <w:szCs w:val="21"/>
              </w:rPr>
              <w:t>2.资产账务管理是否合规，帐实相符；</w:t>
            </w:r>
          </w:p>
          <w:p>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符合全部三项（3）；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center"/>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center"/>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p>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5</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rPr>
          <w:rFonts w:ascii="仿宋" w:hAnsi="仿宋" w:eastAsia="仿宋" w:cs="仿宋"/>
          <w:b/>
          <w:bCs/>
          <w:sz w:val="30"/>
          <w:szCs w:val="30"/>
        </w:rPr>
      </w:pPr>
      <w:r>
        <w:rPr>
          <w:rFonts w:hint="eastAsia" w:ascii="仿宋" w:hAnsi="仿宋" w:eastAsia="仿宋" w:cs="仿宋"/>
          <w:b/>
          <w:bCs/>
          <w:sz w:val="30"/>
          <w:szCs w:val="30"/>
        </w:rPr>
        <w:t>部门整体支出绩效评价报告主要内容包括：</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基本概况。平乡县孟杰盲人学校是由盲人校长穆孟杰于1999年创办的一所全日制盲人学校。在校生96名，教职工23名，学校面向社会招生，学费、生活费、住宿费、水电费、取暖费等全免。学校本着让所有农村视力残疾孩子都能有机会上学的宗旨，已经培养出630名学生走向社会。</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预算绩效管理开展及整体绩效实现情况: 本年年初收入、支出年初预算安排均为135.38万元，其中人员工资支出88.68万元，日常公用经费支出46.7万元。</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绩效评价的组织实施情况：召集全体教职工开会布置工作，认真学习文件及项目支出绩效目标样表。</w:t>
      </w: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DEA68"/>
    <w:multiLevelType w:val="singleLevel"/>
    <w:tmpl w:val="41EDEA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A7DB1"/>
    <w:rsid w:val="001C59B3"/>
    <w:rsid w:val="001E0886"/>
    <w:rsid w:val="001F7E31"/>
    <w:rsid w:val="002071BC"/>
    <w:rsid w:val="00225AE6"/>
    <w:rsid w:val="00235F0F"/>
    <w:rsid w:val="0024545D"/>
    <w:rsid w:val="00255783"/>
    <w:rsid w:val="002743B7"/>
    <w:rsid w:val="00290BA1"/>
    <w:rsid w:val="002A6AEA"/>
    <w:rsid w:val="002F2268"/>
    <w:rsid w:val="00321A55"/>
    <w:rsid w:val="003C50C2"/>
    <w:rsid w:val="0041099F"/>
    <w:rsid w:val="00436A1D"/>
    <w:rsid w:val="004379D7"/>
    <w:rsid w:val="004740D1"/>
    <w:rsid w:val="004A68B1"/>
    <w:rsid w:val="004B64F3"/>
    <w:rsid w:val="004E3B64"/>
    <w:rsid w:val="004F7327"/>
    <w:rsid w:val="005020C5"/>
    <w:rsid w:val="005413CE"/>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77A7B"/>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D5F30"/>
    <w:rsid w:val="00B0681D"/>
    <w:rsid w:val="00B4371D"/>
    <w:rsid w:val="00B9023F"/>
    <w:rsid w:val="00BC1FDC"/>
    <w:rsid w:val="00BD0FD8"/>
    <w:rsid w:val="00C44804"/>
    <w:rsid w:val="00C6362A"/>
    <w:rsid w:val="00C81363"/>
    <w:rsid w:val="00CB27A5"/>
    <w:rsid w:val="00CC447B"/>
    <w:rsid w:val="00CD55ED"/>
    <w:rsid w:val="00CD63C0"/>
    <w:rsid w:val="00CE62A0"/>
    <w:rsid w:val="00D21F0C"/>
    <w:rsid w:val="00D366C1"/>
    <w:rsid w:val="00D877F7"/>
    <w:rsid w:val="00DB2D43"/>
    <w:rsid w:val="00DB4407"/>
    <w:rsid w:val="00E266F1"/>
    <w:rsid w:val="00EB16A8"/>
    <w:rsid w:val="00EC7904"/>
    <w:rsid w:val="00F72E93"/>
    <w:rsid w:val="00F87A11"/>
    <w:rsid w:val="00FB7E01"/>
    <w:rsid w:val="00FE5F4C"/>
    <w:rsid w:val="00FF39F6"/>
    <w:rsid w:val="05374814"/>
    <w:rsid w:val="0F8F6BFC"/>
    <w:rsid w:val="3791647A"/>
    <w:rsid w:val="455969D8"/>
    <w:rsid w:val="526A3656"/>
    <w:rsid w:val="5D643D56"/>
    <w:rsid w:val="69BD0A47"/>
    <w:rsid w:val="71A911C9"/>
    <w:rsid w:val="73F77145"/>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840</Words>
  <Characters>4789</Characters>
  <Lines>39</Lines>
  <Paragraphs>11</Paragraphs>
  <TotalTime>42</TotalTime>
  <ScaleCrop>false</ScaleCrop>
  <LinksUpToDate>false</LinksUpToDate>
  <CharactersWithSpaces>5618</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2020-06-10T20:37:00Z</cp:lastPrinted>
  <dcterms:modified xsi:type="dcterms:W3CDTF">2025-04-10T09:38:40Z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495D0AD772BB24DF2021F767470A6EE7</vt:lpwstr>
  </property>
</Properties>
</file>