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left"/>
        <w:rPr>
          <w:rFonts w:ascii="仿宋" w:hAnsi="仿宋" w:eastAsia="仿宋" w:cs="仿宋"/>
          <w:kern w:val="0"/>
          <w:sz w:val="32"/>
          <w:szCs w:val="32"/>
          <w:shd w:val="clear" w:color="auto" w:fill="FFFFFF"/>
        </w:rPr>
      </w:pPr>
      <w:bookmarkStart w:id="0" w:name="_GoBack"/>
      <w:bookmarkEnd w:id="0"/>
    </w:p>
    <w:p>
      <w:pPr>
        <w:widowControl/>
        <w:spacing w:line="480" w:lineRule="exact"/>
        <w:jc w:val="left"/>
        <w:rPr>
          <w:rFonts w:ascii="宋体" w:hAnsi="宋体" w:eastAsia="宋体" w:cs="宋体"/>
          <w:b/>
          <w:color w:val="000000"/>
          <w:kern w:val="0"/>
          <w:sz w:val="44"/>
          <w:szCs w:val="44"/>
          <w:shd w:val="clear" w:color="auto" w:fill="FFFFFF"/>
        </w:rPr>
      </w:pPr>
      <w:r>
        <w:rPr>
          <w:rFonts w:hint="eastAsia" w:ascii="仿宋" w:hAnsi="仿宋" w:eastAsia="仿宋" w:cs="仿宋"/>
          <w:kern w:val="0"/>
          <w:sz w:val="32"/>
          <w:szCs w:val="32"/>
          <w:shd w:val="clear" w:color="auto" w:fill="FFFFFF"/>
        </w:rPr>
        <w:t>附件6：</w:t>
      </w:r>
    </w:p>
    <w:p>
      <w:pPr>
        <w:spacing w:line="480" w:lineRule="exact"/>
        <w:jc w:val="center"/>
        <w:rPr>
          <w:rFonts w:ascii="仿宋" w:hAnsi="仿宋" w:eastAsia="仿宋" w:cs="仿宋"/>
          <w:sz w:val="32"/>
          <w:szCs w:val="32"/>
        </w:rPr>
      </w:pPr>
      <w:r>
        <w:rPr>
          <w:rFonts w:hint="eastAsia" w:ascii="宋体" w:hAnsi="宋体"/>
          <w:b/>
          <w:sz w:val="44"/>
          <w:szCs w:val="44"/>
        </w:rPr>
        <w:t>部门整体支出绩效评价</w:t>
      </w:r>
      <w:r>
        <w:rPr>
          <w:rFonts w:hint="eastAsia" w:ascii="宋体" w:hAnsi="宋体" w:eastAsia="宋体" w:cs="宋体"/>
          <w:b/>
          <w:color w:val="000000"/>
          <w:kern w:val="0"/>
          <w:sz w:val="44"/>
          <w:szCs w:val="44"/>
          <w:shd w:val="clear" w:color="auto" w:fill="FFFFFF"/>
        </w:rPr>
        <w:t>指标体系评分表</w:t>
      </w:r>
    </w:p>
    <w:tbl>
      <w:tblPr>
        <w:tblStyle w:val="8"/>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rPr>
            </w:pPr>
            <w:r>
              <w:rPr>
                <w:rFonts w:ascii="仿宋_GB2312" w:hAnsi="新宋体" w:eastAsia="仿宋_GB2312" w:cs="仿宋_GB2312"/>
                <w:b/>
                <w:kern w:val="0"/>
                <w:sz w:val="24"/>
                <w:szCs w:val="24"/>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rPr>
            </w:pPr>
            <w:r>
              <w:rPr>
                <w:rFonts w:ascii="仿宋_GB2312" w:hAnsi="新宋体" w:eastAsia="仿宋_GB2312" w:cs="仿宋_GB2312"/>
                <w:b/>
                <w:kern w:val="0"/>
                <w:sz w:val="24"/>
                <w:szCs w:val="24"/>
              </w:rPr>
              <w:t>二级指标</w:t>
            </w:r>
          </w:p>
        </w:tc>
        <w:tc>
          <w:tcPr>
            <w:tcW w:w="4711"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rPr>
              <w:t>三级指标</w:t>
            </w:r>
          </w:p>
        </w:tc>
        <w:tc>
          <w:tcPr>
            <w:tcW w:w="2373"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rPr>
              <w:t>评分标准</w:t>
            </w:r>
          </w:p>
        </w:tc>
        <w:tc>
          <w:tcPr>
            <w:tcW w:w="764"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b/>
              </w:rPr>
            </w:pPr>
            <w:r>
              <w:rPr>
                <w:rFonts w:ascii="仿宋_GB2312" w:hAnsi="新宋体" w:eastAsia="仿宋_GB2312" w:cs="仿宋_GB2312"/>
                <w:b/>
                <w:kern w:val="0"/>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rPr>
              <w:t>指标名称</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rPr>
              <w:t>指标解释说明</w:t>
            </w:r>
          </w:p>
        </w:tc>
        <w:tc>
          <w:tcPr>
            <w:tcW w:w="2373"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szCs w:val="21"/>
              </w:rPr>
            </w:pPr>
          </w:p>
        </w:tc>
        <w:tc>
          <w:tcPr>
            <w:tcW w:w="764"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投入（1</w:t>
            </w:r>
            <w:r>
              <w:rPr>
                <w:rFonts w:hint="eastAsia" w:ascii="仿宋_GB2312" w:hAnsi="新宋体" w:eastAsia="仿宋_GB2312" w:cs="仿宋_GB2312"/>
                <w:kern w:val="0"/>
                <w:szCs w:val="21"/>
              </w:rPr>
              <w:t>0</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绩效</w:t>
            </w:r>
            <w:r>
              <w:rPr>
                <w:rFonts w:ascii="仿宋_GB2312" w:hAnsi="新宋体" w:eastAsia="仿宋_GB2312" w:cs="仿宋_GB2312"/>
                <w:kern w:val="0"/>
                <w:szCs w:val="21"/>
              </w:rPr>
              <w:t>目标设定</w:t>
            </w:r>
            <w:r>
              <w:rPr>
                <w:rFonts w:hint="eastAsia" w:ascii="仿宋_GB2312" w:hAnsi="新宋体" w:eastAsia="仿宋_GB2312" w:cs="仿宋_GB2312"/>
                <w:kern w:val="0"/>
                <w:szCs w:val="21"/>
              </w:rPr>
              <w:t>情况</w:t>
            </w:r>
          </w:p>
          <w:p>
            <w:pPr>
              <w:widowControl/>
              <w:spacing w:line="240" w:lineRule="exact"/>
              <w:jc w:val="left"/>
              <w:rPr>
                <w:color w:val="FF0000"/>
                <w:szCs w:val="21"/>
              </w:rPr>
            </w:pP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职责明确（1</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部门的职责设定是否符合“三定”方案中所赋予的职责，用以反映和评价部门工作的目的性与计划性。</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符合（1）；</w:t>
            </w:r>
          </w:p>
          <w:p>
            <w:pPr>
              <w:widowControl/>
              <w:spacing w:line="240" w:lineRule="exact"/>
              <w:jc w:val="left"/>
              <w:rPr>
                <w:szCs w:val="21"/>
              </w:rPr>
            </w:pPr>
            <w:r>
              <w:rPr>
                <w:rFonts w:ascii="仿宋_GB2312" w:hAnsi="新宋体" w:eastAsia="仿宋_GB2312" w:cs="仿宋_GB2312"/>
                <w:kern w:val="0"/>
                <w:szCs w:val="21"/>
              </w:rPr>
              <w:t>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活动合规性（2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部门的活动是否在职责范围之内并符合部门中长期规划，用以反映和评价部门活动目标与部门履职、年度工作任务的相符性情况。</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1.部门活动的设定在部门所确定的职责范围之内；</w:t>
            </w:r>
          </w:p>
          <w:p>
            <w:pPr>
              <w:widowControl/>
              <w:spacing w:line="240" w:lineRule="exact"/>
              <w:jc w:val="left"/>
              <w:rPr>
                <w:szCs w:val="21"/>
              </w:rPr>
            </w:pPr>
            <w:r>
              <w:rPr>
                <w:rFonts w:ascii="仿宋_GB2312" w:hAnsi="新宋体" w:eastAsia="仿宋_GB2312" w:cs="仿宋_GB2312"/>
                <w:kern w:val="0"/>
                <w:szCs w:val="21"/>
              </w:rPr>
              <w:t>2.部门活动符合</w:t>
            </w:r>
            <w:r>
              <w:rPr>
                <w:rFonts w:hint="eastAsia" w:ascii="仿宋_GB2312" w:hAnsi="新宋体" w:eastAsia="仿宋_GB2312" w:cs="仿宋_GB2312"/>
                <w:kern w:val="0"/>
                <w:szCs w:val="21"/>
              </w:rPr>
              <w:t>市</w:t>
            </w:r>
            <w:r>
              <w:rPr>
                <w:rFonts w:ascii="仿宋_GB2312" w:hAnsi="新宋体" w:eastAsia="仿宋_GB2312" w:cs="仿宋_GB2312"/>
                <w:kern w:val="0"/>
                <w:szCs w:val="21"/>
              </w:rPr>
              <w:t>委、</w:t>
            </w:r>
            <w:r>
              <w:rPr>
                <w:rFonts w:hint="eastAsia" w:ascii="仿宋_GB2312" w:hAnsi="新宋体" w:eastAsia="仿宋_GB2312" w:cs="仿宋_GB2312"/>
                <w:kern w:val="0"/>
                <w:szCs w:val="21"/>
              </w:rPr>
              <w:t>市</w:t>
            </w:r>
            <w:r>
              <w:rPr>
                <w:rFonts w:ascii="仿宋_GB2312" w:hAnsi="新宋体" w:eastAsia="仿宋_GB2312" w:cs="仿宋_GB2312"/>
                <w:kern w:val="0"/>
                <w:szCs w:val="21"/>
              </w:rPr>
              <w:t>政府的发展规划及本部门的年度工作安排与发展规划。</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全部符合（2）；</w:t>
            </w:r>
          </w:p>
          <w:p>
            <w:pPr>
              <w:widowControl/>
              <w:spacing w:line="240" w:lineRule="exact"/>
              <w:jc w:val="left"/>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活动合理性（2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部门所设立的活动是否明确合理、活动的关键性指标设置是否可衡量，用以反映和评价部门活动目标设定的合理性。</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1.活动目标的设定是可量化的，可通过清晰、可衡量的关键指标值予以体现；</w:t>
            </w:r>
          </w:p>
          <w:p>
            <w:pPr>
              <w:widowControl/>
              <w:spacing w:line="240" w:lineRule="exact"/>
              <w:jc w:val="left"/>
              <w:rPr>
                <w:szCs w:val="21"/>
              </w:rPr>
            </w:pPr>
            <w:r>
              <w:rPr>
                <w:rFonts w:ascii="仿宋_GB2312" w:hAnsi="新宋体" w:eastAsia="仿宋_GB2312" w:cs="仿宋_GB2312"/>
                <w:kern w:val="0"/>
                <w:szCs w:val="21"/>
              </w:rPr>
              <w:t>2.在活动目标设定时，将关键指标明细分解为具体的达成目标与工作任务。</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全部符合（2）；</w:t>
            </w:r>
          </w:p>
          <w:p>
            <w:pPr>
              <w:widowControl/>
              <w:spacing w:line="240" w:lineRule="exact"/>
              <w:jc w:val="left"/>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restart"/>
            <w:tcBorders>
              <w:top w:val="single" w:color="000000" w:sz="4" w:space="0"/>
              <w:left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预算配置</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在职人员控制率（</w:t>
            </w:r>
            <w:r>
              <w:rPr>
                <w:rFonts w:hint="eastAsia" w:ascii="仿宋_GB2312" w:hAnsi="新宋体" w:eastAsia="仿宋_GB2312" w:cs="仿宋_GB2312"/>
                <w:kern w:val="0"/>
                <w:szCs w:val="21"/>
              </w:rPr>
              <w:t>1分</w:t>
            </w:r>
            <w:r>
              <w:rPr>
                <w:rFonts w:ascii="仿宋_GB2312" w:hAnsi="新宋体" w:eastAsia="仿宋_GB2312" w:cs="仿宋_GB2312"/>
                <w:kern w:val="0"/>
                <w:szCs w:val="21"/>
              </w:rPr>
              <w:t>）</w:t>
            </w:r>
          </w:p>
        </w:tc>
        <w:tc>
          <w:tcPr>
            <w:tcW w:w="3436"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部门本年度实际在职人员数与编制数的比率，用以反映和评价部门对人员成本的控制程度。</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在职人员控制率=（在职人员数/编制数）×100%。</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在职人员数：部门实际在职人数，以财政部确定的部门决算编制口径为准，由编制部门和人劳部门批复同意的临聘人员除外。</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1.在职人员控制率小于或等于100%的，得满分；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2.在职人员控制率大于或等于115%的，得0分；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3.在职人员控制率在100%-115%之间的，在0分和满分之间计算确定：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得分=[max（在职人员控制率）－某部门在职人员控制率]/[max（在职人员控制率）－min（在职人员控制率）]×该指标分值。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tcBorders>
              <w:top w:val="single" w:color="000000" w:sz="4" w:space="0"/>
              <w:left w:val="single" w:color="000000" w:sz="4" w:space="0"/>
              <w:right w:val="single" w:color="000000" w:sz="4" w:space="0"/>
            </w:tcBorders>
            <w:vAlign w:val="center"/>
          </w:tcPr>
          <w:p>
            <w:pPr>
              <w:spacing w:line="240" w:lineRule="exact"/>
              <w:rPr>
                <w:rFonts w:ascii="宋体"/>
                <w:szCs w:val="21"/>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变动率（2分）</w:t>
            </w:r>
          </w:p>
        </w:tc>
        <w:tc>
          <w:tcPr>
            <w:tcW w:w="3436" w:type="dxa"/>
            <w:tcBorders>
              <w:top w:val="single" w:color="auto" w:sz="4" w:space="0"/>
              <w:left w:val="single" w:color="auto" w:sz="4" w:space="0"/>
              <w:right w:val="single" w:color="auto" w:sz="4" w:space="0"/>
            </w:tcBorders>
            <w:vAlign w:val="center"/>
          </w:tcPr>
          <w:p>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预算数与上年度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预算数的变动比率，用以反映和考核部门对控制重点行政成本的努力程度。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变动率=[（本年度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：年度预算安排的因公出国（境）费、公务车辆购置及运行费和公务招待费。</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小于或等于</w:t>
            </w:r>
            <w:r>
              <w:rPr>
                <w:rFonts w:hint="eastAsia" w:ascii="仿宋_GB2312" w:hAnsi="新宋体" w:eastAsia="仿宋_GB2312" w:cs="仿宋_GB2312"/>
                <w:kern w:val="0"/>
                <w:szCs w:val="21"/>
              </w:rPr>
              <w:t>-5</w:t>
            </w:r>
            <w:r>
              <w:rPr>
                <w:rFonts w:ascii="仿宋_GB2312" w:hAnsi="新宋体" w:eastAsia="仿宋_GB2312" w:cs="仿宋_GB2312"/>
                <w:kern w:val="0"/>
                <w:szCs w:val="21"/>
              </w:rPr>
              <w:t>%的，得满分；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大于或等于1</w:t>
            </w:r>
            <w:r>
              <w:rPr>
                <w:rFonts w:hint="eastAsia" w:ascii="仿宋_GB2312" w:hAnsi="新宋体" w:eastAsia="仿宋_GB2312" w:cs="仿宋_GB2312"/>
                <w:kern w:val="0"/>
                <w:szCs w:val="21"/>
              </w:rPr>
              <w:t>0</w:t>
            </w:r>
            <w:r>
              <w:rPr>
                <w:rFonts w:ascii="仿宋_GB2312" w:hAnsi="新宋体" w:eastAsia="仿宋_GB2312" w:cs="仿宋_GB2312"/>
                <w:kern w:val="0"/>
                <w:szCs w:val="21"/>
              </w:rPr>
              <w:t>%的，得0分；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3.在职人员控制率在</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r>
              <w:rPr>
                <w:rFonts w:hint="eastAsia" w:ascii="仿宋_GB2312" w:hAnsi="新宋体" w:eastAsia="仿宋_GB2312" w:cs="仿宋_GB2312"/>
                <w:kern w:val="0"/>
                <w:szCs w:val="21"/>
              </w:rPr>
              <w:t>10</w:t>
            </w:r>
            <w:r>
              <w:rPr>
                <w:rFonts w:ascii="仿宋_GB2312" w:hAnsi="新宋体" w:eastAsia="仿宋_GB2312" w:cs="仿宋_GB2312"/>
                <w:kern w:val="0"/>
                <w:szCs w:val="21"/>
              </w:rPr>
              <w:t>%之间的，在0分和满分之间计算确定：</w:t>
            </w:r>
          </w:p>
          <w:p>
            <w:pPr>
              <w:widowControl/>
              <w:spacing w:line="240" w:lineRule="exact"/>
              <w:jc w:val="left"/>
              <w:textAlignment w:val="center"/>
              <w:rPr>
                <w:rFonts w:ascii="仿宋" w:hAnsi="仿宋" w:eastAsia="仿宋" w:cs="仿宋"/>
                <w:kern w:val="0"/>
                <w:szCs w:val="21"/>
              </w:rPr>
            </w:pPr>
            <w:r>
              <w:rPr>
                <w:rFonts w:ascii="仿宋_GB2312" w:hAnsi="新宋体" w:eastAsia="仿宋_GB2312" w:cs="仿宋_GB2312"/>
                <w:kern w:val="0"/>
                <w:szCs w:val="21"/>
              </w:rPr>
              <w:t>得分=[max（</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]/[max（</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）－min（</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left w:val="single" w:color="000000" w:sz="4" w:space="0"/>
              <w:bottom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重点支出安排率（2分）</w:t>
            </w:r>
          </w:p>
        </w:tc>
        <w:tc>
          <w:tcPr>
            <w:tcW w:w="3436" w:type="dxa"/>
            <w:tcBorders>
              <w:top w:val="single" w:color="auto" w:sz="4" w:space="0"/>
              <w:left w:val="single" w:color="auto" w:sz="4" w:space="0"/>
              <w:right w:val="single" w:color="auto" w:sz="4" w:space="0"/>
            </w:tcBorders>
            <w:vAlign w:val="center"/>
          </w:tcPr>
          <w:p>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部门本年度预算安排的重点项目支出与部门项目总支出的比率，用以反映和考核部门对履行主要职责或完成重点任务的保障程度。重点支出安排率=（重点项目支出/项目总支出）×100%。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重点项目支出：部门（单位）年度预算安排的，与本部门履职和发展密切相关、具有明显社会和经济影响、党委政府关心或社会比较关注的项目支出总额。</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在85%-95%之间的，在0分和满分之间计算确定：</w:t>
            </w:r>
          </w:p>
          <w:p>
            <w:pPr>
              <w:widowControl/>
              <w:spacing w:line="240" w:lineRule="exact"/>
              <w:jc w:val="left"/>
              <w:textAlignment w:val="center"/>
              <w:rPr>
                <w:rFonts w:ascii="仿宋" w:hAnsi="仿宋" w:eastAsia="仿宋" w:cs="仿宋"/>
                <w:kern w:val="0"/>
                <w:szCs w:val="21"/>
              </w:rPr>
            </w:pPr>
            <w:r>
              <w:rPr>
                <w:rFonts w:ascii="仿宋_GB2312" w:hAnsi="新宋体" w:eastAsia="仿宋_GB2312" w:cs="仿宋_GB2312"/>
                <w:kern w:val="0"/>
                <w:szCs w:val="21"/>
              </w:rPr>
              <w:t>得分=[某部门</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）]/[max（</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过程(</w:t>
            </w:r>
            <w:r>
              <w:rPr>
                <w:rFonts w:hint="eastAsia" w:ascii="仿宋_GB2312" w:hAnsi="新宋体" w:eastAsia="仿宋_GB2312" w:cs="仿宋_GB2312"/>
                <w:kern w:val="0"/>
                <w:szCs w:val="21"/>
              </w:rPr>
              <w:t>45分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预算执行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25分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预算完成率（5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通过对部门本年度预算完成数与预算数的比较，反映和评价部门预算的完成程度。</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预算完成率=（预算完成数/预算数）×100%。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1.预算完成率大于或等于95%的，得满分；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2.预算完成率小于或等于85%的，得0分；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3.预算完成率在85%-95%之间的，在0分和满分之间计算确定：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得分=[某部门预算完成率-min（预算完成率）]/[max（预算完成率）－min（预算完成率）]×该指标分值。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预算调整率（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部门本年度预算调整数与预算数的比率，用以反映和评价部门预算的调整程度。</w:t>
            </w:r>
          </w:p>
          <w:p>
            <w:pPr>
              <w:widowControl/>
              <w:spacing w:line="240" w:lineRule="exact"/>
              <w:jc w:val="left"/>
              <w:rPr>
                <w:szCs w:val="21"/>
              </w:rPr>
            </w:pPr>
            <w:r>
              <w:rPr>
                <w:rFonts w:ascii="仿宋_GB2312" w:hAnsi="新宋体" w:eastAsia="仿宋_GB2312" w:cs="仿宋_GB2312"/>
                <w:kern w:val="0"/>
                <w:szCs w:val="21"/>
              </w:rPr>
              <w:t>预算调整率=（预算调整数/预算数）×100%。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 xml:space="preserve">1.预算调整率等于0的，得满分； </w:t>
            </w:r>
          </w:p>
          <w:p>
            <w:pPr>
              <w:widowControl/>
              <w:spacing w:line="240" w:lineRule="exact"/>
              <w:jc w:val="left"/>
              <w:rPr>
                <w:szCs w:val="21"/>
              </w:rPr>
            </w:pPr>
            <w:r>
              <w:rPr>
                <w:rFonts w:ascii="仿宋_GB2312" w:hAnsi="新宋体" w:eastAsia="仿宋_GB2312" w:cs="仿宋_GB2312"/>
                <w:kern w:val="0"/>
                <w:szCs w:val="21"/>
              </w:rPr>
              <w:t>2.预算调整率大于或等于10%的，得0分；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3.预算调整率在0-10%之间的，在0分和满分之间确定：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得分=［max（预算调整率）-某部门预算调整率］/［max（预算调整率）-min（预算调整率）］×该指标分值。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color w:val="000000"/>
                <w:kern w:val="0"/>
                <w:szCs w:val="21"/>
              </w:rPr>
              <w:t>支付进度率</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度支付数与</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度任务数的比率，用以反映和评价部门预算执行的及时和均衡程度。</w:t>
            </w:r>
          </w:p>
          <w:p>
            <w:pPr>
              <w:widowControl/>
              <w:spacing w:line="240" w:lineRule="exact"/>
              <w:jc w:val="left"/>
              <w:rPr>
                <w:szCs w:val="21"/>
              </w:rPr>
            </w:pPr>
            <w:r>
              <w:rPr>
                <w:rFonts w:ascii="仿宋_GB2312" w:hAnsi="新宋体" w:eastAsia="仿宋_GB2312" w:cs="仿宋_GB2312"/>
                <w:kern w:val="0"/>
                <w:szCs w:val="21"/>
              </w:rPr>
              <w:t>支付进度率=（</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按</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度的执行情况进行打分</w:t>
            </w:r>
            <w:r>
              <w:rPr>
                <w:rFonts w:hint="eastAsia" w:ascii="仿宋_GB2312" w:hAnsi="新宋体" w:eastAsia="仿宋_GB2312" w:cs="仿宋_GB2312"/>
                <w:kern w:val="0"/>
                <w:szCs w:val="21"/>
              </w:rPr>
              <w:t>。</w:t>
            </w:r>
            <w:r>
              <w:rPr>
                <w:rFonts w:ascii="仿宋_GB2312" w:hAnsi="新宋体" w:eastAsia="仿宋_GB2312" w:cs="仿宋_GB2312"/>
                <w:kern w:val="0"/>
                <w:szCs w:val="21"/>
              </w:rPr>
              <w:t>得分=</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度任务数×该指标分值。</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结转结余率（4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通过对部门本年度结转结余总额与支出预算数的比较，反映和评价部门对本年度结转结余资金的实际控制程度。</w:t>
            </w:r>
          </w:p>
          <w:p>
            <w:pPr>
              <w:widowControl/>
              <w:spacing w:line="240" w:lineRule="exact"/>
              <w:jc w:val="left"/>
              <w:rPr>
                <w:szCs w:val="21"/>
              </w:rPr>
            </w:pPr>
            <w:r>
              <w:rPr>
                <w:rFonts w:ascii="仿宋_GB2312" w:hAnsi="新宋体" w:eastAsia="仿宋_GB2312" w:cs="仿宋_GB2312"/>
                <w:kern w:val="0"/>
                <w:szCs w:val="21"/>
              </w:rPr>
              <w:t>结转结余率=（结转结余总额/支出预算数）×100%。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1.结转结余率等于0的，得满分；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2.结转结余率大于或等于50%的，得0分；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3.结转结余率在0-50%之间的，在0和满分之间计算确定：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得分=[max（结转结余率）－某部门结转结余率]/[max（结转结余率）－min（结转结余率）]×该指标分值。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公用经费控制率（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通过对部门本年度实际支出的公用经费总额与预算安排的公用经费总额的比率，反映和评价部门对机构运转成本的实际控制程度。</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公用经费控制率=（实际支出公用经费总额/预算安排公用经费总额）×100%。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1.公用经费控制率小于或等于100%的，得满分；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2.公用经费控制率大于或等于105%的，得0分；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3.公用经费控制率在100%-105%之间的，在0和满分之间计算确定：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得分=［max（公用经费控制率）-某部门公用经费控制率］/［max（公用经费控制率）-min（公用经费控制率）］×该指标分值。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政府采购执行率（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通过对部门本年度实际政府采购预算项目个数与政府采购预算项目个数的比较，反映和评价部门政府采购预算执行情况。</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政府采购执行率=（实际政府采购预算项目个数/政府采购预算项目个数）×100%。</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政府采购项目中非预算内安排的项目除外。</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1.政府采购执行率等于100%的，得满分；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2.政府采购执行率小于或等于90%的，0分；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3.政府采购执行率在90%-100%之间的，在0和满分之间计算确定：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得分=［某部门政府采购执行率-min（政府采购执行率）］/［max（政府采购执行率）-min（政府采购执行率）］×该指标分值。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预算管理</w:t>
            </w:r>
            <w:r>
              <w:rPr>
                <w:rFonts w:hint="eastAsia" w:ascii="仿宋_GB2312" w:hAnsi="新宋体" w:eastAsia="仿宋_GB2312" w:cs="仿宋_GB2312"/>
                <w:kern w:val="0"/>
                <w:szCs w:val="21"/>
              </w:rPr>
              <w:t>情况</w:t>
            </w:r>
          </w:p>
          <w:p>
            <w:pPr>
              <w:widowControl/>
              <w:spacing w:line="240" w:lineRule="exact"/>
              <w:jc w:val="left"/>
              <w:rPr>
                <w:szCs w:val="21"/>
              </w:rPr>
            </w:pPr>
            <w:r>
              <w:rPr>
                <w:rFonts w:ascii="仿宋_GB2312" w:hAnsi="新宋体" w:eastAsia="仿宋_GB2312" w:cs="仿宋_GB2312"/>
                <w:kern w:val="0"/>
                <w:szCs w:val="21"/>
              </w:rPr>
              <w:t>（15）</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资金使用合规性（8</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部门使用预算资金是否符合相关的预算财务管理制度的规定，反映和评价部门预算资金的规范运行情况。</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1.符合国家财经法规和财务管理制度规定以及有关部门资金管理办法的规定；</w:t>
            </w:r>
          </w:p>
          <w:p>
            <w:pPr>
              <w:widowControl/>
              <w:spacing w:line="240" w:lineRule="exact"/>
              <w:jc w:val="left"/>
              <w:rPr>
                <w:szCs w:val="21"/>
              </w:rPr>
            </w:pPr>
            <w:r>
              <w:rPr>
                <w:rFonts w:ascii="仿宋_GB2312" w:hAnsi="新宋体" w:eastAsia="仿宋_GB2312" w:cs="仿宋_GB2312"/>
                <w:kern w:val="0"/>
                <w:szCs w:val="21"/>
              </w:rPr>
              <w:t>2.资金的拨付有完整的审批过程和手续；</w:t>
            </w:r>
          </w:p>
          <w:p>
            <w:pPr>
              <w:widowControl/>
              <w:spacing w:line="240" w:lineRule="exact"/>
              <w:jc w:val="left"/>
              <w:rPr>
                <w:szCs w:val="21"/>
              </w:rPr>
            </w:pPr>
            <w:r>
              <w:rPr>
                <w:rFonts w:ascii="仿宋_GB2312" w:hAnsi="新宋体" w:eastAsia="仿宋_GB2312" w:cs="仿宋_GB2312"/>
                <w:kern w:val="0"/>
                <w:szCs w:val="21"/>
              </w:rPr>
              <w:t>3.项目的重大开支经过评估论证；</w:t>
            </w:r>
          </w:p>
          <w:p>
            <w:pPr>
              <w:widowControl/>
              <w:spacing w:line="240" w:lineRule="exact"/>
              <w:jc w:val="left"/>
              <w:rPr>
                <w:szCs w:val="21"/>
              </w:rPr>
            </w:pPr>
            <w:r>
              <w:rPr>
                <w:rFonts w:ascii="仿宋_GB2312" w:hAnsi="新宋体" w:eastAsia="仿宋_GB2312" w:cs="仿宋_GB2312"/>
                <w:kern w:val="0"/>
                <w:szCs w:val="21"/>
              </w:rPr>
              <w:t>4.符合部门预算批复的用途；</w:t>
            </w:r>
          </w:p>
          <w:p>
            <w:pPr>
              <w:widowControl/>
              <w:spacing w:line="240" w:lineRule="exact"/>
              <w:jc w:val="left"/>
              <w:rPr>
                <w:szCs w:val="21"/>
              </w:rPr>
            </w:pPr>
            <w:r>
              <w:rPr>
                <w:rFonts w:ascii="仿宋_GB2312" w:hAnsi="新宋体" w:eastAsia="仿宋_GB2312" w:cs="仿宋_GB2312"/>
                <w:kern w:val="0"/>
                <w:szCs w:val="21"/>
              </w:rPr>
              <w:t>5.不存在截留情况；</w:t>
            </w:r>
          </w:p>
          <w:p>
            <w:pPr>
              <w:widowControl/>
              <w:spacing w:line="240" w:lineRule="exact"/>
              <w:jc w:val="left"/>
              <w:rPr>
                <w:szCs w:val="21"/>
              </w:rPr>
            </w:pPr>
            <w:r>
              <w:rPr>
                <w:rFonts w:ascii="仿宋_GB2312" w:hAnsi="新宋体" w:eastAsia="仿宋_GB2312" w:cs="仿宋_GB2312"/>
                <w:kern w:val="0"/>
                <w:szCs w:val="21"/>
              </w:rPr>
              <w:t>6.不存在挤占情况；</w:t>
            </w:r>
          </w:p>
          <w:p>
            <w:pPr>
              <w:widowControl/>
              <w:spacing w:line="240" w:lineRule="exact"/>
              <w:jc w:val="left"/>
              <w:rPr>
                <w:szCs w:val="21"/>
              </w:rPr>
            </w:pPr>
            <w:r>
              <w:rPr>
                <w:rFonts w:ascii="仿宋_GB2312" w:hAnsi="新宋体" w:eastAsia="仿宋_GB2312" w:cs="仿宋_GB2312"/>
                <w:kern w:val="0"/>
                <w:szCs w:val="21"/>
              </w:rPr>
              <w:t>7.不存在挪用情况；</w:t>
            </w:r>
          </w:p>
          <w:p>
            <w:pPr>
              <w:widowControl/>
              <w:spacing w:line="240" w:lineRule="exact"/>
              <w:jc w:val="left"/>
              <w:rPr>
                <w:szCs w:val="21"/>
              </w:rPr>
            </w:pPr>
            <w:r>
              <w:rPr>
                <w:rFonts w:ascii="仿宋_GB2312" w:hAnsi="新宋体" w:eastAsia="仿宋_GB2312" w:cs="仿宋_GB2312"/>
                <w:kern w:val="0"/>
                <w:szCs w:val="21"/>
              </w:rPr>
              <w:t>8.不存在虚列支出情况。</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全部符合（8）；</w:t>
            </w:r>
          </w:p>
          <w:p>
            <w:pPr>
              <w:widowControl/>
              <w:spacing w:line="240" w:lineRule="exact"/>
              <w:jc w:val="left"/>
              <w:rPr>
                <w:szCs w:val="21"/>
              </w:rPr>
            </w:pPr>
            <w:r>
              <w:rPr>
                <w:rFonts w:ascii="仿宋_GB2312" w:hAnsi="新宋体" w:eastAsia="仿宋_GB2312" w:cs="仿宋_GB2312"/>
                <w:kern w:val="0"/>
                <w:szCs w:val="21"/>
              </w:rPr>
              <w:t>符合其中七项（6）；</w:t>
            </w:r>
          </w:p>
          <w:p>
            <w:pPr>
              <w:widowControl/>
              <w:spacing w:line="240" w:lineRule="exact"/>
              <w:jc w:val="left"/>
              <w:rPr>
                <w:szCs w:val="21"/>
              </w:rPr>
            </w:pPr>
            <w:r>
              <w:rPr>
                <w:rFonts w:ascii="仿宋_GB2312" w:hAnsi="新宋体" w:eastAsia="仿宋_GB2312" w:cs="仿宋_GB2312"/>
                <w:kern w:val="0"/>
                <w:szCs w:val="21"/>
              </w:rPr>
              <w:t>符合其中六项（4）；</w:t>
            </w:r>
          </w:p>
          <w:p>
            <w:pPr>
              <w:widowControl/>
              <w:spacing w:line="240" w:lineRule="exact"/>
              <w:jc w:val="left"/>
              <w:rPr>
                <w:szCs w:val="21"/>
              </w:rPr>
            </w:pPr>
            <w:r>
              <w:rPr>
                <w:rFonts w:ascii="仿宋_GB2312" w:hAnsi="新宋体" w:eastAsia="仿宋_GB2312" w:cs="仿宋_GB2312"/>
                <w:kern w:val="0"/>
                <w:szCs w:val="21"/>
              </w:rPr>
              <w:t>符合其中五项（2）；</w:t>
            </w:r>
          </w:p>
          <w:p>
            <w:pPr>
              <w:widowControl/>
              <w:spacing w:line="240" w:lineRule="exact"/>
              <w:jc w:val="left"/>
              <w:rPr>
                <w:szCs w:val="21"/>
              </w:rPr>
            </w:pPr>
            <w:r>
              <w:rPr>
                <w:rFonts w:ascii="仿宋_GB2312" w:hAnsi="新宋体" w:eastAsia="仿宋_GB2312" w:cs="仿宋_GB2312"/>
                <w:kern w:val="0"/>
                <w:szCs w:val="21"/>
              </w:rPr>
              <w:t>符合其中四项及以下（0）。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预决算信息公开性（3</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部门是否按照政府信息公开有关规定公开相关预决算信息，用以反映和评价部门预决算管理的公开透明情况。</w:t>
            </w:r>
          </w:p>
          <w:p>
            <w:pPr>
              <w:widowControl/>
              <w:spacing w:line="240" w:lineRule="exact"/>
              <w:jc w:val="left"/>
              <w:rPr>
                <w:szCs w:val="21"/>
              </w:rPr>
            </w:pPr>
            <w:r>
              <w:rPr>
                <w:rFonts w:ascii="仿宋_GB2312" w:hAnsi="新宋体" w:eastAsia="仿宋_GB2312" w:cs="仿宋_GB2312"/>
                <w:kern w:val="0"/>
                <w:szCs w:val="21"/>
              </w:rPr>
              <w:t>预决算信息是指与部门预算、执行、决算、监督、绩效等管理相关的信息。</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1.公开预决算信息；</w:t>
            </w:r>
          </w:p>
          <w:p>
            <w:pPr>
              <w:widowControl/>
              <w:spacing w:line="240" w:lineRule="exact"/>
              <w:jc w:val="left"/>
              <w:rPr>
                <w:szCs w:val="21"/>
              </w:rPr>
            </w:pPr>
            <w:r>
              <w:rPr>
                <w:rFonts w:ascii="仿宋_GB2312" w:hAnsi="新宋体" w:eastAsia="仿宋_GB2312" w:cs="仿宋_GB2312"/>
                <w:kern w:val="0"/>
                <w:szCs w:val="21"/>
              </w:rPr>
              <w:t>2.按规定内容公开预决算信息；</w:t>
            </w:r>
          </w:p>
          <w:p>
            <w:pPr>
              <w:widowControl/>
              <w:spacing w:line="240" w:lineRule="exact"/>
              <w:jc w:val="left"/>
              <w:rPr>
                <w:szCs w:val="21"/>
              </w:rPr>
            </w:pPr>
            <w:r>
              <w:rPr>
                <w:rFonts w:ascii="仿宋_GB2312" w:hAnsi="新宋体" w:eastAsia="仿宋_GB2312" w:cs="仿宋_GB2312"/>
                <w:kern w:val="0"/>
                <w:szCs w:val="21"/>
              </w:rPr>
              <w:t>3.按规定时限公开预决算信息。</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全部符合（3）；</w:t>
            </w:r>
          </w:p>
          <w:p>
            <w:pPr>
              <w:widowControl/>
              <w:spacing w:line="240" w:lineRule="exact"/>
              <w:jc w:val="left"/>
              <w:rPr>
                <w:szCs w:val="21"/>
              </w:rPr>
            </w:pPr>
            <w:r>
              <w:rPr>
                <w:rFonts w:ascii="仿宋_GB2312" w:hAnsi="新宋体" w:eastAsia="仿宋_GB2312" w:cs="仿宋_GB2312"/>
                <w:kern w:val="0"/>
                <w:szCs w:val="21"/>
              </w:rPr>
              <w:t>符合其中两项（2）</w:t>
            </w:r>
          </w:p>
          <w:p>
            <w:pPr>
              <w:widowControl/>
              <w:spacing w:line="240" w:lineRule="exact"/>
              <w:jc w:val="left"/>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color w:val="000000"/>
                <w:kern w:val="0"/>
                <w:szCs w:val="21"/>
              </w:rPr>
              <w:t>基础信息完善性</w:t>
            </w:r>
            <w:r>
              <w:rPr>
                <w:rFonts w:ascii="仿宋_GB2312" w:hAnsi="新宋体" w:eastAsia="仿宋_GB2312" w:cs="仿宋_GB2312"/>
                <w:kern w:val="0"/>
                <w:szCs w:val="21"/>
              </w:rPr>
              <w:t>（4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部门基础信息是否完善，用以反映和评价基础信息对预算管理工作的支撑情况。</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1.基本财务管理制度健全；</w:t>
            </w:r>
          </w:p>
          <w:p>
            <w:pPr>
              <w:widowControl/>
              <w:spacing w:line="240" w:lineRule="exact"/>
              <w:jc w:val="left"/>
              <w:rPr>
                <w:szCs w:val="21"/>
              </w:rPr>
            </w:pPr>
            <w:r>
              <w:rPr>
                <w:rFonts w:ascii="仿宋_GB2312" w:hAnsi="新宋体" w:eastAsia="仿宋_GB2312" w:cs="仿宋_GB2312"/>
                <w:kern w:val="0"/>
                <w:szCs w:val="21"/>
              </w:rPr>
              <w:t>2.基础数据信息和会计信息资料真实；</w:t>
            </w:r>
          </w:p>
          <w:p>
            <w:pPr>
              <w:widowControl/>
              <w:spacing w:line="240" w:lineRule="exact"/>
              <w:jc w:val="left"/>
              <w:rPr>
                <w:szCs w:val="21"/>
              </w:rPr>
            </w:pPr>
            <w:r>
              <w:rPr>
                <w:rFonts w:ascii="仿宋_GB2312" w:hAnsi="新宋体" w:eastAsia="仿宋_GB2312" w:cs="仿宋_GB2312"/>
                <w:kern w:val="0"/>
                <w:szCs w:val="21"/>
              </w:rPr>
              <w:t>3.基础数据信息和会计信息资料完整；</w:t>
            </w:r>
          </w:p>
          <w:p>
            <w:pPr>
              <w:widowControl/>
              <w:spacing w:line="240" w:lineRule="exact"/>
              <w:jc w:val="left"/>
              <w:rPr>
                <w:szCs w:val="21"/>
              </w:rPr>
            </w:pPr>
            <w:r>
              <w:rPr>
                <w:rFonts w:ascii="仿宋_GB2312" w:hAnsi="新宋体" w:eastAsia="仿宋_GB2312" w:cs="仿宋_GB2312"/>
                <w:kern w:val="0"/>
                <w:szCs w:val="21"/>
              </w:rPr>
              <w:t>4.基础数据信息和会计信息资料准确。</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符合全部四项（4）；</w:t>
            </w:r>
          </w:p>
          <w:p>
            <w:pPr>
              <w:widowControl/>
              <w:spacing w:line="240" w:lineRule="exact"/>
              <w:jc w:val="left"/>
              <w:rPr>
                <w:szCs w:val="21"/>
              </w:rPr>
            </w:pPr>
            <w:r>
              <w:rPr>
                <w:rFonts w:ascii="仿宋_GB2312" w:hAnsi="新宋体" w:eastAsia="仿宋_GB2312" w:cs="仿宋_GB2312"/>
                <w:kern w:val="0"/>
                <w:szCs w:val="21"/>
              </w:rPr>
              <w:t>符合其中三项（2）；</w:t>
            </w:r>
          </w:p>
          <w:p>
            <w:pPr>
              <w:widowControl/>
              <w:spacing w:line="240" w:lineRule="exact"/>
              <w:jc w:val="left"/>
              <w:rPr>
                <w:szCs w:val="21"/>
              </w:rPr>
            </w:pPr>
            <w:r>
              <w:rPr>
                <w:rFonts w:ascii="仿宋_GB2312" w:hAnsi="新宋体" w:eastAsia="仿宋_GB2312" w:cs="仿宋_GB2312"/>
                <w:kern w:val="0"/>
                <w:szCs w:val="21"/>
              </w:rPr>
              <w:t>符合其中两项（1）；</w:t>
            </w:r>
          </w:p>
          <w:p>
            <w:pPr>
              <w:widowControl/>
              <w:spacing w:line="240" w:lineRule="exact"/>
              <w:jc w:val="left"/>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资产管理</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资产管理完整性（</w:t>
            </w:r>
            <w:r>
              <w:rPr>
                <w:rFonts w:hint="eastAsia" w:ascii="仿宋_GB2312" w:hAnsi="新宋体" w:eastAsia="仿宋_GB2312" w:cs="仿宋_GB2312"/>
                <w:kern w:val="0"/>
                <w:szCs w:val="21"/>
              </w:rPr>
              <w:t>2分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部门的资产是否保存完整、使用合规、收入及时足额上缴，用以反映和评价部门资产运行情况。</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1.资产保存完整；</w:t>
            </w:r>
          </w:p>
          <w:p>
            <w:pPr>
              <w:widowControl/>
              <w:spacing w:line="240" w:lineRule="exact"/>
              <w:jc w:val="left"/>
              <w:rPr>
                <w:szCs w:val="21"/>
              </w:rPr>
            </w:pPr>
            <w:r>
              <w:rPr>
                <w:rFonts w:ascii="仿宋_GB2312" w:hAnsi="新宋体" w:eastAsia="仿宋_GB2312" w:cs="仿宋_GB2312"/>
                <w:kern w:val="0"/>
                <w:szCs w:val="21"/>
              </w:rPr>
              <w:t>2.资产账务管理是否合规，帐实相符；</w:t>
            </w:r>
          </w:p>
          <w:p>
            <w:pPr>
              <w:widowControl/>
              <w:spacing w:line="240" w:lineRule="exact"/>
              <w:jc w:val="left"/>
              <w:rPr>
                <w:szCs w:val="21"/>
              </w:rPr>
            </w:pPr>
            <w:r>
              <w:rPr>
                <w:rFonts w:ascii="仿宋_GB2312" w:hAnsi="新宋体" w:eastAsia="仿宋_GB2312" w:cs="仿宋_GB2312"/>
                <w:kern w:val="0"/>
                <w:szCs w:val="21"/>
              </w:rPr>
              <w:t>3.资产有偿使用及处置收入及时足额上缴。</w:t>
            </w:r>
          </w:p>
        </w:tc>
        <w:tc>
          <w:tcPr>
            <w:tcW w:w="2373"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符合全部三项（3）；</w:t>
            </w:r>
          </w:p>
          <w:p>
            <w:pPr>
              <w:widowControl/>
              <w:spacing w:line="240" w:lineRule="exact"/>
              <w:jc w:val="left"/>
              <w:rPr>
                <w:szCs w:val="21"/>
              </w:rPr>
            </w:pPr>
            <w:r>
              <w:rPr>
                <w:rFonts w:ascii="仿宋_GB2312" w:hAnsi="新宋体" w:eastAsia="仿宋_GB2312" w:cs="仿宋_GB2312"/>
                <w:kern w:val="0"/>
                <w:szCs w:val="21"/>
              </w:rPr>
              <w:t>符合其中两项（2）；</w:t>
            </w:r>
          </w:p>
          <w:p>
            <w:pPr>
              <w:widowControl/>
              <w:spacing w:line="240" w:lineRule="exact"/>
              <w:jc w:val="left"/>
              <w:rPr>
                <w:szCs w:val="21"/>
              </w:rPr>
            </w:pPr>
            <w:r>
              <w:rPr>
                <w:rFonts w:ascii="仿宋_GB2312" w:hAnsi="新宋体" w:eastAsia="仿宋_GB2312" w:cs="仿宋_GB2312"/>
                <w:kern w:val="0"/>
                <w:szCs w:val="21"/>
              </w:rPr>
              <w:t>符合其中一项（1）；</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符合零项（0）。</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auto"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固定资产利用率（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部门实际在用固定资产总额与所有固定资产总额的比率，用以反映和评价部门固定资产使用效率。</w:t>
            </w:r>
          </w:p>
          <w:p>
            <w:pPr>
              <w:widowControl/>
              <w:spacing w:line="240" w:lineRule="exact"/>
              <w:jc w:val="left"/>
              <w:rPr>
                <w:szCs w:val="21"/>
              </w:rPr>
            </w:pPr>
            <w:r>
              <w:rPr>
                <w:rFonts w:ascii="仿宋_GB2312" w:hAnsi="新宋体" w:eastAsia="仿宋_GB2312" w:cs="仿宋_GB2312"/>
                <w:kern w:val="0"/>
                <w:szCs w:val="21"/>
              </w:rPr>
              <w:t>固定资产利用率=（实际在用固定资产总额/所有固定资产总额）×100%。</w:t>
            </w:r>
          </w:p>
        </w:tc>
        <w:tc>
          <w:tcPr>
            <w:tcW w:w="2373" w:type="dxa"/>
            <w:tcBorders>
              <w:top w:val="single" w:color="auto"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1.固定资产利用率大于或等于95%的，得满分；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2.固定资产利用率小于或等于85%的，得0分；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3.固定资产利用率在85%-95%之间的，在0和满分之间计算确定：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得分=［某部门固定资产利用率-min（固定资产利用率）］/［max（固定资产利用率）-min（固定资产利用率）］×该指标分值。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产出(2</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职责履行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（2</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履职完成情况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10分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textAlignment w:val="center"/>
              <w:rPr>
                <w:szCs w:val="21"/>
              </w:rPr>
            </w:pPr>
            <w:r>
              <w:rPr>
                <w:rFonts w:hint="eastAsia" w:ascii="仿宋" w:hAnsi="仿宋" w:eastAsia="仿宋" w:cs="仿宋"/>
                <w:color w:val="000000"/>
                <w:kern w:val="0"/>
                <w:szCs w:val="21"/>
              </w:rPr>
              <w:t>根据年度主要任务分解表的的具体任务，逐项评价任务量化指标完成情况、实施效果和责任制建立情况。用以反映和考核部门（单位）履职工作任务目标的完成情况。评价要点：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1.每项任务是否已制定了明确、具体、可量化、可衡量的绩效指标；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2.每项任务绩效指标的完成情况，是全部完成、基本完成、未完成，还是未实施；</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3.每项任务实施效果情况，是优秀、良好、一般，还是无效果；</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4.每项任务是否建立了目标责任制，是否落实到具体部门和人员负责。</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textAlignment w:val="center"/>
              <w:rPr>
                <w:szCs w:val="21"/>
              </w:rPr>
            </w:pPr>
            <w:r>
              <w:rPr>
                <w:rFonts w:hint="eastAsia" w:ascii="仿宋" w:hAnsi="仿宋" w:eastAsia="仿宋" w:cs="仿宋"/>
                <w:color w:val="000000"/>
                <w:kern w:val="0"/>
                <w:szCs w:val="21"/>
              </w:rPr>
              <w:t>根据不同部门履职的内容和特点，具体测算部门履职工作任务目标的完成情况。</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项目</w:t>
            </w:r>
            <w:r>
              <w:rPr>
                <w:rFonts w:hint="eastAsia" w:ascii="仿宋_GB2312" w:hAnsi="新宋体" w:eastAsia="仿宋_GB2312" w:cs="仿宋_GB2312"/>
                <w:kern w:val="0"/>
                <w:szCs w:val="21"/>
              </w:rPr>
              <w:t>完成</w:t>
            </w:r>
            <w:r>
              <w:rPr>
                <w:rFonts w:ascii="仿宋_GB2312" w:hAnsi="新宋体" w:eastAsia="仿宋_GB2312" w:cs="仿宋_GB2312"/>
                <w:kern w:val="0"/>
                <w:szCs w:val="21"/>
              </w:rPr>
              <w:t>质量达标率（</w:t>
            </w:r>
            <w:r>
              <w:rPr>
                <w:rFonts w:hint="eastAsia" w:ascii="仿宋_GB2312" w:hAnsi="新宋体" w:eastAsia="仿宋_GB2312" w:cs="仿宋_GB2312"/>
                <w:kern w:val="0"/>
                <w:szCs w:val="21"/>
              </w:rPr>
              <w:t>15</w:t>
            </w:r>
            <w:r>
              <w:rPr>
                <w:rFonts w:ascii="仿宋_GB2312" w:hAnsi="新宋体" w:eastAsia="仿宋_GB2312" w:cs="仿宋_GB2312"/>
                <w:kern w:val="0"/>
                <w:szCs w:val="21"/>
              </w:rPr>
              <w:t>）</w:t>
            </w:r>
          </w:p>
        </w:tc>
        <w:tc>
          <w:tcPr>
            <w:tcW w:w="3436" w:type="dxa"/>
            <w:tcBorders>
              <w:top w:val="single" w:color="000000"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部门已完成项目中质量达标项目个数占已完成项目个数的比率,用以反映和评价部门履职质量目标的实现程度。</w:t>
            </w:r>
          </w:p>
          <w:p>
            <w:pPr>
              <w:widowControl/>
              <w:spacing w:line="240" w:lineRule="exact"/>
              <w:jc w:val="left"/>
              <w:rPr>
                <w:szCs w:val="21"/>
              </w:rPr>
            </w:pPr>
            <w:r>
              <w:rPr>
                <w:rFonts w:ascii="仿宋_GB2312" w:hAnsi="新宋体" w:eastAsia="仿宋_GB2312" w:cs="仿宋_GB2312"/>
                <w:kern w:val="0"/>
                <w:szCs w:val="21"/>
              </w:rPr>
              <w:t>项目质量达标率=（已完成项目中质量达标项目个数/已完成项目个数）×100%。</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项目质量达标是指项目决算验收合格。</w:t>
            </w:r>
          </w:p>
        </w:tc>
        <w:tc>
          <w:tcPr>
            <w:tcW w:w="2373" w:type="dxa"/>
            <w:tcBorders>
              <w:top w:val="single" w:color="000000"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1.项目质量达标率等于100%的，得满分；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2.项目质量达标率小于或等于99%的，得0分；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 xml:space="preserve">3.项目质量达标率在99%-100%之间的，在0和满分之间计算确定： </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得分=［某部门项目质量达标率-min（项目质量达标率）］/［max（项目质量达标率）-min（项目质量达标率）］×该指标分值。</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效果（</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743" w:type="dxa"/>
            <w:vMerge w:val="restart"/>
            <w:tcBorders>
              <w:top w:val="single" w:color="auto" w:sz="4" w:space="0"/>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p>
            <w:pPr>
              <w:widowControl/>
              <w:spacing w:line="240" w:lineRule="exact"/>
              <w:jc w:val="left"/>
              <w:rPr>
                <w:rFonts w:ascii="仿宋_GB2312" w:hAnsi="新宋体" w:eastAsia="仿宋_GB2312" w:cs="仿宋_GB2312"/>
                <w:kern w:val="0"/>
                <w:szCs w:val="21"/>
              </w:rPr>
            </w:pPr>
            <w:r>
              <w:rPr>
                <w:rFonts w:hint="eastAsia" w:ascii="仿宋_GB2312" w:hAnsi="新宋体" w:eastAsia="仿宋_GB2312" w:cs="仿宋_GB2312"/>
                <w:kern w:val="0"/>
                <w:szCs w:val="21"/>
              </w:rPr>
              <w:t>履职效益情况</w:t>
            </w:r>
          </w:p>
          <w:p>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color w:val="000000"/>
                <w:kern w:val="0"/>
                <w:szCs w:val="21"/>
              </w:rPr>
              <w:t>经济效益</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部门及所属二级单位通过履行职责和预算安排支出项目的实施，对我市带来的经济影响。</w:t>
            </w:r>
          </w:p>
          <w:p>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1.通过部门所属企事业单位改革，促进了企事业单位效益增长情况；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2.通过预算支出项目的实施，促进了行业生产能力增长，从而带动行业经济效益增长；</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3.通过预算支出项目的实施，有效提高劳动效率，节约成本费用；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4.通过预算支出项目的实施，降低了损耗，从而提高了生产效益；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5.通过预算支出项目的实施，完善了突发情况的监测预警，保障了生产安全，降低了生产损失。</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根据不同部门履职的内容和特点，具体测算部门履职产生的经济效益。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社会效益（5分）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部门及所属二级单位履行职责对社会发展所带来的直接或间接影响。</w:t>
            </w:r>
          </w:p>
          <w:p>
            <w:pPr>
              <w:widowControl/>
              <w:spacing w:line="240" w:lineRule="exac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1.通过部门所属企事业单位的改革，促进了企事业单位可持续发展，带动就业增长情况；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2.通过预算支出项目的实施，是否明显促进了行业精神文明建设；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3.通过部门履职是否明显提高城乡居民生活水平，满足了人们日益增长的物质与文化生活需求；</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4.通过预算项目的实施，是否提高了劳动生产率，降低了劳动强度，促进了劳动人民的身心健康；</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5.通过部门履职行业形象是否得到了大大提升了，增强了部门影响力。</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根据不同部门履职的内容和特点，具体测算部门履职产生的社会效益。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生态效益（5分）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部门及所属二级单位履行职责对生态环境所带来的直接或间接影响。</w:t>
            </w:r>
          </w:p>
          <w:p>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1.通过预算支出项目的实施，绿色、节能环保新技术的应用和推广，明显带动各环节的节能减排，也具有一定的环境效益；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2.通过履职有效地控制虚假、伪劣、霉变等劣质产品进入市场，影响了人民生活质量，净化地市场环境；</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3.通过预算支出项目的实施，是否达到减少污染物排放；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4.通过预算支出项目的实施，周围环境得到了整治，面貌得到了改善。</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szCs w:val="21"/>
              </w:rPr>
            </w:pPr>
            <w:r>
              <w:rPr>
                <w:rFonts w:hint="eastAsia" w:ascii="仿宋" w:hAnsi="仿宋" w:eastAsia="仿宋" w:cs="仿宋"/>
                <w:color w:val="000000"/>
                <w:kern w:val="0"/>
                <w:szCs w:val="21"/>
              </w:rPr>
              <w:t>根据不同部门履职的内容和特点，具体测算部门履职产生的生态效益。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left w:val="single" w:color="000000" w:sz="4" w:space="0"/>
              <w:bottom w:val="single" w:color="auto" w:sz="4" w:space="0"/>
              <w:right w:val="single" w:color="000000" w:sz="4" w:space="0"/>
            </w:tcBorders>
            <w:vAlign w:val="center"/>
          </w:tcPr>
          <w:p>
            <w:pPr>
              <w:widowControl/>
              <w:spacing w:line="240" w:lineRule="exact"/>
              <w:jc w:val="left"/>
              <w:rPr>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服务对象</w:t>
            </w:r>
            <w:r>
              <w:rPr>
                <w:rFonts w:ascii="仿宋_GB2312" w:hAnsi="新宋体" w:eastAsia="仿宋_GB2312" w:cs="仿宋_GB2312"/>
                <w:kern w:val="0"/>
                <w:szCs w:val="21"/>
              </w:rPr>
              <w:t>满意度（5）</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hint="eastAsia" w:ascii="仿宋_GB2312" w:hAnsi="新宋体" w:eastAsia="仿宋_GB2312" w:cs="仿宋_GB2312"/>
                <w:kern w:val="0"/>
                <w:szCs w:val="21"/>
              </w:rPr>
              <w:t>通过对部门（单位）的服务对象对部门履职效果的满意程度调查，反映和考核社会公众或服务对象对部门履职的满意度。</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rPr>
                <w:rFonts w:ascii="仿宋" w:hAnsi="仿宋" w:eastAsia="仿宋" w:cs="宋体"/>
                <w:kern w:val="0"/>
                <w:szCs w:val="21"/>
              </w:rPr>
            </w:pPr>
            <w:r>
              <w:rPr>
                <w:rFonts w:ascii="仿宋" w:hAnsi="仿宋" w:eastAsia="仿宋" w:cs="Arial"/>
                <w:kern w:val="0"/>
                <w:szCs w:val="21"/>
              </w:rPr>
              <w:t>按照满意度调查的优秀、良好、合格、不合格给予该项指标打分：</w:t>
            </w:r>
          </w:p>
          <w:p>
            <w:pPr>
              <w:widowControl/>
              <w:spacing w:line="240" w:lineRule="exact"/>
              <w:rPr>
                <w:szCs w:val="21"/>
              </w:rPr>
            </w:pPr>
            <w:r>
              <w:rPr>
                <w:rFonts w:ascii="仿宋" w:hAnsi="仿宋" w:eastAsia="仿宋" w:cs="Arial"/>
                <w:kern w:val="0"/>
                <w:szCs w:val="21"/>
              </w:rPr>
              <w:t>优秀（</w:t>
            </w:r>
            <w:r>
              <w:rPr>
                <w:rFonts w:hint="eastAsia" w:ascii="仿宋" w:hAnsi="仿宋" w:eastAsia="仿宋" w:cs="Arial"/>
                <w:kern w:val="0"/>
                <w:szCs w:val="21"/>
              </w:rPr>
              <w:t>5</w:t>
            </w:r>
            <w:r>
              <w:rPr>
                <w:rFonts w:ascii="仿宋" w:hAnsi="仿宋" w:eastAsia="仿宋" w:cs="Arial"/>
                <w:kern w:val="0"/>
                <w:szCs w:val="21"/>
              </w:rPr>
              <w:t>）；良好（</w:t>
            </w:r>
            <w:r>
              <w:rPr>
                <w:rFonts w:hint="eastAsia" w:ascii="仿宋" w:hAnsi="仿宋" w:eastAsia="仿宋" w:cs="Arial"/>
                <w:kern w:val="0"/>
                <w:szCs w:val="21"/>
              </w:rPr>
              <w:t>3</w:t>
            </w:r>
            <w:r>
              <w:rPr>
                <w:rFonts w:ascii="仿宋" w:hAnsi="仿宋" w:eastAsia="仿宋" w:cs="Arial"/>
                <w:kern w:val="0"/>
                <w:szCs w:val="21"/>
              </w:rPr>
              <w:t>）；合格（</w:t>
            </w:r>
            <w:r>
              <w:rPr>
                <w:rFonts w:hint="eastAsia" w:ascii="仿宋" w:hAnsi="仿宋" w:eastAsia="仿宋" w:cs="Arial"/>
                <w:kern w:val="0"/>
                <w:szCs w:val="21"/>
              </w:rPr>
              <w:t>1</w:t>
            </w:r>
            <w:r>
              <w:rPr>
                <w:rFonts w:ascii="仿宋" w:hAnsi="仿宋" w:eastAsia="仿宋" w:cs="Arial"/>
                <w:kern w:val="0"/>
                <w:szCs w:val="21"/>
              </w:rPr>
              <w:t>）；不合格（</w:t>
            </w:r>
            <w:r>
              <w:rPr>
                <w:rFonts w:hint="eastAsia" w:ascii="仿宋" w:hAnsi="仿宋" w:eastAsia="仿宋" w:cs="Arial"/>
                <w:kern w:val="0"/>
                <w:szCs w:val="21"/>
              </w:rPr>
              <w:t>0</w:t>
            </w:r>
            <w:r>
              <w:rPr>
                <w:rFonts w:ascii="仿宋" w:hAnsi="仿宋" w:eastAsia="仿宋" w:cs="Arial"/>
                <w:kern w:val="0"/>
                <w:szCs w:val="21"/>
              </w:rPr>
              <w:t>）。</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bl>
    <w:p>
      <w:pPr>
        <w:spacing w:line="240" w:lineRule="exact"/>
        <w:rPr>
          <w:rFonts w:ascii="仿宋" w:hAnsi="仿宋" w:eastAsia="仿宋" w:cs="仿宋"/>
          <w:sz w:val="32"/>
          <w:szCs w:val="32"/>
        </w:rPr>
      </w:pPr>
    </w:p>
    <w:p>
      <w:pPr>
        <w:spacing w:line="240" w:lineRule="exact"/>
        <w:rPr>
          <w:rFonts w:ascii="仿宋" w:hAnsi="仿宋" w:eastAsia="仿宋" w:cs="仿宋"/>
          <w:sz w:val="32"/>
          <w:szCs w:val="32"/>
        </w:rPr>
      </w:pPr>
    </w:p>
    <w:p>
      <w:pPr>
        <w:spacing w:line="240" w:lineRule="exact"/>
        <w:rPr>
          <w:rFonts w:ascii="仿宋" w:hAnsi="仿宋" w:eastAsia="仿宋" w:cs="仿宋"/>
          <w:sz w:val="32"/>
          <w:szCs w:val="32"/>
        </w:rPr>
      </w:pPr>
    </w:p>
    <w:p>
      <w:pPr>
        <w:rPr>
          <w:rFonts w:ascii="仿宋" w:hAnsi="仿宋" w:eastAsia="仿宋" w:cs="仿宋"/>
          <w:b/>
          <w:bCs/>
          <w:sz w:val="30"/>
          <w:szCs w:val="30"/>
        </w:rPr>
      </w:pPr>
      <w:r>
        <w:rPr>
          <w:rFonts w:hint="eastAsia" w:ascii="仿宋" w:hAnsi="仿宋" w:eastAsia="仿宋" w:cs="仿宋"/>
          <w:b/>
          <w:bCs/>
          <w:sz w:val="30"/>
          <w:szCs w:val="30"/>
        </w:rPr>
        <w:t>部门整体支出绩效评价报告主要内容包括：</w:t>
      </w:r>
    </w:p>
    <w:p>
      <w:pPr>
        <w:numPr>
          <w:ilvl w:val="0"/>
          <w:numId w:val="1"/>
        </w:numPr>
        <w:ind w:firstLine="640" w:firstLineChars="200"/>
        <w:rPr>
          <w:rFonts w:ascii="仿宋" w:hAnsi="仿宋" w:eastAsia="仿宋" w:cs="仿宋"/>
          <w:sz w:val="32"/>
          <w:szCs w:val="32"/>
        </w:rPr>
      </w:pPr>
      <w:r>
        <w:rPr>
          <w:rFonts w:hint="eastAsia" w:ascii="仿宋" w:hAnsi="仿宋" w:eastAsia="仿宋" w:cs="仿宋"/>
          <w:sz w:val="32"/>
          <w:szCs w:val="32"/>
        </w:rPr>
        <w:t>基本概况。包括部门主要职责职能，组织架构、人员及资产情况、部门履职总体目标、年度整体绩效目标、工作任务，预算资金安排及资金支出情况。</w:t>
      </w:r>
    </w:p>
    <w:p>
      <w:pPr>
        <w:numPr>
          <w:ilvl w:val="0"/>
          <w:numId w:val="1"/>
        </w:numPr>
        <w:ind w:firstLine="640" w:firstLineChars="200"/>
        <w:rPr>
          <w:rFonts w:ascii="仿宋" w:hAnsi="仿宋" w:eastAsia="仿宋" w:cs="仿宋"/>
          <w:sz w:val="32"/>
          <w:szCs w:val="32"/>
        </w:rPr>
      </w:pPr>
      <w:r>
        <w:rPr>
          <w:rFonts w:hint="eastAsia" w:ascii="仿宋" w:hAnsi="仿宋" w:eastAsia="仿宋" w:cs="仿宋"/>
          <w:sz w:val="32"/>
          <w:szCs w:val="32"/>
        </w:rPr>
        <w:t>预算绩效管理开展及整体绩效实现情况。包括部门开展预算绩效管理情况、工作履行活动完成情况、实施履职活动产生的效果及社会公众或服务对象满意程度。</w:t>
      </w:r>
    </w:p>
    <w:p>
      <w:pPr>
        <w:numPr>
          <w:ilvl w:val="0"/>
          <w:numId w:val="1"/>
        </w:numPr>
        <w:ind w:firstLine="640" w:firstLineChars="200"/>
        <w:rPr>
          <w:rFonts w:ascii="仿宋" w:hAnsi="仿宋" w:eastAsia="仿宋" w:cs="仿宋"/>
          <w:sz w:val="32"/>
          <w:szCs w:val="32"/>
        </w:rPr>
      </w:pPr>
      <w:r>
        <w:rPr>
          <w:rFonts w:hint="eastAsia" w:ascii="仿宋" w:hAnsi="仿宋" w:eastAsia="仿宋" w:cs="仿宋"/>
          <w:sz w:val="32"/>
          <w:szCs w:val="32"/>
        </w:rPr>
        <w:t>绩效评价的组织实施情况。包括评价对象绩效目标、绩效指标、评价标准和评价方法。</w:t>
      </w:r>
    </w:p>
    <w:p>
      <w:pPr>
        <w:numPr>
          <w:ilvl w:val="0"/>
          <w:numId w:val="1"/>
        </w:numPr>
        <w:ind w:firstLine="640" w:firstLineChars="200"/>
        <w:rPr>
          <w:rFonts w:ascii="仿宋" w:hAnsi="仿宋" w:eastAsia="仿宋" w:cs="仿宋"/>
          <w:sz w:val="32"/>
          <w:szCs w:val="32"/>
        </w:rPr>
      </w:pPr>
      <w:r>
        <w:rPr>
          <w:rFonts w:hint="eastAsia" w:ascii="仿宋" w:hAnsi="仿宋" w:eastAsia="仿宋" w:cs="仿宋"/>
          <w:sz w:val="32"/>
          <w:szCs w:val="32"/>
        </w:rPr>
        <w:t>各项绩效目标的实现程度及差异性原因分析。</w:t>
      </w:r>
    </w:p>
    <w:p>
      <w:pPr>
        <w:numPr>
          <w:ilvl w:val="0"/>
          <w:numId w:val="1"/>
        </w:numPr>
        <w:ind w:firstLine="640" w:firstLineChars="200"/>
        <w:rPr>
          <w:rFonts w:ascii="仿宋" w:hAnsi="仿宋" w:eastAsia="仿宋" w:cs="仿宋"/>
          <w:sz w:val="32"/>
          <w:szCs w:val="32"/>
        </w:rPr>
      </w:pPr>
      <w:r>
        <w:rPr>
          <w:rFonts w:hint="eastAsia" w:ascii="仿宋" w:hAnsi="仿宋" w:eastAsia="仿宋" w:cs="仿宋"/>
          <w:sz w:val="32"/>
          <w:szCs w:val="32"/>
        </w:rPr>
        <w:t>存在问题、采取的纠偏措施及改进绩效管理建议。</w:t>
      </w:r>
    </w:p>
    <w:p>
      <w:pPr>
        <w:numPr>
          <w:ilvl w:val="0"/>
          <w:numId w:val="1"/>
        </w:numPr>
        <w:ind w:firstLine="640" w:firstLineChars="200"/>
        <w:rPr>
          <w:rFonts w:ascii="仿宋" w:hAnsi="仿宋" w:eastAsia="仿宋" w:cs="仿宋"/>
          <w:sz w:val="32"/>
          <w:szCs w:val="32"/>
        </w:rPr>
      </w:pPr>
      <w:r>
        <w:rPr>
          <w:rFonts w:hint="eastAsia" w:ascii="仿宋" w:hAnsi="仿宋" w:eastAsia="仿宋" w:cs="仿宋"/>
          <w:sz w:val="32"/>
          <w:szCs w:val="32"/>
        </w:rPr>
        <w:t>其他需要说明的问题。</w:t>
      </w: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jc w:val="center"/>
        <w:rPr>
          <w:rFonts w:ascii="宋体" w:hAnsi="宋体" w:eastAsia="宋体" w:cs="宋体"/>
          <w:b/>
          <w:bCs/>
          <w:sz w:val="44"/>
          <w:szCs w:val="44"/>
        </w:rPr>
      </w:pPr>
      <w:r>
        <w:rPr>
          <w:rFonts w:hint="eastAsia" w:ascii="宋体" w:hAnsi="宋体" w:eastAsia="宋体" w:cs="宋体"/>
          <w:b/>
          <w:bCs/>
          <w:sz w:val="44"/>
          <w:szCs w:val="44"/>
        </w:rPr>
        <w:t>平乡县县直第三小学</w:t>
      </w:r>
    </w:p>
    <w:p>
      <w:pPr>
        <w:jc w:val="center"/>
        <w:rPr>
          <w:rFonts w:ascii="宋体" w:hAnsi="宋体" w:eastAsia="宋体" w:cs="宋体"/>
          <w:b/>
          <w:bCs/>
          <w:sz w:val="44"/>
          <w:szCs w:val="44"/>
        </w:rPr>
      </w:pPr>
      <w:r>
        <w:rPr>
          <w:rFonts w:hint="eastAsia" w:ascii="宋体" w:hAnsi="宋体" w:eastAsia="宋体" w:cs="宋体"/>
          <w:b/>
          <w:bCs/>
          <w:sz w:val="44"/>
          <w:szCs w:val="44"/>
        </w:rPr>
        <w:t>部门整体支出绩效评价报告</w:t>
      </w:r>
    </w:p>
    <w:p>
      <w:pPr>
        <w:rPr>
          <w:rFonts w:ascii="仿宋" w:hAnsi="仿宋" w:eastAsia="仿宋" w:cs="仿宋"/>
          <w:b/>
          <w:bCs/>
          <w:sz w:val="30"/>
          <w:szCs w:val="30"/>
        </w:rPr>
      </w:pPr>
    </w:p>
    <w:p>
      <w:pPr>
        <w:numPr>
          <w:ilvl w:val="0"/>
          <w:numId w:val="2"/>
        </w:num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基本概况</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1.部门主要职责职能，组织架构、人员及资产情况。</w:t>
      </w:r>
    </w:p>
    <w:p>
      <w:pPr>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sz w:val="32"/>
          <w:szCs w:val="32"/>
        </w:rPr>
        <w:t>平乡县县直第三小学隶属于平乡县教育局，是一所全额拨款事业单位，主要职责是实施小学义务教育，促进学生德智体美劳全面发展。学校设校长书记1 人，副校长5人。内设机构5个，分</w:t>
      </w:r>
      <w:r>
        <w:rPr>
          <w:rFonts w:hint="eastAsia" w:ascii="仿宋" w:hAnsi="仿宋" w:eastAsia="仿宋" w:cs="仿宋"/>
          <w:color w:val="auto"/>
          <w:sz w:val="32"/>
          <w:szCs w:val="32"/>
        </w:rPr>
        <w:t>别是教导处、政教处、总务处、办公室、体卫处。2020年有学生1627人。</w:t>
      </w:r>
    </w:p>
    <w:p>
      <w:pPr>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2.部门履职总体目标、年度整体绩效目标、工作任务，预算资金安排及资金支出情况。</w:t>
      </w:r>
    </w:p>
    <w:p>
      <w:pPr>
        <w:spacing w:line="560" w:lineRule="exact"/>
        <w:ind w:firstLine="960" w:firstLineChars="300"/>
        <w:jc w:val="left"/>
        <w:rPr>
          <w:rFonts w:ascii="仿宋" w:hAnsi="仿宋" w:eastAsia="仿宋" w:cs="仿宋"/>
          <w:color w:val="auto"/>
          <w:sz w:val="32"/>
          <w:szCs w:val="32"/>
        </w:rPr>
      </w:pPr>
      <w:r>
        <w:rPr>
          <w:rFonts w:hint="eastAsia" w:ascii="仿宋" w:hAnsi="仿宋" w:eastAsia="仿宋" w:cs="仿宋"/>
          <w:color w:val="auto"/>
          <w:sz w:val="32"/>
          <w:szCs w:val="32"/>
        </w:rPr>
        <w:t>2020年，学校招收学生合计1627人，年度毕业学生毕业率100%，社会、家长反响良好，取得了良好的社会效益。</w:t>
      </w:r>
    </w:p>
    <w:p>
      <w:pPr>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本年年初收入、支出年初预算安排均为478.6万元，其中人员工资支出337万元，日常公用经费支出129万元。对个人和家庭的补助1.5万元。</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二、预算绩效管理开展及整体绩效实现情况 </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（一）本单位严格按照相关规定，厉行节俭，强化资金合理利用，按期保质完成预决算编制。当年收入支出预算执行情况良好，完成学校发展总体目标任务。</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（二）本单位质量指标达到以下目标：1.改善办学条件，提高办学水平；2.抓好师资培训，提高育人水平；3.坚持育人为本，突出办学特色；4.坚持依法治校，规范办学行为。</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三）社会效益指标达到以下目标：1.学校立足现实，促进特色班级品牌化，吸引优质生源，扩大办学规模；届时根据形势的发展争取上级支持，完善学校信息教育设备设施，力争做到全县领先；2.坚持德育为先、能力为重、全面发展。在全面实施素质教育的主题下，让所有的学生经过我们的教育，使德智体美综合素质在原有的基础上都得到全面发展，具有自主持续发展的能力；3.办学生喜爱、家长放心、社会满意的学校。</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三、绩效评价的组织实施情况。</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我校对2020年绩效目标管理的项目开展绩效自评工作，绩效自评覆盖率达95%。绩效自评的流程包括部门制定工作方案，填报项目自评表以及撰写绩效评价报告。</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四、各项绩效目标的实现程度及差异性原因分析。</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各项绩效目标的基本实现。</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五、存在问题、采取的纠偏措施及改进绩效管理建议。</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根据本次绩效评价情况，存在预算绩效申报时，编制的项目自评指标体系不够精细，绩效目标不具体，绩效目标未完全细化，分解工作任务不够具体，部分绩效指标不清晰，在经费支出过程中经济功能精确度有待提高。针对上述问题，在今后的预算绩效申报时，需相关业务处室将全年工作任务细化分解为具体的工作目标，并尽量采取定量的方式制定清晰、可衡量的绩效指标，提高项目使用经济功能精确度。</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六、其他需要说明的问题。</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无</w:t>
      </w:r>
    </w:p>
    <w:p>
      <w:pPr>
        <w:spacing w:line="560" w:lineRule="exact"/>
        <w:ind w:firstLine="640" w:firstLineChars="200"/>
        <w:jc w:val="left"/>
        <w:rPr>
          <w:rFonts w:ascii="仿宋" w:hAnsi="仿宋" w:eastAsia="仿宋" w:cs="仿宋"/>
          <w:sz w:val="32"/>
          <w:szCs w:val="32"/>
        </w:rPr>
      </w:pPr>
    </w:p>
    <w:p>
      <w:pPr>
        <w:spacing w:line="560" w:lineRule="exact"/>
        <w:ind w:firstLine="640" w:firstLineChars="200"/>
        <w:jc w:val="left"/>
        <w:rPr>
          <w:rFonts w:ascii="仿宋" w:hAnsi="仿宋" w:eastAsia="仿宋" w:cs="仿宋"/>
          <w:sz w:val="32"/>
          <w:szCs w:val="32"/>
        </w:rPr>
      </w:pPr>
    </w:p>
    <w:p>
      <w:pPr>
        <w:spacing w:line="560" w:lineRule="exact"/>
        <w:ind w:firstLine="640" w:firstLineChars="200"/>
        <w:jc w:val="left"/>
        <w:rPr>
          <w:rFonts w:ascii="仿宋" w:hAnsi="仿宋" w:eastAsia="仿宋" w:cs="仿宋"/>
          <w:sz w:val="32"/>
          <w:szCs w:val="32"/>
        </w:rPr>
      </w:pPr>
    </w:p>
    <w:sectPr>
      <w:footerReference r:id="rId3" w:type="default"/>
      <w:footerReference r:id="rId4" w:type="even"/>
      <w:pgSz w:w="11906" w:h="16838"/>
      <w:pgMar w:top="1985" w:right="1418" w:bottom="1985" w:left="1418" w:header="851" w:footer="1701"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新宋体">
    <w:altName w:val="方正书宋_GBK"/>
    <w:panose1 w:val="02010609030101010101"/>
    <w:charset w:val="86"/>
    <w:family w:val="modern"/>
    <w:pitch w:val="default"/>
    <w:sig w:usb0="00000000" w:usb1="0000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宋体" w:hAnsi="宋体" w:eastAsia="宋体"/>
        <w:sz w:val="28"/>
        <w:szCs w:val="28"/>
      </w:rPr>
    </w:pPr>
    <w:r>
      <w:rPr>
        <w:rStyle w:val="11"/>
        <w:rFonts w:hint="eastAsia" w:ascii="宋体" w:hAnsi="宋体" w:eastAsia="宋体"/>
        <w:sz w:val="28"/>
        <w:szCs w:val="28"/>
      </w:rPr>
      <w:t>-</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2</w:t>
    </w:r>
    <w:r>
      <w:rPr>
        <w:rStyle w:val="11"/>
        <w:rFonts w:ascii="宋体" w:hAnsi="宋体" w:eastAsia="宋体"/>
        <w:sz w:val="28"/>
        <w:szCs w:val="28"/>
      </w:rPr>
      <w:fldChar w:fldCharType="end"/>
    </w:r>
    <w:r>
      <w:rPr>
        <w:rStyle w:val="11"/>
        <w:rFonts w:hint="eastAsia" w:ascii="宋体" w:hAnsi="宋体" w:eastAsia="宋体"/>
        <w:sz w:val="28"/>
        <w:szCs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F80225"/>
    <w:multiLevelType w:val="singleLevel"/>
    <w:tmpl w:val="3FF80225"/>
    <w:lvl w:ilvl="0" w:tentative="0">
      <w:start w:val="1"/>
      <w:numFmt w:val="chineseCounting"/>
      <w:suff w:val="nothing"/>
      <w:lvlText w:val="%1、"/>
      <w:lvlJc w:val="left"/>
      <w:pPr>
        <w:ind w:left="150" w:firstLine="0"/>
      </w:pPr>
      <w:rPr>
        <w:rFonts w:hint="eastAsia"/>
      </w:rPr>
    </w:lvl>
  </w:abstractNum>
  <w:abstractNum w:abstractNumId="1">
    <w:nsid w:val="41EDEA68"/>
    <w:multiLevelType w:val="singleLevel"/>
    <w:tmpl w:val="41EDEA6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42933"/>
    <w:rsid w:val="00002F2C"/>
    <w:rsid w:val="000070A8"/>
    <w:rsid w:val="00016CA4"/>
    <w:rsid w:val="000324AE"/>
    <w:rsid w:val="00042933"/>
    <w:rsid w:val="0008033E"/>
    <w:rsid w:val="0008759D"/>
    <w:rsid w:val="00094F2B"/>
    <w:rsid w:val="000B0A83"/>
    <w:rsid w:val="000B6322"/>
    <w:rsid w:val="000C2CC1"/>
    <w:rsid w:val="000E4A5A"/>
    <w:rsid w:val="00103547"/>
    <w:rsid w:val="0017068B"/>
    <w:rsid w:val="00185A3C"/>
    <w:rsid w:val="00192D5A"/>
    <w:rsid w:val="001C59B3"/>
    <w:rsid w:val="001E0886"/>
    <w:rsid w:val="001F62FC"/>
    <w:rsid w:val="001F7E31"/>
    <w:rsid w:val="002071BC"/>
    <w:rsid w:val="00225AE6"/>
    <w:rsid w:val="00235F0F"/>
    <w:rsid w:val="00255783"/>
    <w:rsid w:val="00290BA1"/>
    <w:rsid w:val="002A6AEA"/>
    <w:rsid w:val="002F2268"/>
    <w:rsid w:val="003C50C2"/>
    <w:rsid w:val="0041099F"/>
    <w:rsid w:val="00436A1D"/>
    <w:rsid w:val="004379D7"/>
    <w:rsid w:val="004A68B1"/>
    <w:rsid w:val="004B64F3"/>
    <w:rsid w:val="004E3B64"/>
    <w:rsid w:val="004F7327"/>
    <w:rsid w:val="005020C5"/>
    <w:rsid w:val="00567FE6"/>
    <w:rsid w:val="0058162A"/>
    <w:rsid w:val="005B3616"/>
    <w:rsid w:val="005E12FA"/>
    <w:rsid w:val="006772C1"/>
    <w:rsid w:val="00683167"/>
    <w:rsid w:val="006A5056"/>
    <w:rsid w:val="006E64C9"/>
    <w:rsid w:val="007048FF"/>
    <w:rsid w:val="00712100"/>
    <w:rsid w:val="0071700D"/>
    <w:rsid w:val="00742652"/>
    <w:rsid w:val="00772600"/>
    <w:rsid w:val="0079385A"/>
    <w:rsid w:val="007D5D41"/>
    <w:rsid w:val="007F01F9"/>
    <w:rsid w:val="00856BA1"/>
    <w:rsid w:val="00867620"/>
    <w:rsid w:val="008709E0"/>
    <w:rsid w:val="00893277"/>
    <w:rsid w:val="008A6A10"/>
    <w:rsid w:val="008A6A31"/>
    <w:rsid w:val="00904AF4"/>
    <w:rsid w:val="00905542"/>
    <w:rsid w:val="00917700"/>
    <w:rsid w:val="00956F74"/>
    <w:rsid w:val="009B0B5F"/>
    <w:rsid w:val="009B7F2F"/>
    <w:rsid w:val="009C04DA"/>
    <w:rsid w:val="009C4C62"/>
    <w:rsid w:val="009E3627"/>
    <w:rsid w:val="009F53E7"/>
    <w:rsid w:val="00A11BF8"/>
    <w:rsid w:val="00A14A33"/>
    <w:rsid w:val="00A6449D"/>
    <w:rsid w:val="00A768DB"/>
    <w:rsid w:val="00A926B5"/>
    <w:rsid w:val="00AA09C8"/>
    <w:rsid w:val="00AC3FE4"/>
    <w:rsid w:val="00AD5F30"/>
    <w:rsid w:val="00B0681D"/>
    <w:rsid w:val="00B4371D"/>
    <w:rsid w:val="00B45586"/>
    <w:rsid w:val="00B9023F"/>
    <w:rsid w:val="00BC1FDC"/>
    <w:rsid w:val="00BD0FD8"/>
    <w:rsid w:val="00C44804"/>
    <w:rsid w:val="00C6362A"/>
    <w:rsid w:val="00C81363"/>
    <w:rsid w:val="00CB27A5"/>
    <w:rsid w:val="00CD55ED"/>
    <w:rsid w:val="00CD63C0"/>
    <w:rsid w:val="00CE62A0"/>
    <w:rsid w:val="00D21F0C"/>
    <w:rsid w:val="00D366C1"/>
    <w:rsid w:val="00D46650"/>
    <w:rsid w:val="00D877F7"/>
    <w:rsid w:val="00DB2D43"/>
    <w:rsid w:val="00E266F1"/>
    <w:rsid w:val="00E62AAA"/>
    <w:rsid w:val="00EB16A8"/>
    <w:rsid w:val="00EC7904"/>
    <w:rsid w:val="00F72E93"/>
    <w:rsid w:val="00F87A11"/>
    <w:rsid w:val="00FB7E01"/>
    <w:rsid w:val="00FE5F4C"/>
    <w:rsid w:val="00FF39F6"/>
    <w:rsid w:val="035E6A21"/>
    <w:rsid w:val="05374814"/>
    <w:rsid w:val="0F8F6BFC"/>
    <w:rsid w:val="16E73F1B"/>
    <w:rsid w:val="19693E4B"/>
    <w:rsid w:val="1CA770E2"/>
    <w:rsid w:val="2C9E4BE2"/>
    <w:rsid w:val="352834CC"/>
    <w:rsid w:val="3791647A"/>
    <w:rsid w:val="42AB4556"/>
    <w:rsid w:val="43584D1C"/>
    <w:rsid w:val="455969D8"/>
    <w:rsid w:val="526A3656"/>
    <w:rsid w:val="5C5E6725"/>
    <w:rsid w:val="5D643D56"/>
    <w:rsid w:val="62C9093E"/>
    <w:rsid w:val="64875FA9"/>
    <w:rsid w:val="69BD0A47"/>
    <w:rsid w:val="71A911C9"/>
    <w:rsid w:val="78774D51"/>
    <w:rsid w:val="7CCC213E"/>
    <w:rsid w:val="7FC734BC"/>
    <w:rsid w:val="FF8CC6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4">
    <w:name w:val="Plain Text"/>
    <w:basedOn w:val="1"/>
    <w:link w:val="14"/>
    <w:qFormat/>
    <w:uiPriority w:val="0"/>
    <w:rPr>
      <w:rFonts w:ascii="宋体" w:hAnsi="Courier New" w:eastAsia="宋体" w:cs="Courier New"/>
      <w:szCs w:val="21"/>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page number"/>
    <w:basedOn w:val="9"/>
    <w:semiHidden/>
    <w:unhideWhenUsed/>
    <w:qFormat/>
    <w:uiPriority w:val="99"/>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纯文本 Char"/>
    <w:basedOn w:val="9"/>
    <w:link w:val="4"/>
    <w:qFormat/>
    <w:uiPriority w:val="0"/>
    <w:rPr>
      <w:rFonts w:ascii="宋体" w:hAnsi="Courier New" w:eastAsia="宋体" w:cs="Courier New"/>
      <w:szCs w:val="21"/>
    </w:rPr>
  </w:style>
  <w:style w:type="character" w:customStyle="1" w:styleId="15">
    <w:name w:val="标题 1 Char"/>
    <w:basedOn w:val="9"/>
    <w:link w:val="2"/>
    <w:qFormat/>
    <w:uiPriority w:val="9"/>
    <w:rPr>
      <w:rFonts w:ascii="宋体" w:hAnsi="宋体" w:eastAsia="宋体" w:cs="宋体"/>
      <w:b/>
      <w:kern w:val="44"/>
      <w:sz w:val="48"/>
      <w:szCs w:val="48"/>
    </w:rPr>
  </w:style>
  <w:style w:type="character" w:customStyle="1" w:styleId="16">
    <w:name w:val="font31"/>
    <w:basedOn w:val="9"/>
    <w:qFormat/>
    <w:uiPriority w:val="0"/>
    <w:rPr>
      <w:rFonts w:hint="eastAsia" w:ascii="宋体" w:hAnsi="宋体" w:eastAsia="宋体" w:cs="宋体"/>
      <w:b/>
      <w:color w:val="000000"/>
      <w:sz w:val="36"/>
      <w:szCs w:val="36"/>
      <w:u w:val="none"/>
    </w:rPr>
  </w:style>
  <w:style w:type="paragraph" w:customStyle="1" w:styleId="17">
    <w:name w:val="p05"/>
    <w:basedOn w:val="1"/>
    <w:qFormat/>
    <w:uiPriority w:val="0"/>
    <w:pPr>
      <w:widowControl/>
      <w:spacing w:line="408" w:lineRule="auto"/>
      <w:ind w:left="1"/>
    </w:pPr>
    <w:rPr>
      <w:rFonts w:ascii="Times New Roman" w:hAnsi="Times New Roman" w:eastAsia="Times New Roman" w:cs="Times New Roman"/>
      <w:color w:val="000000"/>
      <w:kern w:val="0"/>
      <w:szCs w:val="20"/>
      <w:lang w:eastAsia="en-US"/>
    </w:rPr>
  </w:style>
  <w:style w:type="paragraph" w:customStyle="1" w:styleId="18">
    <w:name w:val="p01"/>
    <w:basedOn w:val="1"/>
    <w:qFormat/>
    <w:uiPriority w:val="0"/>
    <w:pPr>
      <w:widowControl/>
      <w:spacing w:line="408" w:lineRule="auto"/>
      <w:ind w:left="1"/>
    </w:pPr>
    <w:rPr>
      <w:rFonts w:ascii="Times New Roman" w:hAnsi="Times New Roman" w:eastAsia="Times New Roman" w:cs="Times New Roman"/>
      <w:color w:val="000000"/>
      <w:kern w:val="0"/>
      <w:szCs w:val="20"/>
      <w:lang w:eastAsia="en-US"/>
    </w:rPr>
  </w:style>
  <w:style w:type="paragraph" w:styleId="1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997</Words>
  <Characters>5683</Characters>
  <Lines>47</Lines>
  <Paragraphs>13</Paragraphs>
  <TotalTime>69</TotalTime>
  <ScaleCrop>false</ScaleCrop>
  <LinksUpToDate>false</LinksUpToDate>
  <CharactersWithSpaces>6667</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2016-02-22T15:07:00Z</dcterms:created>
  <dc:creator>Administrator</dc:creator>
  <cp:lastModifiedBy>sss</cp:lastModifiedBy>
  <cp:lastPrinted>2018-11-29T11:23:00Z</cp:lastPrinted>
  <dcterms:modified xsi:type="dcterms:W3CDTF">2025-04-10T09:41:06Z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3337387A8DD6B2AAB221F76728A4864A</vt:lpwstr>
  </property>
</Properties>
</file>