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w:t>
      </w:r>
    </w:p>
    <w:p>
      <w:pPr>
        <w:pStyle w:val="19"/>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贯彻落实党和国家教育工作的</w:t>
      </w:r>
      <w:r>
        <w:rPr>
          <w:rFonts w:hint="eastAsia" w:ascii="仿宋" w:hAnsi="仿宋" w:eastAsia="仿宋" w:cs="仿宋"/>
          <w:color w:val="auto"/>
          <w:kern w:val="2"/>
          <w:sz w:val="32"/>
          <w:szCs w:val="32"/>
          <w:lang w:eastAsia="zh-CN"/>
        </w:rPr>
        <w:t>全面</w:t>
      </w:r>
      <w:r>
        <w:rPr>
          <w:rFonts w:ascii="仿宋" w:hAnsi="仿宋" w:eastAsia="仿宋" w:cs="仿宋"/>
          <w:color w:val="auto"/>
          <w:kern w:val="2"/>
          <w:sz w:val="32"/>
          <w:szCs w:val="32"/>
          <w:lang w:eastAsia="zh-CN"/>
        </w:rPr>
        <w:t>组织实施</w:t>
      </w:r>
      <w:r>
        <w:rPr>
          <w:rFonts w:hint="eastAsia" w:ascii="仿宋" w:hAnsi="仿宋" w:eastAsia="仿宋" w:cs="仿宋"/>
          <w:color w:val="auto"/>
          <w:kern w:val="2"/>
          <w:sz w:val="32"/>
          <w:szCs w:val="32"/>
          <w:lang w:eastAsia="zh-CN"/>
        </w:rPr>
        <w:t>义务教育。</w:t>
      </w:r>
    </w:p>
    <w:p>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做好控辍保学和贫困生资助工作；学习魏书生教育思想，全面开展素质教育；深入与北京良乡小学合作对标；在学校二、三、四年级进行语文主题学习课堂实验。</w:t>
      </w:r>
    </w:p>
    <w:p>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重视教师队伍建设，打造高素质团队；重视学生安全教育，定期开展逃生演练；重视家长学校建设，形成教育合力。（</w:t>
      </w:r>
    </w:p>
    <w:p>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开展大课间活动，增强学生体质；开创“文诵经典、武练梅花、体打乒乓”办学特色，实施“赏识教育”和“星级评价”，促进学生全面发展；</w:t>
      </w:r>
    </w:p>
    <w:p>
      <w:pPr>
        <w:pStyle w:val="17"/>
        <w:numPr>
          <w:ilvl w:val="0"/>
          <w:numId w:val="1"/>
        </w:num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rPr>
          <w:rFonts w:ascii="仿宋" w:hAnsi="仿宋" w:eastAsia="仿宋" w:cs="仿宋"/>
          <w:color w:val="auto"/>
          <w:kern w:val="2"/>
          <w:sz w:val="32"/>
          <w:szCs w:val="32"/>
          <w:lang w:eastAsia="zh-CN"/>
        </w:rPr>
      </w:pPr>
      <w:r>
        <w:rPr>
          <w:rFonts w:hint="eastAsia" w:ascii="仿宋" w:hAnsi="仿宋" w:eastAsia="仿宋" w:cs="仿宋"/>
          <w:color w:val="auto"/>
          <w:sz w:val="32"/>
          <w:szCs w:val="32"/>
          <w:lang w:eastAsia="zh-CN"/>
        </w:rPr>
        <w:t>积极开展教学创新，开展“学为中心 顺学而导”教学研究；扎实推进学校文化建设，着力打造优美舒适的育人环境。</w:t>
      </w:r>
    </w:p>
    <w:p>
      <w:pPr>
        <w:ind w:firstLine="642"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020</w:t>
      </w:r>
      <w:r>
        <w:rPr>
          <w:rFonts w:ascii="仿宋" w:hAnsi="仿宋" w:eastAsia="仿宋" w:cs="仿宋"/>
          <w:sz w:val="32"/>
          <w:szCs w:val="32"/>
        </w:rPr>
        <w:t>年，</w:t>
      </w:r>
      <w:r>
        <w:rPr>
          <w:rFonts w:hint="eastAsia" w:ascii="仿宋" w:hAnsi="仿宋" w:eastAsia="仿宋" w:cs="仿宋"/>
          <w:sz w:val="32"/>
          <w:szCs w:val="32"/>
        </w:rPr>
        <w:t>我校</w:t>
      </w:r>
      <w:r>
        <w:rPr>
          <w:rFonts w:ascii="仿宋" w:hAnsi="仿宋" w:eastAsia="仿宋" w:cs="仿宋"/>
          <w:sz w:val="32"/>
          <w:szCs w:val="32"/>
        </w:rPr>
        <w:t>全面贯彻十九大精神</w:t>
      </w:r>
      <w:r>
        <w:rPr>
          <w:rFonts w:hint="eastAsia" w:ascii="仿宋" w:hAnsi="仿宋" w:eastAsia="仿宋" w:cs="仿宋"/>
          <w:sz w:val="32"/>
          <w:szCs w:val="32"/>
        </w:rPr>
        <w:t>,</w:t>
      </w:r>
      <w:r>
        <w:rPr>
          <w:rFonts w:ascii="仿宋" w:hAnsi="仿宋" w:eastAsia="仿宋" w:cs="仿宋"/>
          <w:sz w:val="32"/>
          <w:szCs w:val="32"/>
        </w:rPr>
        <w:t>贯彻党的教育方针，落实“立德树人”根本任务，纵深推进教育改革，提升教育品质</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b/>
          <w:sz w:val="32"/>
          <w:szCs w:val="32"/>
        </w:rPr>
        <w:t>加强党的领导</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规范党建制度建设规范“三会一课”、民主评议党员等基本制度。坚持每季度召开1次支部党员大会，每月召开1次支部委员会，每月召开1至2次党小组会，每季度上1次党课，每年开展1次民主评议党员</w:t>
      </w:r>
      <w:r>
        <w:rPr>
          <w:rFonts w:hint="eastAsia" w:ascii="仿宋" w:hAnsi="仿宋" w:eastAsia="仿宋" w:cs="仿宋"/>
          <w:sz w:val="32"/>
          <w:szCs w:val="32"/>
        </w:rPr>
        <w:t>。</w:t>
      </w:r>
    </w:p>
    <w:p>
      <w:pPr>
        <w:spacing w:line="600" w:lineRule="exact"/>
        <w:ind w:firstLine="642" w:firstLineChars="200"/>
        <w:rPr>
          <w:rFonts w:ascii="仿宋" w:hAnsi="仿宋" w:eastAsia="仿宋" w:cs="仿宋"/>
          <w:b/>
          <w:sz w:val="32"/>
          <w:szCs w:val="32"/>
        </w:rPr>
      </w:pPr>
      <w:r>
        <w:rPr>
          <w:rFonts w:hint="eastAsia" w:ascii="仿宋" w:hAnsi="仿宋" w:eastAsia="仿宋" w:cs="仿宋"/>
          <w:b/>
          <w:sz w:val="32"/>
          <w:szCs w:val="32"/>
        </w:rPr>
        <w:t>（二）学校管理</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严格遵守“明德厚学，自强不息”的校训。把《教师日常行为规范》和《小学生日常行为规范》作为校园生活的基本准则，每周一大课间师生集体宣誓，引导学生从小养成遵规守纪、勤俭节约、文明礼貌、团结善学的好习惯，创建“文明校园”。</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（2）抓好环境卫生工作。每天一打扫 ，使校园常洁净，人人呵护花草，爱护树木，创建“绿色校园”。</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（3）开展家校共建活动。成立家长委员会，每月进行家长学校学习，定期开展家长开放日，每学期进行家访次数不低于班级人数的60%，密切家校关系，相互沟通，形成教育合力，创建“和谐校园”。</w:t>
      </w:r>
    </w:p>
    <w:p>
      <w:pPr>
        <w:widowControl/>
        <w:spacing w:line="600" w:lineRule="exact"/>
        <w:ind w:firstLine="642" w:firstLineChars="200"/>
        <w:jc w:val="left"/>
        <w:rPr>
          <w:rFonts w:ascii="仿宋" w:hAnsi="仿宋" w:eastAsia="仿宋" w:cs="仿宋"/>
          <w:sz w:val="32"/>
          <w:szCs w:val="32"/>
        </w:rPr>
      </w:pPr>
      <w:r>
        <w:rPr>
          <w:rFonts w:hint="eastAsia" w:ascii="仿宋" w:hAnsi="仿宋" w:eastAsia="仿宋" w:cs="仿宋"/>
          <w:b/>
          <w:sz w:val="32"/>
          <w:szCs w:val="32"/>
        </w:rPr>
        <w:t>（三）队伍建设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一是师德师风建设。身教重于言教，首先要从自身做起，从日常小事</w:t>
      </w:r>
      <w:r>
        <w:rPr>
          <w:rFonts w:hint="eastAsia" w:ascii="仿宋" w:hAnsi="仿宋" w:eastAsia="仿宋" w:cs="仿宋"/>
          <w:bCs/>
          <w:sz w:val="32"/>
          <w:szCs w:val="32"/>
        </w:rPr>
        <w:t>做起，切实起到表率作用。</w:t>
      </w:r>
      <w:r>
        <w:rPr>
          <w:rFonts w:hint="eastAsia" w:ascii="仿宋" w:hAnsi="仿宋" w:eastAsia="仿宋" w:cs="仿宋"/>
          <w:sz w:val="32"/>
          <w:szCs w:val="32"/>
        </w:rPr>
        <w:t>每位校长都签订了党风廉政承诺书，每位教师都签订了师德师风建设承诺书，坚持做好每周一的教师宣誓活动、师德师风一周一总结一月一公示等师德师风常规工作。同时，开展“师德师风先进个人”评选活动，树立学生爱戴、同事佩服、领导放心、社会认可的先进典型，推动师德师风建设。一年来，认真学习党的各项方针政策，以十九大精神为指导，廉洁从政，以身作则，努力为学校的发展做出应尽的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教师专业成长。学校以提高教师专业素养为重点，通过骨干教师示范带头，青年教师“结对子”、“优质课评比”和举办各种技能大赛，促进教师基本功不断提高。学校还积极创造条件，支持和安排教师参加各类业务培训，组织教师到名校参观学习，去北京对标学校学习，邀请专家、名师来校做辅导，促进教师队伍的均衡发展，一年来，学校共组织参加国家、省、市级培训14人次，县级培训166人次，组织校本培训5次，8名教师参加了省、市、县级公开课，发表论文5篇。目前正在进行国家“十三五”教育科研规划课题《小学生学习及行为习惯养成教育实验研究》。</w:t>
      </w:r>
    </w:p>
    <w:p>
      <w:pPr>
        <w:spacing w:line="600" w:lineRule="exact"/>
        <w:ind w:firstLine="642" w:firstLineChars="200"/>
        <w:rPr>
          <w:rFonts w:ascii="仿宋" w:hAnsi="仿宋" w:eastAsia="仿宋" w:cs="仿宋"/>
          <w:b/>
          <w:sz w:val="32"/>
          <w:szCs w:val="32"/>
        </w:rPr>
      </w:pPr>
      <w:r>
        <w:rPr>
          <w:rFonts w:hint="eastAsia" w:ascii="仿宋" w:hAnsi="仿宋" w:eastAsia="仿宋" w:cs="仿宋"/>
          <w:b/>
          <w:sz w:val="32"/>
          <w:szCs w:val="32"/>
        </w:rPr>
        <w:t>（四）教学管理</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学校按照省定标准，开足开全国家和地方课程，紧紧围绕“德育为首、全面发展”办学理念，树立“大课程观”。制定并落实各项教学管理制度，扎实开展一诵读、一写字、一做操、一读英语、一唱歌等“五个一”活动，提高学生综合素养。</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（2）狠抓教学常规。学校根据“精讲、多练、高质、高效、减负”十字教学方针，按照集体备课-上观摩课-课后反思-小组研讨-再次观摩等程序，夯实教学常规。严格遵守要求，努力减轻学生课业负担。</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教改探索。学校根据“学为中心，顺学而导”的课堂教学模式，按照“引、启、讲、思、练、评”六字方针，以学生自主学习和小组合作学习为主要形式，以“自学预习检查—探究学习—反馈评议”为主要框架，积极开展自育自学课改研究，坚持课内比教学，课外比教研活动，努力打造高效课堂。</w:t>
      </w:r>
    </w:p>
    <w:p>
      <w:pPr>
        <w:tabs>
          <w:tab w:val="left" w:pos="639"/>
        </w:tabs>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（4）学校实行“推门听课”制度，校长和教师“不打招呼”，随机推门听课，“推门听课”为教师搭建了一个考验自我、挑战自我、发展自我的平台，也为教师创造了一个互相学习和交流的机会。</w:t>
      </w:r>
    </w:p>
    <w:p>
      <w:pPr>
        <w:spacing w:line="600" w:lineRule="exact"/>
        <w:ind w:firstLine="642" w:firstLineChars="200"/>
        <w:rPr>
          <w:rFonts w:ascii="仿宋" w:hAnsi="仿宋" w:eastAsia="仿宋" w:cs="仿宋"/>
          <w:b/>
          <w:sz w:val="32"/>
          <w:szCs w:val="32"/>
        </w:rPr>
      </w:pPr>
      <w:r>
        <w:rPr>
          <w:rFonts w:hint="eastAsia" w:ascii="仿宋" w:hAnsi="仿宋" w:eastAsia="仿宋" w:cs="仿宋"/>
          <w:b/>
          <w:sz w:val="32"/>
          <w:szCs w:val="32"/>
        </w:rPr>
        <w:t>（五）素质教育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学习魏书生教育思想。学习魏书生科学民主的管理思想，以培养好习惯为目标，努力做到人人有事做，事事有人做，时时有事做。利用每天的大课间，站军姿，大摆臂，国颁操，梅花拳，自编古诗韵律操，打造“健康校园，快乐校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2.是开展语文主题学习。自开展语文主题学习以来，我校先后去临西、邢台、河南林州、山西榆林、山东潍坊进行学习.</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是环境育人。按照校园“五化”标准，达到“春有花、夏有荫、秋有果、冬有绿”。围绕“传承文明，弘扬美德”主题，创建传统美德、文化常识、汉字演变、安全教育、经典诵读、梅花拳、乒乓球等系列文化。</w:t>
      </w:r>
    </w:p>
    <w:p>
      <w:pPr>
        <w:spacing w:line="600" w:lineRule="exact"/>
        <w:ind w:firstLine="642" w:firstLineChars="200"/>
        <w:rPr>
          <w:rFonts w:ascii="仿宋" w:hAnsi="仿宋" w:eastAsia="仿宋" w:cs="仿宋"/>
          <w:sz w:val="32"/>
          <w:szCs w:val="32"/>
        </w:rPr>
      </w:pPr>
      <w:r>
        <w:rPr>
          <w:rFonts w:hint="eastAsia" w:ascii="仿宋" w:hAnsi="仿宋" w:eastAsia="仿宋" w:cs="仿宋"/>
          <w:b/>
          <w:sz w:val="32"/>
          <w:szCs w:val="32"/>
        </w:rPr>
        <w:t xml:space="preserve">（七）安全管理 </w:t>
      </w:r>
    </w:p>
    <w:p>
      <w:pPr>
        <w:spacing w:line="600" w:lineRule="exact"/>
        <w:ind w:firstLine="640" w:firstLineChars="200"/>
        <w:rPr>
          <w:rFonts w:ascii="仿宋" w:hAnsi="仿宋" w:eastAsia="仿宋" w:cs="仿宋"/>
          <w:b/>
          <w:sz w:val="32"/>
          <w:szCs w:val="32"/>
        </w:rPr>
      </w:pPr>
      <w:r>
        <w:rPr>
          <w:rFonts w:hint="eastAsia" w:ascii="仿宋" w:hAnsi="仿宋" w:eastAsia="仿宋" w:cs="仿宋"/>
          <w:sz w:val="32"/>
          <w:szCs w:val="32"/>
        </w:rPr>
        <w:t>学校成立了以校长任组长的安全工作领导小组和平安自治校管会。制定了系统的安全管理制度，每天有1名校长带队值班，值班人员每晌提前半小时到校，放学后检查，学生完全走后再离校。</w:t>
      </w:r>
    </w:p>
    <w:p>
      <w:pPr>
        <w:pStyle w:val="1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pPr>
        <w:pStyle w:val="18"/>
        <w:ind w:firstLine="640"/>
        <w:rPr>
          <w:rFonts w:ascii="仿宋" w:hAnsi="仿宋" w:eastAsia="仿宋" w:cs="仿宋"/>
          <w:sz w:val="32"/>
          <w:szCs w:val="32"/>
        </w:rPr>
      </w:pPr>
      <w:r>
        <w:rPr>
          <w:rFonts w:hint="eastAsia" w:ascii="仿宋" w:hAnsi="仿宋" w:eastAsia="仿宋" w:cs="仿宋"/>
          <w:sz w:val="32"/>
          <w:szCs w:val="32"/>
        </w:rPr>
        <w:t xml:space="preserve">2020年,一般公共预算财政拨款749.57万元，日常公用经费35.55万元；其中人员工资支出678.78万元，对个人和家庭的补助11.91万元。  </w:t>
      </w:r>
    </w:p>
    <w:p>
      <w:pPr>
        <w:ind w:left="643"/>
        <w:rPr>
          <w:rFonts w:ascii="仿宋" w:hAnsi="仿宋" w:eastAsia="仿宋" w:cs="仿宋"/>
          <w:b/>
          <w:sz w:val="32"/>
          <w:szCs w:val="32"/>
        </w:rPr>
      </w:pPr>
      <w:r>
        <w:rPr>
          <w:rFonts w:hint="eastAsia" w:ascii="仿宋" w:hAnsi="仿宋" w:eastAsia="仿宋" w:cs="仿宋"/>
          <w:b/>
          <w:sz w:val="32"/>
          <w:szCs w:val="32"/>
        </w:rPr>
        <w:t>二、绩效评价的组织实施情况。</w:t>
      </w:r>
    </w:p>
    <w:p>
      <w:pPr>
        <w:ind w:firstLine="640" w:firstLineChars="200"/>
        <w:rPr>
          <w:rFonts w:ascii="仿宋" w:hAnsi="仿宋" w:eastAsia="仿宋" w:cs="仿宋"/>
          <w:sz w:val="32"/>
          <w:szCs w:val="32"/>
        </w:rPr>
      </w:pPr>
      <w:r>
        <w:rPr>
          <w:rFonts w:hint="eastAsia" w:ascii="仿宋" w:hAnsi="仿宋" w:eastAsia="仿宋" w:cs="仿宋"/>
          <w:sz w:val="32"/>
          <w:szCs w:val="32"/>
        </w:rPr>
        <w:t>我校对纳入2020年绩效目标管理的项目开展绩效自评工作，绩效自评良好。</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w:t>
      </w:r>
    </w:p>
    <w:p>
      <w:pPr>
        <w:ind w:left="643" w:firstLine="480" w:firstLineChars="150"/>
        <w:rPr>
          <w:rFonts w:ascii="仿宋" w:hAnsi="仿宋" w:eastAsia="仿宋" w:cs="仿宋"/>
          <w:b/>
          <w:sz w:val="32"/>
          <w:szCs w:val="32"/>
        </w:rPr>
      </w:pPr>
      <w:r>
        <w:rPr>
          <w:rFonts w:hint="eastAsia" w:ascii="仿宋" w:hAnsi="仿宋" w:eastAsia="仿宋" w:cs="仿宋"/>
          <w:sz w:val="32"/>
          <w:szCs w:val="32"/>
        </w:rPr>
        <w:t>自评指标体系不够精细，绩效目标不具体。针对上述问题，在今后的预算绩效申报时，需相关业务处室将工作任务细化分解为具体的工作</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11</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02F5D"/>
    <w:multiLevelType w:val="multilevel"/>
    <w:tmpl w:val="0D202F5D"/>
    <w:lvl w:ilvl="0" w:tentative="0">
      <w:start w:val="1"/>
      <w:numFmt w:val="japaneseCounting"/>
      <w:lvlText w:val="（%1）"/>
      <w:lvlJc w:val="left"/>
      <w:pPr>
        <w:ind w:left="2140" w:hanging="150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3CC8"/>
    <w:rsid w:val="00185A3C"/>
    <w:rsid w:val="00192D5A"/>
    <w:rsid w:val="001C59B3"/>
    <w:rsid w:val="001E0886"/>
    <w:rsid w:val="001F7E31"/>
    <w:rsid w:val="00202F92"/>
    <w:rsid w:val="002071BC"/>
    <w:rsid w:val="00225AE6"/>
    <w:rsid w:val="00235F0F"/>
    <w:rsid w:val="002504DF"/>
    <w:rsid w:val="00255783"/>
    <w:rsid w:val="00290BA1"/>
    <w:rsid w:val="002A6AEA"/>
    <w:rsid w:val="002D7C74"/>
    <w:rsid w:val="002F2268"/>
    <w:rsid w:val="003C50C2"/>
    <w:rsid w:val="003E3E02"/>
    <w:rsid w:val="0041099F"/>
    <w:rsid w:val="00436A1D"/>
    <w:rsid w:val="004379D7"/>
    <w:rsid w:val="00471EEB"/>
    <w:rsid w:val="004A68B1"/>
    <w:rsid w:val="004B64F3"/>
    <w:rsid w:val="004E3B64"/>
    <w:rsid w:val="004F7327"/>
    <w:rsid w:val="005020C5"/>
    <w:rsid w:val="00567FE6"/>
    <w:rsid w:val="0058162A"/>
    <w:rsid w:val="005B3616"/>
    <w:rsid w:val="005D024B"/>
    <w:rsid w:val="005E12FA"/>
    <w:rsid w:val="00683167"/>
    <w:rsid w:val="006A5056"/>
    <w:rsid w:val="006E64C9"/>
    <w:rsid w:val="007048FF"/>
    <w:rsid w:val="00712100"/>
    <w:rsid w:val="0071700D"/>
    <w:rsid w:val="00742652"/>
    <w:rsid w:val="00756668"/>
    <w:rsid w:val="00772600"/>
    <w:rsid w:val="007D5D41"/>
    <w:rsid w:val="007F01F9"/>
    <w:rsid w:val="00856BA1"/>
    <w:rsid w:val="00867620"/>
    <w:rsid w:val="008709E0"/>
    <w:rsid w:val="008A6A10"/>
    <w:rsid w:val="008A6A31"/>
    <w:rsid w:val="00904AF4"/>
    <w:rsid w:val="00905542"/>
    <w:rsid w:val="00917700"/>
    <w:rsid w:val="00942571"/>
    <w:rsid w:val="00956F74"/>
    <w:rsid w:val="009B0B5F"/>
    <w:rsid w:val="009B7F2F"/>
    <w:rsid w:val="009C04DA"/>
    <w:rsid w:val="009C4C62"/>
    <w:rsid w:val="009E3627"/>
    <w:rsid w:val="009F53E7"/>
    <w:rsid w:val="00A11BF8"/>
    <w:rsid w:val="00A14A33"/>
    <w:rsid w:val="00A6449D"/>
    <w:rsid w:val="00A768DB"/>
    <w:rsid w:val="00AA09C8"/>
    <w:rsid w:val="00AD4002"/>
    <w:rsid w:val="00AD5F30"/>
    <w:rsid w:val="00B0681D"/>
    <w:rsid w:val="00B31494"/>
    <w:rsid w:val="00B4371D"/>
    <w:rsid w:val="00B9023F"/>
    <w:rsid w:val="00B905D1"/>
    <w:rsid w:val="00BC1FDC"/>
    <w:rsid w:val="00BD0FD8"/>
    <w:rsid w:val="00C44804"/>
    <w:rsid w:val="00C6362A"/>
    <w:rsid w:val="00C81363"/>
    <w:rsid w:val="00CB27A5"/>
    <w:rsid w:val="00CD55ED"/>
    <w:rsid w:val="00CD63C0"/>
    <w:rsid w:val="00CE62A0"/>
    <w:rsid w:val="00D21F0C"/>
    <w:rsid w:val="00D366C1"/>
    <w:rsid w:val="00D877F7"/>
    <w:rsid w:val="00DB2D43"/>
    <w:rsid w:val="00DB4731"/>
    <w:rsid w:val="00DC79C1"/>
    <w:rsid w:val="00E266F1"/>
    <w:rsid w:val="00EB16A8"/>
    <w:rsid w:val="00EC7904"/>
    <w:rsid w:val="00F673F7"/>
    <w:rsid w:val="00F72E93"/>
    <w:rsid w:val="00F87A11"/>
    <w:rsid w:val="00FB7E01"/>
    <w:rsid w:val="00FE5F4C"/>
    <w:rsid w:val="00FF39F6"/>
    <w:rsid w:val="05374814"/>
    <w:rsid w:val="0F8F6BFC"/>
    <w:rsid w:val="3791647A"/>
    <w:rsid w:val="455969D8"/>
    <w:rsid w:val="526A3656"/>
    <w:rsid w:val="5D643D56"/>
    <w:rsid w:val="69BD0A47"/>
    <w:rsid w:val="71A911C9"/>
    <w:rsid w:val="7CCC213E"/>
    <w:rsid w:val="9799D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8">
    <w:name w:val="List Paragraph"/>
    <w:basedOn w:val="1"/>
    <w:unhideWhenUsed/>
    <w:qFormat/>
    <w:uiPriority w:val="99"/>
    <w:pPr>
      <w:ind w:firstLine="420" w:firstLineChars="200"/>
    </w:p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1156</Words>
  <Characters>6592</Characters>
  <Lines>54</Lines>
  <Paragraphs>15</Paragraphs>
  <TotalTime>83</TotalTime>
  <ScaleCrop>false</ScaleCrop>
  <LinksUpToDate>false</LinksUpToDate>
  <CharactersWithSpaces>7733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2025-04-10T09:41:24Z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D4C70B04F894B7EFC421F7672A64A331</vt:lpwstr>
  </property>
</Properties>
</file>