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宋体" w:hAnsi="宋体" w:eastAsia="宋体" w:cs="宋体"/>
          <w:b/>
          <w:color w:val="000000"/>
          <w:kern w:val="0"/>
          <w:sz w:val="44"/>
          <w:szCs w:val="44"/>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32"/>
          <w:szCs w:val="32"/>
        </w:rPr>
        <w:t>县直一幼整体支出绩效评价</w:t>
      </w:r>
      <w:r>
        <w:rPr>
          <w:rFonts w:hint="eastAsia" w:ascii="宋体" w:hAnsi="宋体" w:eastAsia="宋体" w:cs="宋体"/>
          <w:b/>
          <w:color w:val="000000"/>
          <w:kern w:val="0"/>
          <w:sz w:val="32"/>
          <w:szCs w:val="32"/>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center"/>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符合（1）；</w:t>
            </w:r>
          </w:p>
          <w:p>
            <w:pPr>
              <w:widowControl/>
              <w:spacing w:line="240" w:lineRule="exact"/>
              <w:jc w:val="center"/>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center"/>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全部符合（2）；</w:t>
            </w:r>
          </w:p>
          <w:p>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center"/>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全部符合（2）；</w:t>
            </w:r>
          </w:p>
          <w:p>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7"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center"/>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1.预算调整率等于0的，得满分；</w:t>
            </w:r>
          </w:p>
          <w:p>
            <w:pPr>
              <w:widowControl/>
              <w:spacing w:line="240" w:lineRule="exact"/>
              <w:jc w:val="center"/>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center"/>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center"/>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3"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center"/>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center"/>
              <w:rPr>
                <w:szCs w:val="21"/>
              </w:rPr>
            </w:pPr>
            <w:r>
              <w:rPr>
                <w:rFonts w:ascii="仿宋_GB2312" w:hAnsi="新宋体" w:eastAsia="仿宋_GB2312" w:cs="仿宋_GB2312"/>
                <w:kern w:val="0"/>
                <w:szCs w:val="21"/>
              </w:rPr>
              <w:t>2.资金的拨付有完整的审批过程和手续；</w:t>
            </w:r>
          </w:p>
          <w:p>
            <w:pPr>
              <w:widowControl/>
              <w:spacing w:line="240" w:lineRule="exact"/>
              <w:jc w:val="center"/>
              <w:rPr>
                <w:szCs w:val="21"/>
              </w:rPr>
            </w:pPr>
            <w:r>
              <w:rPr>
                <w:rFonts w:ascii="仿宋_GB2312" w:hAnsi="新宋体" w:eastAsia="仿宋_GB2312" w:cs="仿宋_GB2312"/>
                <w:kern w:val="0"/>
                <w:szCs w:val="21"/>
              </w:rPr>
              <w:t>3.项目的重大开支经过评估论证；</w:t>
            </w:r>
          </w:p>
          <w:p>
            <w:pPr>
              <w:widowControl/>
              <w:spacing w:line="240" w:lineRule="exact"/>
              <w:jc w:val="center"/>
              <w:rPr>
                <w:szCs w:val="21"/>
              </w:rPr>
            </w:pPr>
            <w:r>
              <w:rPr>
                <w:rFonts w:ascii="仿宋_GB2312" w:hAnsi="新宋体" w:eastAsia="仿宋_GB2312" w:cs="仿宋_GB2312"/>
                <w:kern w:val="0"/>
                <w:szCs w:val="21"/>
              </w:rPr>
              <w:t>4.符合部门预算批复的用途；</w:t>
            </w:r>
          </w:p>
          <w:p>
            <w:pPr>
              <w:widowControl/>
              <w:spacing w:line="240" w:lineRule="exact"/>
              <w:jc w:val="center"/>
              <w:rPr>
                <w:szCs w:val="21"/>
              </w:rPr>
            </w:pPr>
            <w:r>
              <w:rPr>
                <w:rFonts w:ascii="仿宋_GB2312" w:hAnsi="新宋体" w:eastAsia="仿宋_GB2312" w:cs="仿宋_GB2312"/>
                <w:kern w:val="0"/>
                <w:szCs w:val="21"/>
              </w:rPr>
              <w:t>5.不存在截留情况；</w:t>
            </w:r>
          </w:p>
          <w:p>
            <w:pPr>
              <w:widowControl/>
              <w:spacing w:line="240" w:lineRule="exact"/>
              <w:jc w:val="center"/>
              <w:rPr>
                <w:szCs w:val="21"/>
              </w:rPr>
            </w:pPr>
            <w:r>
              <w:rPr>
                <w:rFonts w:ascii="仿宋_GB2312" w:hAnsi="新宋体" w:eastAsia="仿宋_GB2312" w:cs="仿宋_GB2312"/>
                <w:kern w:val="0"/>
                <w:szCs w:val="21"/>
              </w:rPr>
              <w:t>6.不存在挤占情况；</w:t>
            </w:r>
          </w:p>
          <w:p>
            <w:pPr>
              <w:widowControl/>
              <w:spacing w:line="240" w:lineRule="exact"/>
              <w:jc w:val="center"/>
              <w:rPr>
                <w:szCs w:val="21"/>
              </w:rPr>
            </w:pPr>
            <w:r>
              <w:rPr>
                <w:rFonts w:ascii="仿宋_GB2312" w:hAnsi="新宋体" w:eastAsia="仿宋_GB2312" w:cs="仿宋_GB2312"/>
                <w:kern w:val="0"/>
                <w:szCs w:val="21"/>
              </w:rPr>
              <w:t>7.不存在挪用情况；</w:t>
            </w:r>
          </w:p>
          <w:p>
            <w:pPr>
              <w:widowControl/>
              <w:spacing w:line="240" w:lineRule="exact"/>
              <w:jc w:val="center"/>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全部符合（8）；</w:t>
            </w:r>
          </w:p>
          <w:p>
            <w:pPr>
              <w:widowControl/>
              <w:spacing w:line="240" w:lineRule="exact"/>
              <w:jc w:val="center"/>
              <w:rPr>
                <w:szCs w:val="21"/>
              </w:rPr>
            </w:pPr>
            <w:r>
              <w:rPr>
                <w:rFonts w:ascii="仿宋_GB2312" w:hAnsi="新宋体" w:eastAsia="仿宋_GB2312" w:cs="仿宋_GB2312"/>
                <w:kern w:val="0"/>
                <w:szCs w:val="21"/>
              </w:rPr>
              <w:t>符合其中七项（6）；</w:t>
            </w:r>
          </w:p>
          <w:p>
            <w:pPr>
              <w:widowControl/>
              <w:spacing w:line="240" w:lineRule="exact"/>
              <w:jc w:val="center"/>
              <w:rPr>
                <w:szCs w:val="21"/>
              </w:rPr>
            </w:pPr>
            <w:r>
              <w:rPr>
                <w:rFonts w:ascii="仿宋_GB2312" w:hAnsi="新宋体" w:eastAsia="仿宋_GB2312" w:cs="仿宋_GB2312"/>
                <w:kern w:val="0"/>
                <w:szCs w:val="21"/>
              </w:rPr>
              <w:t>符合其中六项（4）；</w:t>
            </w:r>
          </w:p>
          <w:p>
            <w:pPr>
              <w:widowControl/>
              <w:spacing w:line="240" w:lineRule="exact"/>
              <w:jc w:val="center"/>
              <w:rPr>
                <w:szCs w:val="21"/>
              </w:rPr>
            </w:pPr>
            <w:r>
              <w:rPr>
                <w:rFonts w:ascii="仿宋_GB2312" w:hAnsi="新宋体" w:eastAsia="仿宋_GB2312" w:cs="仿宋_GB2312"/>
                <w:kern w:val="0"/>
                <w:szCs w:val="21"/>
              </w:rPr>
              <w:t>符合其中五项（2）；</w:t>
            </w:r>
          </w:p>
          <w:p>
            <w:pPr>
              <w:widowControl/>
              <w:spacing w:line="240" w:lineRule="exact"/>
              <w:jc w:val="center"/>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2"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center"/>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1.公开预决算信息；</w:t>
            </w:r>
          </w:p>
          <w:p>
            <w:pPr>
              <w:widowControl/>
              <w:spacing w:line="240" w:lineRule="exact"/>
              <w:jc w:val="center"/>
              <w:rPr>
                <w:szCs w:val="21"/>
              </w:rPr>
            </w:pPr>
            <w:r>
              <w:rPr>
                <w:rFonts w:ascii="仿宋_GB2312" w:hAnsi="新宋体" w:eastAsia="仿宋_GB2312" w:cs="仿宋_GB2312"/>
                <w:kern w:val="0"/>
                <w:szCs w:val="21"/>
              </w:rPr>
              <w:t>2.按规定内容公开预决算信息；</w:t>
            </w:r>
          </w:p>
          <w:p>
            <w:pPr>
              <w:widowControl/>
              <w:spacing w:line="240" w:lineRule="exact"/>
              <w:jc w:val="center"/>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全部符合（3）；</w:t>
            </w:r>
          </w:p>
          <w:p>
            <w:pPr>
              <w:widowControl/>
              <w:spacing w:line="240" w:lineRule="exact"/>
              <w:jc w:val="center"/>
              <w:rPr>
                <w:szCs w:val="21"/>
              </w:rPr>
            </w:pPr>
            <w:r>
              <w:rPr>
                <w:rFonts w:ascii="仿宋_GB2312" w:hAnsi="新宋体" w:eastAsia="仿宋_GB2312" w:cs="仿宋_GB2312"/>
                <w:kern w:val="0"/>
                <w:szCs w:val="21"/>
              </w:rPr>
              <w:t>符合其中两项（2）</w:t>
            </w:r>
          </w:p>
          <w:p>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5"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1.基本财务管理制度健全；</w:t>
            </w:r>
          </w:p>
          <w:p>
            <w:pPr>
              <w:widowControl/>
              <w:spacing w:line="240" w:lineRule="exact"/>
              <w:jc w:val="center"/>
              <w:rPr>
                <w:szCs w:val="21"/>
              </w:rPr>
            </w:pPr>
            <w:r>
              <w:rPr>
                <w:rFonts w:ascii="仿宋_GB2312" w:hAnsi="新宋体" w:eastAsia="仿宋_GB2312" w:cs="仿宋_GB2312"/>
                <w:kern w:val="0"/>
                <w:szCs w:val="21"/>
              </w:rPr>
              <w:t>2.基础数据信息和会计信息资料真实；</w:t>
            </w:r>
          </w:p>
          <w:p>
            <w:pPr>
              <w:widowControl/>
              <w:spacing w:line="240" w:lineRule="exact"/>
              <w:jc w:val="center"/>
              <w:rPr>
                <w:szCs w:val="21"/>
              </w:rPr>
            </w:pPr>
            <w:r>
              <w:rPr>
                <w:rFonts w:ascii="仿宋_GB2312" w:hAnsi="新宋体" w:eastAsia="仿宋_GB2312" w:cs="仿宋_GB2312"/>
                <w:kern w:val="0"/>
                <w:szCs w:val="21"/>
              </w:rPr>
              <w:t>3.基础数据信息和会计信息资料完整；</w:t>
            </w:r>
          </w:p>
          <w:p>
            <w:pPr>
              <w:widowControl/>
              <w:spacing w:line="240" w:lineRule="exact"/>
              <w:jc w:val="center"/>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符合全部四项（4）；</w:t>
            </w:r>
          </w:p>
          <w:p>
            <w:pPr>
              <w:widowControl/>
              <w:spacing w:line="240" w:lineRule="exact"/>
              <w:jc w:val="center"/>
              <w:rPr>
                <w:szCs w:val="21"/>
              </w:rPr>
            </w:pPr>
            <w:r>
              <w:rPr>
                <w:rFonts w:ascii="仿宋_GB2312" w:hAnsi="新宋体" w:eastAsia="仿宋_GB2312" w:cs="仿宋_GB2312"/>
                <w:kern w:val="0"/>
                <w:szCs w:val="21"/>
              </w:rPr>
              <w:t>符合其中三项（2）；</w:t>
            </w:r>
          </w:p>
          <w:p>
            <w:pPr>
              <w:widowControl/>
              <w:spacing w:line="240" w:lineRule="exact"/>
              <w:jc w:val="center"/>
              <w:rPr>
                <w:szCs w:val="21"/>
              </w:rPr>
            </w:pPr>
            <w:r>
              <w:rPr>
                <w:rFonts w:ascii="仿宋_GB2312" w:hAnsi="新宋体" w:eastAsia="仿宋_GB2312" w:cs="仿宋_GB2312"/>
                <w:kern w:val="0"/>
                <w:szCs w:val="21"/>
              </w:rPr>
              <w:t>符合其中两项（1）；</w:t>
            </w:r>
          </w:p>
          <w:p>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center"/>
              <w:rPr>
                <w:szCs w:val="21"/>
              </w:rPr>
            </w:pPr>
            <w:r>
              <w:rPr>
                <w:rFonts w:ascii="仿宋_GB2312" w:hAnsi="新宋体" w:eastAsia="仿宋_GB2312" w:cs="仿宋_GB2312"/>
                <w:kern w:val="0"/>
                <w:szCs w:val="21"/>
              </w:rPr>
              <w:t>评价要点：</w:t>
            </w:r>
          </w:p>
          <w:p>
            <w:pPr>
              <w:widowControl/>
              <w:spacing w:line="240" w:lineRule="exact"/>
              <w:jc w:val="center"/>
              <w:rPr>
                <w:szCs w:val="21"/>
              </w:rPr>
            </w:pPr>
            <w:r>
              <w:rPr>
                <w:rFonts w:ascii="仿宋_GB2312" w:hAnsi="新宋体" w:eastAsia="仿宋_GB2312" w:cs="仿宋_GB2312"/>
                <w:kern w:val="0"/>
                <w:szCs w:val="21"/>
              </w:rPr>
              <w:t>1.资产保存完整；</w:t>
            </w:r>
          </w:p>
          <w:p>
            <w:pPr>
              <w:widowControl/>
              <w:spacing w:line="240" w:lineRule="exact"/>
              <w:jc w:val="center"/>
              <w:rPr>
                <w:szCs w:val="21"/>
              </w:rPr>
            </w:pPr>
            <w:r>
              <w:rPr>
                <w:rFonts w:ascii="仿宋_GB2312" w:hAnsi="新宋体" w:eastAsia="仿宋_GB2312" w:cs="仿宋_GB2312"/>
                <w:kern w:val="0"/>
                <w:szCs w:val="21"/>
              </w:rPr>
              <w:t>2.资产账务管理是否合规，帐实相符；</w:t>
            </w:r>
          </w:p>
          <w:p>
            <w:pPr>
              <w:widowControl/>
              <w:spacing w:line="240" w:lineRule="exact"/>
              <w:jc w:val="center"/>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符合全部三项（3）；</w:t>
            </w:r>
          </w:p>
          <w:p>
            <w:pPr>
              <w:widowControl/>
              <w:spacing w:line="240" w:lineRule="exact"/>
              <w:jc w:val="center"/>
              <w:rPr>
                <w:szCs w:val="21"/>
              </w:rPr>
            </w:pPr>
            <w:r>
              <w:rPr>
                <w:rFonts w:ascii="仿宋_GB2312" w:hAnsi="新宋体" w:eastAsia="仿宋_GB2312" w:cs="仿宋_GB2312"/>
                <w:kern w:val="0"/>
                <w:szCs w:val="21"/>
              </w:rPr>
              <w:t>符合其中两项（2）；</w:t>
            </w:r>
          </w:p>
          <w:p>
            <w:pPr>
              <w:widowControl/>
              <w:spacing w:line="240" w:lineRule="exact"/>
              <w:jc w:val="center"/>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center"/>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center"/>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center"/>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center"/>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6"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p>
            <w:pPr>
              <w:widowControl/>
              <w:spacing w:line="240" w:lineRule="exact"/>
              <w:jc w:val="center"/>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center"/>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b/>
                <w:bCs/>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b/>
                <w:bCs/>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仿宋_GB2312" w:hAnsi="新宋体" w:eastAsia="仿宋_GB2312" w:cs="仿宋_GB2312"/>
                <w:b/>
                <w:bCs/>
                <w:color w:val="000000"/>
                <w:kern w:val="0"/>
                <w:szCs w:val="21"/>
              </w:rPr>
            </w:pPr>
            <w:r>
              <w:rPr>
                <w:rFonts w:hint="eastAsia" w:ascii="仿宋_GB2312" w:hAnsi="新宋体" w:eastAsia="仿宋_GB2312" w:cs="仿宋_GB2312"/>
                <w:b/>
                <w:bCs/>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部门及所属二级单位履行职责对社会发展所带来的直接或间接影响。</w:t>
            </w:r>
          </w:p>
          <w:p>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评价要点：</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 xml:space="preserve">1.通过部门所属企事业单位的改革，促进了企事业单位可持续发展，带动就业增长情况；          </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2.通过预算支出项目的实施，是否明显促进了行业精神文明建设；</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3.通过部门履职是否明显提高城乡居民生活水平，满足了人们日益增长的物质与文化生活需求；</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4.通过预算项目的实施，是否提高了劳动生产率，降低了劳动强度，促进了劳动人民的身心健康；</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b/>
                <w:bCs/>
                <w:szCs w:val="21"/>
              </w:rPr>
            </w:pPr>
            <w:r>
              <w:rPr>
                <w:rFonts w:hint="eastAsia" w:ascii="仿宋" w:hAnsi="仿宋" w:eastAsia="仿宋" w:cs="仿宋"/>
                <w:b/>
                <w:bCs/>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b/>
                <w:bCs/>
                <w:szCs w:val="21"/>
              </w:rPr>
            </w:pPr>
            <w:r>
              <w:rPr>
                <w:rFonts w:hint="eastAsia"/>
                <w:b/>
                <w:bCs/>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center"/>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jc w:val="center"/>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bl>
    <w:p>
      <w:pPr>
        <w:jc w:val="center"/>
        <w:rPr>
          <w:rFonts w:ascii="仿宋" w:hAnsi="仿宋" w:eastAsia="仿宋" w:cs="仿宋"/>
          <w:b/>
          <w:bCs/>
          <w:sz w:val="44"/>
          <w:szCs w:val="44"/>
        </w:rPr>
      </w:pPr>
      <w:r>
        <w:rPr>
          <w:rFonts w:hint="eastAsia" w:ascii="仿宋" w:hAnsi="仿宋" w:eastAsia="仿宋" w:cs="仿宋"/>
          <w:b/>
          <w:bCs/>
          <w:sz w:val="44"/>
          <w:szCs w:val="44"/>
        </w:rPr>
        <w:t>县直一幼整体支出绩效评价报告</w:t>
      </w:r>
    </w:p>
    <w:p>
      <w:pPr>
        <w:widowControl/>
        <w:numPr>
          <w:ilvl w:val="0"/>
          <w:numId w:val="1"/>
        </w:numPr>
        <w:shd w:val="clear" w:color="auto" w:fill="FFFFFF"/>
        <w:spacing w:line="400" w:lineRule="atLeast"/>
        <w:ind w:firstLine="550"/>
        <w:jc w:val="left"/>
        <w:rPr>
          <w:rFonts w:ascii="仿宋" w:hAnsi="仿宋" w:eastAsia="仿宋" w:cs="仿宋"/>
          <w:sz w:val="32"/>
          <w:szCs w:val="32"/>
        </w:rPr>
      </w:pPr>
      <w:r>
        <w:rPr>
          <w:rFonts w:hint="eastAsia" w:ascii="黑体" w:hAnsi="黑体" w:eastAsia="黑体" w:cs="黑体"/>
          <w:sz w:val="32"/>
          <w:szCs w:val="32"/>
        </w:rPr>
        <w:t>基本概况。</w:t>
      </w:r>
    </w:p>
    <w:p>
      <w:pPr>
        <w:widowControl/>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1、部门组织架构、人员</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平乡县县直第一幼儿园是一所公办幼儿园，在编教职工1</w:t>
      </w:r>
      <w:r>
        <w:rPr>
          <w:rFonts w:hint="eastAsia" w:ascii="仿宋" w:hAnsi="仿宋" w:eastAsia="仿宋" w:cs="仿宋"/>
          <w:sz w:val="32"/>
          <w:szCs w:val="32"/>
          <w:lang w:val="en-US" w:eastAsia="zh-CN"/>
        </w:rPr>
        <w:t>9</w:t>
      </w:r>
      <w:r>
        <w:rPr>
          <w:rFonts w:hint="eastAsia" w:ascii="仿宋" w:hAnsi="仿宋" w:eastAsia="仿宋" w:cs="仿宋"/>
          <w:sz w:val="32"/>
          <w:szCs w:val="32"/>
        </w:rPr>
        <w:t>人,</w:t>
      </w:r>
      <w:r>
        <w:rPr>
          <w:rFonts w:hint="eastAsia" w:ascii="仿宋" w:hAnsi="仿宋" w:eastAsia="仿宋" w:cs="仿宋"/>
          <w:sz w:val="32"/>
          <w:szCs w:val="32"/>
          <w:lang w:val="en-US" w:eastAsia="zh-CN"/>
        </w:rPr>
        <w:t>10</w:t>
      </w:r>
      <w:r>
        <w:rPr>
          <w:rFonts w:hint="eastAsia" w:ascii="仿宋" w:hAnsi="仿宋" w:eastAsia="仿宋" w:cs="仿宋"/>
          <w:sz w:val="32"/>
          <w:szCs w:val="32"/>
        </w:rPr>
        <w:t>个教学班级,共计幼儿</w:t>
      </w:r>
      <w:r>
        <w:rPr>
          <w:rFonts w:hint="eastAsia" w:ascii="仿宋" w:hAnsi="仿宋" w:eastAsia="仿宋" w:cs="仿宋"/>
          <w:sz w:val="32"/>
          <w:szCs w:val="32"/>
          <w:lang w:val="en-US" w:eastAsia="zh-CN"/>
        </w:rPr>
        <w:t>340</w:t>
      </w:r>
      <w:r>
        <w:rPr>
          <w:rFonts w:hint="eastAsia" w:ascii="仿宋" w:hAnsi="仿宋" w:eastAsia="仿宋" w:cs="仿宋"/>
          <w:sz w:val="32"/>
          <w:szCs w:val="32"/>
        </w:rPr>
        <w:t>名.我单位为财政全额拨款单位,执行事业会计制度。</w:t>
      </w:r>
    </w:p>
    <w:p>
      <w:pPr>
        <w:widowControl/>
        <w:numPr>
          <w:ilvl w:val="0"/>
          <w:numId w:val="2"/>
        </w:numPr>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资产情况</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我园制定了健全的资产管理制度，严格资产的购置、领用、处置、报废等工作程序。 所有资产全部按要求建档建册，用卡片进行登记，款物相符，登记准确无误。合理使用有限资金，集中力量，加大教育教学、教育科研的投入。各项收入做到心中有数，坚持做到了“量入为出，以收定支，略有节余”。 </w:t>
      </w:r>
    </w:p>
    <w:p>
      <w:pPr>
        <w:widowControl/>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3、部门主要职责职能</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贯彻国家的教育方针，按照保育和教育相结合的原则，遵循幼儿身心发展特点和规律，实施德、智、体、美等方面全面发展的教育，促进幼儿身心和谐发展。同时面向幼儿家长提供科学育儿指导。</w:t>
      </w:r>
    </w:p>
    <w:p>
      <w:pPr>
        <w:widowControl/>
        <w:shd w:val="clear" w:color="auto" w:fill="FFFFFF"/>
        <w:spacing w:line="400" w:lineRule="atLeast"/>
        <w:ind w:left="550"/>
        <w:jc w:val="left"/>
        <w:rPr>
          <w:rFonts w:ascii="仿宋" w:hAnsi="仿宋" w:eastAsia="仿宋" w:cs="仿宋"/>
          <w:b/>
          <w:bCs/>
          <w:sz w:val="32"/>
          <w:szCs w:val="32"/>
        </w:rPr>
      </w:pPr>
      <w:r>
        <w:rPr>
          <w:rFonts w:hint="eastAsia" w:ascii="仿宋" w:hAnsi="仿宋" w:eastAsia="仿宋" w:cs="仿宋"/>
          <w:b/>
          <w:bCs/>
          <w:sz w:val="32"/>
          <w:szCs w:val="32"/>
        </w:rPr>
        <w:t>4、部门履职总体目标</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(一）满足当前学前教育的需求，力求为幼儿提供最优质的启蒙教育服务。</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（二）改善教育教学环境，使我园的教育教学环境能符合当前幼儿教育的新要求，为幼儿的成长提供更加舒适的学习环境。</w:t>
      </w:r>
    </w:p>
    <w:p>
      <w:pPr>
        <w:widowControl/>
        <w:shd w:val="clear" w:color="auto" w:fill="FFFFFF"/>
        <w:spacing w:line="400" w:lineRule="atLeas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5、年度整体绩效目标、工作任务</w:t>
      </w:r>
    </w:p>
    <w:p>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园认真贯彻&lt;&lt;幼儿园工作规程&gt;&gt;和&lt;&lt;幼儿园工作条例&gt;&gt;，一直坚持以保教为主,以办园质量得到家长和社会的认可为目标,遵循教育规律与幼儿年龄特点组织保教活动,大力提高保教质量,同时面向幼儿家长提供科学育儿指导，不断完善和提高幼儿园的整体形象和水平,起引领示范的带头作用，培养德智体美劳全面和谐发展的社会主义建设者和接班人。</w:t>
      </w:r>
    </w:p>
    <w:p>
      <w:pPr>
        <w:widowControl/>
        <w:shd w:val="clear" w:color="auto" w:fill="FFFFFF"/>
        <w:spacing w:line="40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6、预算资金安排及资金支出情况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年我园预算资金安排共计</w:t>
      </w:r>
      <w:r>
        <w:rPr>
          <w:rFonts w:hint="eastAsia" w:ascii="仿宋" w:hAnsi="仿宋" w:eastAsia="仿宋" w:cs="仿宋"/>
          <w:sz w:val="32"/>
          <w:szCs w:val="32"/>
          <w:lang w:val="en-US" w:eastAsia="zh-CN"/>
        </w:rPr>
        <w:t>306.45</w:t>
      </w:r>
      <w:r>
        <w:rPr>
          <w:rFonts w:hint="eastAsia" w:ascii="仿宋" w:hAnsi="仿宋" w:eastAsia="仿宋" w:cs="仿宋"/>
          <w:sz w:val="32"/>
          <w:szCs w:val="32"/>
        </w:rPr>
        <w:t>万元，主要用于人员经费以及办公费、印刷费、水电费、环境创设布置、办公设备购置等日常公用经费支出。其中人员经费支出</w:t>
      </w:r>
      <w:r>
        <w:rPr>
          <w:rFonts w:hint="eastAsia" w:ascii="仿宋" w:hAnsi="仿宋" w:eastAsia="仿宋" w:cs="仿宋"/>
          <w:sz w:val="32"/>
          <w:szCs w:val="32"/>
          <w:lang w:val="en-US" w:eastAsia="zh-CN"/>
        </w:rPr>
        <w:t>165.15</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136.8</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我园认真贯彻中央八项规定和六项禁令,厉行节约、日常公用经费，先后制定了《财务管理制度》《内部控制制度》并就劳务费、差旅费、办公费等制定了相关实施细则，实行“部门预算”公开制度，就大额资金实行园务集体决策制度，有效控制了一般公共性支出，实际支出没有超出预算规模、范围和标准。</w:t>
      </w:r>
    </w:p>
    <w:p>
      <w:pPr>
        <w:ind w:firstLine="640" w:firstLineChars="200"/>
        <w:rPr>
          <w:rFonts w:ascii="黑体" w:hAnsi="黑体" w:eastAsia="黑体" w:cs="黑体"/>
          <w:sz w:val="32"/>
          <w:szCs w:val="32"/>
        </w:rPr>
      </w:pPr>
      <w:r>
        <w:rPr>
          <w:rFonts w:hint="eastAsia" w:ascii="黑体" w:hAnsi="黑体" w:eastAsia="黑体" w:cs="黑体"/>
          <w:sz w:val="32"/>
          <w:szCs w:val="32"/>
        </w:rPr>
        <w:t>二、预算绩效管理开展及整体绩效实现情况。</w:t>
      </w:r>
    </w:p>
    <w:p>
      <w:pPr>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1、部门开展预算绩效管理情况、工作履行活动完成情况</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我园专门</w:t>
      </w:r>
      <w:r>
        <w:rPr>
          <w:rFonts w:hint="eastAsia" w:ascii="仿宋" w:hAnsi="仿宋" w:eastAsia="仿宋" w:cs="仿宋"/>
          <w:sz w:val="32"/>
          <w:szCs w:val="32"/>
        </w:rPr>
        <w:t>成立预算绩效管理工作领导小组，制定完善管理制度，规范财务纪律，发挥项目资金的使用效益，20</w:t>
      </w:r>
      <w:r>
        <w:rPr>
          <w:rFonts w:hint="eastAsia" w:ascii="仿宋" w:hAnsi="仿宋" w:eastAsia="仿宋" w:cs="仿宋"/>
          <w:sz w:val="32"/>
          <w:szCs w:val="32"/>
          <w:lang w:val="en-US" w:eastAsia="zh-CN"/>
        </w:rPr>
        <w:t>20</w:t>
      </w:r>
      <w:r>
        <w:rPr>
          <w:rFonts w:hint="eastAsia" w:ascii="仿宋" w:hAnsi="仿宋" w:eastAsia="仿宋" w:cs="仿宋"/>
          <w:sz w:val="32"/>
          <w:szCs w:val="32"/>
        </w:rPr>
        <w:t>年，我园</w:t>
      </w:r>
      <w:r>
        <w:rPr>
          <w:rFonts w:hint="eastAsia" w:ascii="仿宋" w:hAnsi="仿宋" w:eastAsia="仿宋" w:cs="仿宋"/>
          <w:color w:val="000000"/>
          <w:sz w:val="32"/>
          <w:szCs w:val="32"/>
          <w:shd w:val="clear" w:color="auto" w:fill="FFFFFF"/>
        </w:rPr>
        <w:t>积极开展预算绩效管理工作，能够按照年初预算来完成各工作,整体效果较好,年度开支控制在预算及财政局规定的范围内,全园对所承担的工作能够按照计划的时间把握进度,如质如量按时完成各项工作,注重了工作的效率性。</w:t>
      </w:r>
    </w:p>
    <w:p>
      <w:pPr>
        <w:numPr>
          <w:ilvl w:val="0"/>
          <w:numId w:val="3"/>
        </w:numPr>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实施履职活动产生的效果及社会公众或服务对象满意程度</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我园认真贯彻执行党和国家的有关法律法规，方针，政策，依法办园，坚持正确的办园方向；实行保育和教育相结合的原则，对幼儿实施体、智、德、美诸方面全面发展的教育，促进其身心和谐发展；为家长解除后顾之忧，为家长服务，得到了上级部门、社会、家长的认可。</w:t>
      </w:r>
    </w:p>
    <w:p>
      <w:pPr>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
          <w:bCs/>
          <w:sz w:val="32"/>
          <w:szCs w:val="32"/>
        </w:rPr>
        <w:t>绩效评价的组织实施情况</w:t>
      </w:r>
      <w:r>
        <w:rPr>
          <w:rFonts w:hint="eastAsia" w:ascii="黑体" w:hAnsi="黑体" w:eastAsia="黑体" w:cs="黑体"/>
          <w:sz w:val="32"/>
          <w:szCs w:val="32"/>
        </w:rPr>
        <w:t>。</w:t>
      </w:r>
    </w:p>
    <w:p>
      <w:pPr>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年通过项目绩效的实施落实，提高了园所建设，增加教育承载能力，致力于满足教育需求，圆满完成了20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全体幼儿教育教学任务，为适龄学前儿童提供保育、教育合格率100%，学生、家长满意度99%以上，为幼儿创造了一个相对安全、健康、丰富的生活和活动环境，满足他们多方面发展的需要，使他们度过快乐而有意义的童年。</w:t>
      </w:r>
    </w:p>
    <w:p>
      <w:pPr>
        <w:ind w:left="420" w:leftChars="200" w:firstLine="320" w:firstLineChars="100"/>
        <w:rPr>
          <w:rFonts w:ascii="仿宋" w:hAnsi="仿宋" w:eastAsia="仿宋" w:cs="仿宋"/>
          <w:sz w:val="32"/>
          <w:szCs w:val="32"/>
        </w:rPr>
      </w:pPr>
      <w:r>
        <w:rPr>
          <w:rFonts w:hint="eastAsia" w:ascii="黑体" w:hAnsi="黑体" w:eastAsia="黑体" w:cs="黑体"/>
          <w:sz w:val="32"/>
          <w:szCs w:val="32"/>
        </w:rPr>
        <w:t>四、各项绩效目标的实现程度及差异性原因分析。</w:t>
      </w:r>
    </w:p>
    <w:p>
      <w:pPr>
        <w:ind w:firstLine="640" w:firstLineChars="200"/>
        <w:rPr>
          <w:rFonts w:ascii="仿宋" w:hAnsi="仿宋" w:eastAsia="仿宋" w:cs="仿宋"/>
          <w:sz w:val="32"/>
          <w:szCs w:val="32"/>
        </w:rPr>
      </w:pPr>
      <w:r>
        <w:rPr>
          <w:rFonts w:hint="eastAsia" w:ascii="仿宋" w:hAnsi="仿宋" w:eastAsia="仿宋" w:cs="仿宋"/>
          <w:sz w:val="32"/>
          <w:szCs w:val="32"/>
        </w:rPr>
        <w:t>加强项目资金的管理和使用，积极开展项目绩效评价，确保项目绩效目标的完成。</w:t>
      </w:r>
    </w:p>
    <w:p>
      <w:pPr>
        <w:ind w:firstLine="640" w:firstLineChars="200"/>
        <w:rPr>
          <w:rFonts w:ascii="黑体" w:hAnsi="黑体" w:eastAsia="黑体" w:cs="黑体"/>
          <w:sz w:val="32"/>
          <w:szCs w:val="32"/>
        </w:rPr>
      </w:pPr>
      <w:r>
        <w:rPr>
          <w:rFonts w:hint="eastAsia" w:ascii="黑体" w:hAnsi="黑体" w:eastAsia="黑体" w:cs="黑体"/>
          <w:sz w:val="32"/>
          <w:szCs w:val="32"/>
        </w:rPr>
        <w:t>五、存在问题、采取的纠偏措施及改进绩效管理建议。</w:t>
      </w:r>
    </w:p>
    <w:p>
      <w:pPr>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1、存在问题</w:t>
      </w:r>
    </w:p>
    <w:p>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根据本次绩效评价情况，查找出以下存在问题：</w:t>
      </w:r>
    </w:p>
    <w:p>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部门预算编制不够细化</w:t>
      </w:r>
    </w:p>
    <w:p>
      <w:pPr>
        <w:ind w:left="420" w:leftChars="200"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2、改进措施和改进建议</w:t>
      </w:r>
    </w:p>
    <w:p>
      <w:pPr>
        <w:ind w:left="420" w:leftChars="2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在今后工作中，严格遵守相关制度，细化预算编制工作，认真做好预算的编制，加强内部预算编制的审核和预算控制指标的下达。</w:t>
      </w:r>
    </w:p>
    <w:p>
      <w:pPr>
        <w:ind w:firstLine="963" w:firstLineChars="300"/>
        <w:rPr>
          <w:rFonts w:ascii="仿宋" w:hAnsi="仿宋" w:eastAsia="仿宋" w:cs="仿宋"/>
          <w:b/>
          <w:bCs/>
          <w:sz w:val="32"/>
          <w:szCs w:val="32"/>
        </w:rPr>
      </w:pPr>
      <w:r>
        <w:rPr>
          <w:rFonts w:hint="eastAsia" w:ascii="仿宋" w:hAnsi="仿宋" w:eastAsia="仿宋" w:cs="仿宋"/>
          <w:b/>
          <w:bCs/>
          <w:sz w:val="32"/>
          <w:szCs w:val="32"/>
        </w:rPr>
        <w:t>六、其他需要说明的问题。</w:t>
      </w:r>
    </w:p>
    <w:p>
      <w:pPr>
        <w:ind w:firstLine="960" w:firstLineChars="3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F2F12"/>
    <w:multiLevelType w:val="singleLevel"/>
    <w:tmpl w:val="905F2F12"/>
    <w:lvl w:ilvl="0" w:tentative="0">
      <w:start w:val="2"/>
      <w:numFmt w:val="decimal"/>
      <w:suff w:val="nothing"/>
      <w:lvlText w:val="%1、"/>
      <w:lvlJc w:val="left"/>
    </w:lvl>
  </w:abstractNum>
  <w:abstractNum w:abstractNumId="1">
    <w:nsid w:val="2CF6B8D5"/>
    <w:multiLevelType w:val="singleLevel"/>
    <w:tmpl w:val="2CF6B8D5"/>
    <w:lvl w:ilvl="0" w:tentative="0">
      <w:start w:val="2"/>
      <w:numFmt w:val="decimal"/>
      <w:suff w:val="nothing"/>
      <w:lvlText w:val="%1、"/>
      <w:lvlJc w:val="left"/>
    </w:lvl>
  </w:abstractNum>
  <w:abstractNum w:abstractNumId="2">
    <w:nsid w:val="7A8E9FA4"/>
    <w:multiLevelType w:val="singleLevel"/>
    <w:tmpl w:val="7A8E9FA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2933"/>
    <w:rsid w:val="00002F2C"/>
    <w:rsid w:val="000070A8"/>
    <w:rsid w:val="00016CA4"/>
    <w:rsid w:val="000324AE"/>
    <w:rsid w:val="00035A16"/>
    <w:rsid w:val="00042933"/>
    <w:rsid w:val="000512AD"/>
    <w:rsid w:val="0008033E"/>
    <w:rsid w:val="0008759D"/>
    <w:rsid w:val="00094F2B"/>
    <w:rsid w:val="000B0A83"/>
    <w:rsid w:val="000B6322"/>
    <w:rsid w:val="000C2CC1"/>
    <w:rsid w:val="000E4A5A"/>
    <w:rsid w:val="00103547"/>
    <w:rsid w:val="00107A77"/>
    <w:rsid w:val="00134041"/>
    <w:rsid w:val="001358E9"/>
    <w:rsid w:val="0017068B"/>
    <w:rsid w:val="00185A3C"/>
    <w:rsid w:val="00192D5A"/>
    <w:rsid w:val="001C59B3"/>
    <w:rsid w:val="001E0886"/>
    <w:rsid w:val="001F7E31"/>
    <w:rsid w:val="002071BC"/>
    <w:rsid w:val="00225AE6"/>
    <w:rsid w:val="00235F0F"/>
    <w:rsid w:val="00255783"/>
    <w:rsid w:val="00290BA1"/>
    <w:rsid w:val="002A6AEA"/>
    <w:rsid w:val="002B16D3"/>
    <w:rsid w:val="002F2268"/>
    <w:rsid w:val="003C50C2"/>
    <w:rsid w:val="003E514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0502"/>
    <w:rsid w:val="00772600"/>
    <w:rsid w:val="007B08C9"/>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B6B2F"/>
    <w:rsid w:val="00AD5F30"/>
    <w:rsid w:val="00B0681D"/>
    <w:rsid w:val="00B4371D"/>
    <w:rsid w:val="00B53717"/>
    <w:rsid w:val="00B9023F"/>
    <w:rsid w:val="00B95D2B"/>
    <w:rsid w:val="00BC1FDC"/>
    <w:rsid w:val="00BD0FD8"/>
    <w:rsid w:val="00C44804"/>
    <w:rsid w:val="00C6362A"/>
    <w:rsid w:val="00C81363"/>
    <w:rsid w:val="00CB27A5"/>
    <w:rsid w:val="00CB4A2A"/>
    <w:rsid w:val="00CD55ED"/>
    <w:rsid w:val="00CD63C0"/>
    <w:rsid w:val="00CE62A0"/>
    <w:rsid w:val="00D21F0C"/>
    <w:rsid w:val="00D366C1"/>
    <w:rsid w:val="00D877F7"/>
    <w:rsid w:val="00DB2D43"/>
    <w:rsid w:val="00DD18B1"/>
    <w:rsid w:val="00DF5739"/>
    <w:rsid w:val="00E266F1"/>
    <w:rsid w:val="00EB16A8"/>
    <w:rsid w:val="00EC7904"/>
    <w:rsid w:val="00F64354"/>
    <w:rsid w:val="00F72E93"/>
    <w:rsid w:val="00F87A11"/>
    <w:rsid w:val="00FB7E01"/>
    <w:rsid w:val="00FE5F4C"/>
    <w:rsid w:val="00FF39F6"/>
    <w:rsid w:val="05374814"/>
    <w:rsid w:val="0F8F6BFC"/>
    <w:rsid w:val="10EC74CB"/>
    <w:rsid w:val="15313235"/>
    <w:rsid w:val="1D222D54"/>
    <w:rsid w:val="1F903305"/>
    <w:rsid w:val="22897945"/>
    <w:rsid w:val="23F75569"/>
    <w:rsid w:val="24883F5F"/>
    <w:rsid w:val="25C7167B"/>
    <w:rsid w:val="28717BCA"/>
    <w:rsid w:val="30E00A98"/>
    <w:rsid w:val="3791647A"/>
    <w:rsid w:val="38024B15"/>
    <w:rsid w:val="3DEEC469"/>
    <w:rsid w:val="3E0D3CC0"/>
    <w:rsid w:val="455969D8"/>
    <w:rsid w:val="47807EC3"/>
    <w:rsid w:val="4DF0034E"/>
    <w:rsid w:val="526A3656"/>
    <w:rsid w:val="56FD0D74"/>
    <w:rsid w:val="5D643D56"/>
    <w:rsid w:val="60F72F6A"/>
    <w:rsid w:val="60FF3FF8"/>
    <w:rsid w:val="616B0EC5"/>
    <w:rsid w:val="69BD0A47"/>
    <w:rsid w:val="6D826171"/>
    <w:rsid w:val="71A911C9"/>
    <w:rsid w:val="737A0D91"/>
    <w:rsid w:val="742D2464"/>
    <w:rsid w:val="7887592E"/>
    <w:rsid w:val="7C923196"/>
    <w:rsid w:val="7CCC213E"/>
    <w:rsid w:val="7F0A5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1039</Words>
  <Characters>5926</Characters>
  <Lines>49</Lines>
  <Paragraphs>13</Paragraphs>
  <TotalTime>59</TotalTime>
  <ScaleCrop>false</ScaleCrop>
  <LinksUpToDate>false</LinksUpToDate>
  <CharactersWithSpaces>6952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2025-04-10T09:41:36Z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0415247C8EF62ECED021F76763090081</vt:lpwstr>
  </property>
</Properties>
</file>