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想附件</w:t>
      </w:r>
      <w:r>
        <w:rPr>
          <w:rFonts w:ascii="仿宋" w:hAnsi="仿宋" w:eastAsia="仿宋" w:cs="仿宋"/>
          <w:kern w:val="0"/>
          <w:sz w:val="32"/>
          <w:szCs w:val="32"/>
          <w:shd w:val="clear" w:color="auto" w:fill="FFFFFF"/>
        </w:rPr>
        <w:t>6</w:t>
      </w:r>
      <w:r>
        <w:rPr>
          <w:rFonts w:hint="eastAsia" w:ascii="仿宋" w:hAnsi="仿宋" w:eastAsia="仿宋" w:cs="仿宋"/>
          <w:kern w:val="0"/>
          <w:sz w:val="32"/>
          <w:szCs w:val="32"/>
          <w:shd w:val="clear" w:color="auto" w:fill="FFFFFF"/>
        </w:rPr>
        <w:t>：</w:t>
      </w:r>
    </w:p>
    <w:p>
      <w:pPr>
        <w:spacing w:line="480" w:lineRule="exact"/>
        <w:jc w:val="center"/>
        <w:rPr>
          <w:rFonts w:ascii="宋体" w:cs="宋体"/>
          <w:b/>
          <w:color w:val="000000"/>
          <w:kern w:val="0"/>
          <w:sz w:val="32"/>
          <w:szCs w:val="32"/>
          <w:shd w:val="clear" w:color="auto" w:fill="FFFFFF"/>
        </w:rPr>
      </w:pPr>
      <w:r>
        <w:rPr>
          <w:rFonts w:hint="eastAsia" w:ascii="宋体" w:hAnsi="宋体"/>
          <w:b/>
          <w:sz w:val="32"/>
          <w:szCs w:val="32"/>
        </w:rPr>
        <w:t>游庄学区部门整体支出绩效评价</w:t>
      </w:r>
      <w:r>
        <w:rPr>
          <w:rFonts w:hint="eastAsia" w:ascii="宋体" w:hAnsi="宋体" w:cs="宋体"/>
          <w:b/>
          <w:color w:val="000000"/>
          <w:kern w:val="0"/>
          <w:sz w:val="32"/>
          <w:szCs w:val="32"/>
          <w:shd w:val="clear" w:color="auto" w:fill="FFFFFF"/>
        </w:rPr>
        <w:t>指标体系评分表</w:t>
      </w:r>
    </w:p>
    <w:p>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一级指标</w:t>
            </w:r>
          </w:p>
        </w:tc>
        <w:tc>
          <w:tcPr>
            <w:tcW w:w="743" w:type="dxa"/>
            <w:vMerge w:val="restart"/>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二级指标</w:t>
            </w:r>
          </w:p>
        </w:tc>
        <w:tc>
          <w:tcPr>
            <w:tcW w:w="4711" w:type="dxa"/>
            <w:gridSpan w:val="2"/>
            <w:tcBorders>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三级指标</w:t>
            </w:r>
          </w:p>
        </w:tc>
        <w:tc>
          <w:tcPr>
            <w:tcW w:w="2373" w:type="dxa"/>
            <w:vMerge w:val="restart"/>
            <w:tcBorders>
              <w:left w:val="single" w:color="auto" w:sz="4" w:space="0"/>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评分标准</w:t>
            </w:r>
          </w:p>
        </w:tc>
        <w:tc>
          <w:tcPr>
            <w:tcW w:w="764" w:type="dxa"/>
            <w:vMerge w:val="restart"/>
            <w:tcBorders>
              <w:left w:val="single" w:color="auto" w:sz="4" w:space="0"/>
              <w:right w:val="single" w:color="auto" w:sz="4" w:space="0"/>
            </w:tcBorders>
            <w:vAlign w:val="center"/>
          </w:tcPr>
          <w:p>
            <w:pPr>
              <w:widowControl/>
              <w:spacing w:line="240" w:lineRule="exact"/>
              <w:jc w:val="left"/>
              <w:rPr>
                <w:b/>
              </w:rPr>
            </w:pPr>
            <w:r>
              <w:rPr>
                <w:rFonts w:hint="eastAsia"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pPr>
              <w:ind w:firstLine="420" w:firstLineChars="200"/>
              <w:rPr>
                <w:rFonts w:ascii="宋体"/>
                <w:szCs w:val="21"/>
              </w:rPr>
            </w:pPr>
          </w:p>
        </w:tc>
        <w:tc>
          <w:tcPr>
            <w:tcW w:w="743" w:type="dxa"/>
            <w:vMerge w:val="continue"/>
            <w:vAlign w:val="center"/>
          </w:tcPr>
          <w:p>
            <w:pPr>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指标名称</w:t>
            </w:r>
          </w:p>
        </w:tc>
        <w:tc>
          <w:tcPr>
            <w:tcW w:w="3436" w:type="dxa"/>
            <w:tcBorders>
              <w:left w:val="single" w:color="auto" w:sz="4" w:space="0"/>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指标解释说明</w:t>
            </w:r>
          </w:p>
        </w:tc>
        <w:tc>
          <w:tcPr>
            <w:tcW w:w="2373" w:type="dxa"/>
            <w:vMerge w:val="continue"/>
            <w:tcBorders>
              <w:left w:val="single" w:color="auto" w:sz="4" w:space="0"/>
              <w:right w:val="single" w:color="auto" w:sz="4" w:space="0"/>
            </w:tcBorders>
            <w:vAlign w:val="center"/>
          </w:tcPr>
          <w:p>
            <w:pPr>
              <w:ind w:firstLine="420" w:firstLineChars="200"/>
              <w:rPr>
                <w:rFonts w:ascii="宋体"/>
                <w:szCs w:val="21"/>
              </w:rPr>
            </w:pPr>
          </w:p>
        </w:tc>
        <w:tc>
          <w:tcPr>
            <w:tcW w:w="764" w:type="dxa"/>
            <w:vMerge w:val="continue"/>
            <w:tcBorders>
              <w:left w:val="single" w:color="auto"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绩效目标设定情况</w:t>
            </w:r>
          </w:p>
          <w:p>
            <w:pPr>
              <w:widowControl/>
              <w:spacing w:line="240" w:lineRule="exact"/>
              <w:ind w:firstLine="420" w:firstLineChars="200"/>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pPr>
              <w:spacing w:line="240" w:lineRule="exact"/>
              <w:ind w:firstLine="420" w:firstLineChars="200"/>
              <w:rPr>
                <w:rFonts w:ascii="宋体"/>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pPr>
              <w:widowControl/>
              <w:spacing w:line="240" w:lineRule="exact"/>
              <w:ind w:firstLine="420" w:firstLineChars="200"/>
              <w:jc w:val="left"/>
              <w:rPr>
                <w:szCs w:val="21"/>
              </w:rPr>
            </w:pP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政府采购项目中非预算内安排的项目除外。</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预算管理情况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项目质量达标是指项目决算验收合格。</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743" w:type="dxa"/>
            <w:vMerge w:val="restart"/>
            <w:tcBorders>
              <w:top w:val="single" w:color="auto"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373" w:type="dxa"/>
            <w:tcBorders>
              <w:left w:val="single" w:color="auto"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tcBorders>
              <w:bottom w:val="single" w:color="auto" w:sz="4" w:space="0"/>
            </w:tcBorders>
            <w:vAlign w:val="center"/>
          </w:tcPr>
          <w:p>
            <w:pPr>
              <w:widowControl/>
              <w:spacing w:line="240" w:lineRule="exact"/>
              <w:ind w:firstLine="420" w:firstLineChars="200"/>
              <w:jc w:val="left"/>
              <w:rPr>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1766" w:firstLineChars="400"/>
        <w:rPr>
          <w:rFonts w:ascii="仿宋" w:hAnsi="仿宋" w:eastAsia="仿宋" w:cs="仿宋"/>
          <w:b/>
          <w:bCs/>
          <w:sz w:val="44"/>
          <w:szCs w:val="44"/>
        </w:rPr>
      </w:pPr>
      <w:r>
        <w:rPr>
          <w:rFonts w:hint="eastAsia" w:ascii="仿宋" w:hAnsi="仿宋" w:eastAsia="仿宋" w:cs="仿宋"/>
          <w:b/>
          <w:bCs/>
          <w:sz w:val="44"/>
          <w:szCs w:val="44"/>
        </w:rPr>
        <w:t>游庄学区整体支出绩效评价报告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（二）、奋力补齐发展短板，不断优化教育体系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（五）、大力保障教育民生，不断提升公共服务水平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8"/>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8"/>
        <w:ind w:firstLine="640"/>
        <w:rPr>
          <w:rFonts w:ascii="仿宋" w:hAnsi="仿宋" w:eastAsia="仿宋" w:cs="仿宋"/>
          <w:sz w:val="32"/>
          <w:szCs w:val="32"/>
        </w:rPr>
      </w:pPr>
      <w:r>
        <w:rPr>
          <w:rFonts w:hint="eastAsia" w:ascii="仿宋" w:hAnsi="仿宋" w:eastAsia="仿宋" w:cs="仿宋"/>
          <w:sz w:val="32"/>
          <w:szCs w:val="32"/>
        </w:rPr>
        <w:t>2020年教育预算资金安排共计615.116633万元，其中一般公共预算财政拨款615.116633万元，；支出615.116633万元，其中工资福利支出521.3994万元，商品和服务支出93.717233万元，资本性支出</w:t>
      </w:r>
      <w:r>
        <w:rPr>
          <w:rFonts w:ascii="仿宋" w:hAnsi="仿宋" w:eastAsia="仿宋" w:cs="仿宋"/>
          <w:sz w:val="32"/>
          <w:szCs w:val="32"/>
        </w:rPr>
        <w:t>0</w:t>
      </w:r>
      <w:r>
        <w:rPr>
          <w:rFonts w:hint="eastAsia" w:ascii="仿宋" w:hAnsi="仿宋" w:eastAsia="仿宋" w:cs="仿宋"/>
          <w:sz w:val="32"/>
          <w:szCs w:val="32"/>
        </w:rPr>
        <w:t>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hint="eastAsia" w:ascii="仿宋" w:hAnsi="仿宋" w:eastAsia="仿宋" w:cs="仿宋"/>
          <w:kern w:val="2"/>
          <w:sz w:val="32"/>
          <w:szCs w:val="32"/>
        </w:rPr>
        <w:t>2020年，我学区按照省市县的考核要求，积极开展预算绩效管理工作，实现预算绩效管理全过程化。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560"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8</w:t>
    </w:r>
    <w:r>
      <w:rPr>
        <w:rStyle w:val="11"/>
        <w:rFonts w:ascii="宋体" w:hAnsi="宋体"/>
        <w:sz w:val="28"/>
        <w:szCs w:val="28"/>
      </w:rPr>
      <w:fldChar w:fldCharType="end"/>
    </w:r>
    <w:r>
      <w:rPr>
        <w:rStyle w:val="11"/>
        <w:rFonts w:asci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TrackMoves/>
  <w:documentProtection w:enforcement="0"/>
  <w:defaultTabStop w:val="420"/>
  <w:drawingGridHorizontalSpacing w:val="105"/>
  <w:drawingGridVerticalSpacing w:val="31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33"/>
    <w:rsid w:val="00002F2C"/>
    <w:rsid w:val="000070A8"/>
    <w:rsid w:val="00011803"/>
    <w:rsid w:val="00016CA4"/>
    <w:rsid w:val="000324AE"/>
    <w:rsid w:val="00042933"/>
    <w:rsid w:val="00063B41"/>
    <w:rsid w:val="0008033E"/>
    <w:rsid w:val="0008759D"/>
    <w:rsid w:val="00094F2B"/>
    <w:rsid w:val="000B0A83"/>
    <w:rsid w:val="000B6322"/>
    <w:rsid w:val="000C2CC1"/>
    <w:rsid w:val="000E34B8"/>
    <w:rsid w:val="000E4A5A"/>
    <w:rsid w:val="00103547"/>
    <w:rsid w:val="00145BF9"/>
    <w:rsid w:val="0017068B"/>
    <w:rsid w:val="00185A3C"/>
    <w:rsid w:val="00192D5A"/>
    <w:rsid w:val="00194AD1"/>
    <w:rsid w:val="001C015C"/>
    <w:rsid w:val="001C59B3"/>
    <w:rsid w:val="001E0886"/>
    <w:rsid w:val="001F7E31"/>
    <w:rsid w:val="002071BC"/>
    <w:rsid w:val="00225AE6"/>
    <w:rsid w:val="00233DA2"/>
    <w:rsid w:val="00235F0F"/>
    <w:rsid w:val="00255783"/>
    <w:rsid w:val="00290BA1"/>
    <w:rsid w:val="002A21B0"/>
    <w:rsid w:val="002A6AEA"/>
    <w:rsid w:val="002B25C1"/>
    <w:rsid w:val="002F2268"/>
    <w:rsid w:val="00301AFA"/>
    <w:rsid w:val="00330CB2"/>
    <w:rsid w:val="003725C8"/>
    <w:rsid w:val="003C50C2"/>
    <w:rsid w:val="0041099F"/>
    <w:rsid w:val="00436A1D"/>
    <w:rsid w:val="004379D7"/>
    <w:rsid w:val="004A68B1"/>
    <w:rsid w:val="004B0686"/>
    <w:rsid w:val="004B403E"/>
    <w:rsid w:val="004B64F3"/>
    <w:rsid w:val="004E3B64"/>
    <w:rsid w:val="004F47A2"/>
    <w:rsid w:val="004F7327"/>
    <w:rsid w:val="005020C5"/>
    <w:rsid w:val="00505620"/>
    <w:rsid w:val="00525A32"/>
    <w:rsid w:val="00567FE6"/>
    <w:rsid w:val="0058162A"/>
    <w:rsid w:val="005B3616"/>
    <w:rsid w:val="005E12FA"/>
    <w:rsid w:val="00606B2A"/>
    <w:rsid w:val="00676A52"/>
    <w:rsid w:val="00683167"/>
    <w:rsid w:val="006A5056"/>
    <w:rsid w:val="006E64C9"/>
    <w:rsid w:val="007048FF"/>
    <w:rsid w:val="00712100"/>
    <w:rsid w:val="0071700D"/>
    <w:rsid w:val="00742652"/>
    <w:rsid w:val="00772600"/>
    <w:rsid w:val="007B35B1"/>
    <w:rsid w:val="007D5D41"/>
    <w:rsid w:val="007F01F9"/>
    <w:rsid w:val="008038DE"/>
    <w:rsid w:val="00840481"/>
    <w:rsid w:val="00856BA1"/>
    <w:rsid w:val="00867620"/>
    <w:rsid w:val="008709E0"/>
    <w:rsid w:val="008A6A10"/>
    <w:rsid w:val="008A6A31"/>
    <w:rsid w:val="00904AF4"/>
    <w:rsid w:val="00905542"/>
    <w:rsid w:val="00917700"/>
    <w:rsid w:val="00956F74"/>
    <w:rsid w:val="009640D2"/>
    <w:rsid w:val="00964ECB"/>
    <w:rsid w:val="009B0B5F"/>
    <w:rsid w:val="009B7F2F"/>
    <w:rsid w:val="009C04DA"/>
    <w:rsid w:val="009C4C62"/>
    <w:rsid w:val="009E3627"/>
    <w:rsid w:val="009F53E7"/>
    <w:rsid w:val="00A11BF8"/>
    <w:rsid w:val="00A14A33"/>
    <w:rsid w:val="00A36C23"/>
    <w:rsid w:val="00A62FDB"/>
    <w:rsid w:val="00A6449D"/>
    <w:rsid w:val="00A768DB"/>
    <w:rsid w:val="00AA09C8"/>
    <w:rsid w:val="00AA7EF6"/>
    <w:rsid w:val="00AD5F30"/>
    <w:rsid w:val="00AE7819"/>
    <w:rsid w:val="00B0681D"/>
    <w:rsid w:val="00B17F16"/>
    <w:rsid w:val="00B31479"/>
    <w:rsid w:val="00B4371D"/>
    <w:rsid w:val="00B9023F"/>
    <w:rsid w:val="00BC1FDC"/>
    <w:rsid w:val="00BD0FD8"/>
    <w:rsid w:val="00C44804"/>
    <w:rsid w:val="00C53143"/>
    <w:rsid w:val="00C6362A"/>
    <w:rsid w:val="00C81363"/>
    <w:rsid w:val="00CB27A5"/>
    <w:rsid w:val="00CC2C2C"/>
    <w:rsid w:val="00CD55ED"/>
    <w:rsid w:val="00CD63C0"/>
    <w:rsid w:val="00CE62A0"/>
    <w:rsid w:val="00CF7E02"/>
    <w:rsid w:val="00D1713E"/>
    <w:rsid w:val="00D21F0C"/>
    <w:rsid w:val="00D24C79"/>
    <w:rsid w:val="00D366C1"/>
    <w:rsid w:val="00D726D2"/>
    <w:rsid w:val="00D877F7"/>
    <w:rsid w:val="00DB2D43"/>
    <w:rsid w:val="00E25D40"/>
    <w:rsid w:val="00E266F1"/>
    <w:rsid w:val="00E33E94"/>
    <w:rsid w:val="00E56530"/>
    <w:rsid w:val="00E56B39"/>
    <w:rsid w:val="00E66C27"/>
    <w:rsid w:val="00E91A8E"/>
    <w:rsid w:val="00E974BC"/>
    <w:rsid w:val="00EB16A8"/>
    <w:rsid w:val="00EB25EC"/>
    <w:rsid w:val="00EC7904"/>
    <w:rsid w:val="00EF355E"/>
    <w:rsid w:val="00F47A94"/>
    <w:rsid w:val="00F57FC7"/>
    <w:rsid w:val="00F72E93"/>
    <w:rsid w:val="00F87A11"/>
    <w:rsid w:val="00FA0851"/>
    <w:rsid w:val="00FA67FA"/>
    <w:rsid w:val="00FB7E01"/>
    <w:rsid w:val="00FE5F4C"/>
    <w:rsid w:val="00FF245A"/>
    <w:rsid w:val="00FF39F6"/>
    <w:rsid w:val="04461BBB"/>
    <w:rsid w:val="05374814"/>
    <w:rsid w:val="0F8F6BFC"/>
    <w:rsid w:val="1E0A09D6"/>
    <w:rsid w:val="3791647A"/>
    <w:rsid w:val="45400A9B"/>
    <w:rsid w:val="455969D8"/>
    <w:rsid w:val="526A3656"/>
    <w:rsid w:val="559B241F"/>
    <w:rsid w:val="5D643D56"/>
    <w:rsid w:val="69BD0A47"/>
    <w:rsid w:val="71A911C9"/>
    <w:rsid w:val="7CCC213E"/>
    <w:rsid w:val="B3FF5D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99"/>
    <w:rPr>
      <w:rFonts w:ascii="宋体" w:hAnsi="Courier New" w:cs="Courier New"/>
      <w:szCs w:val="21"/>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rFonts w:cs="Times New Roman"/>
      <w:b/>
      <w:bCs/>
    </w:rPr>
  </w:style>
  <w:style w:type="character" w:styleId="11">
    <w:name w:val="page number"/>
    <w:semiHidden/>
    <w:qFormat/>
    <w:uiPriority w:val="99"/>
    <w:rPr>
      <w:rFonts w:cs="Times New Roman"/>
    </w:rPr>
  </w:style>
  <w:style w:type="character" w:customStyle="1" w:styleId="12">
    <w:name w:val="标题 1 字符"/>
    <w:link w:val="2"/>
    <w:qFormat/>
    <w:locked/>
    <w:uiPriority w:val="99"/>
    <w:rPr>
      <w:rFonts w:ascii="宋体" w:hAnsi="宋体" w:eastAsia="宋体" w:cs="宋体"/>
      <w:b/>
      <w:kern w:val="44"/>
      <w:sz w:val="48"/>
      <w:szCs w:val="48"/>
    </w:rPr>
  </w:style>
  <w:style w:type="character" w:customStyle="1" w:styleId="13">
    <w:name w:val="正文文本 字符"/>
    <w:link w:val="3"/>
    <w:semiHidden/>
    <w:qFormat/>
    <w:locked/>
    <w:uiPriority w:val="99"/>
    <w:rPr>
      <w:rFonts w:ascii="Calibri" w:hAnsi="Calibri" w:cs="Times New Roman"/>
    </w:rPr>
  </w:style>
  <w:style w:type="character" w:customStyle="1" w:styleId="14">
    <w:name w:val="纯文本 字符"/>
    <w:link w:val="4"/>
    <w:qFormat/>
    <w:locked/>
    <w:uiPriority w:val="99"/>
    <w:rPr>
      <w:rFonts w:ascii="宋体" w:hAnsi="Courier New" w:eastAsia="宋体" w:cs="Courier New"/>
      <w:sz w:val="21"/>
      <w:szCs w:val="21"/>
    </w:rPr>
  </w:style>
  <w:style w:type="character" w:customStyle="1" w:styleId="15">
    <w:name w:val="页脚 字符"/>
    <w:link w:val="5"/>
    <w:qFormat/>
    <w:locked/>
    <w:uiPriority w:val="99"/>
    <w:rPr>
      <w:rFonts w:cs="Times New Roman"/>
      <w:sz w:val="18"/>
      <w:szCs w:val="18"/>
    </w:rPr>
  </w:style>
  <w:style w:type="character" w:customStyle="1" w:styleId="16">
    <w:name w:val="页眉 字符"/>
    <w:link w:val="6"/>
    <w:qFormat/>
    <w:locked/>
    <w:uiPriority w:val="99"/>
    <w:rPr>
      <w:rFonts w:cs="Times New Roman"/>
      <w:sz w:val="18"/>
      <w:szCs w:val="18"/>
    </w:rPr>
  </w:style>
  <w:style w:type="character" w:customStyle="1" w:styleId="17">
    <w:name w:val="font31"/>
    <w:qFormat/>
    <w:uiPriority w:val="99"/>
    <w:rPr>
      <w:rFonts w:ascii="宋体" w:hAnsi="宋体" w:eastAsia="宋体" w:cs="宋体"/>
      <w:b/>
      <w:color w:val="000000"/>
      <w:sz w:val="36"/>
      <w:szCs w:val="36"/>
      <w:u w:val="none"/>
    </w:rPr>
  </w:style>
  <w:style w:type="paragraph" w:styleId="18">
    <w:name w:val="List Paragraph"/>
    <w:basedOn w:val="1"/>
    <w:qFormat/>
    <w:uiPriority w:val="99"/>
    <w:pPr>
      <w:ind w:firstLine="420" w:firstLineChars="200"/>
    </w:pPr>
  </w:style>
  <w:style w:type="paragraph" w:customStyle="1" w:styleId="19">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20">
    <w:name w:val="p01"/>
    <w:basedOn w:val="1"/>
    <w:qFormat/>
    <w:uiPriority w:val="99"/>
    <w:pPr>
      <w:widowControl/>
      <w:spacing w:line="408" w:lineRule="auto"/>
      <w:ind w:left="1"/>
    </w:pPr>
    <w:rPr>
      <w:rFonts w:ascii="Times New Roman" w:hAnsi="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1357</Words>
  <Characters>7735</Characters>
  <Lines>64</Lines>
  <Paragraphs>18</Paragraphs>
  <TotalTime>30</TotalTime>
  <ScaleCrop>false</ScaleCrop>
  <LinksUpToDate>false</LinksUpToDate>
  <CharactersWithSpaces>9074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2020-06-09T10:07:00Z</cp:lastPrinted>
  <dcterms:modified xsi:type="dcterms:W3CDTF">2025-04-10T09:42:04Z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5CD7FD49E77FE33DEC21F767BC99D900</vt:lpwstr>
  </property>
</Properties>
</file>