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DEACB2">
      <w:pPr>
        <w:widowControl/>
        <w:spacing w:line="400" w:lineRule="exact"/>
        <w:jc w:val="left"/>
        <w:rPr>
          <w:rFonts w:ascii="仿宋" w:hAnsi="仿宋" w:eastAsia="仿宋" w:cs="仿宋"/>
          <w:kern w:val="0"/>
          <w:sz w:val="32"/>
          <w:szCs w:val="32"/>
          <w:shd w:val="clear" w:color="auto" w:fill="FFFFFF"/>
        </w:rPr>
      </w:pPr>
      <w:bookmarkStart w:id="0" w:name="_GoBack"/>
      <w:bookmarkEnd w:id="0"/>
      <w:r>
        <w:rPr>
          <w:rFonts w:hint="eastAsia" w:ascii="仿宋" w:hAnsi="仿宋" w:eastAsia="仿宋" w:cs="仿宋"/>
          <w:kern w:val="0"/>
          <w:sz w:val="32"/>
          <w:szCs w:val="32"/>
          <w:shd w:val="clear" w:color="auto" w:fill="FFFFFF"/>
        </w:rPr>
        <w:t>想</w:t>
      </w:r>
    </w:p>
    <w:p w14:paraId="0632E31B">
      <w:pPr>
        <w:widowControl/>
        <w:spacing w:line="480" w:lineRule="exact"/>
        <w:jc w:val="left"/>
        <w:rPr>
          <w:rFonts w:ascii="宋体" w:hAnsi="宋体" w:eastAsia="宋体" w:cs="宋体"/>
          <w:b/>
          <w:color w:val="000000"/>
          <w:kern w:val="0"/>
          <w:sz w:val="44"/>
          <w:szCs w:val="44"/>
          <w:shd w:val="clear" w:color="auto" w:fill="FFFFFF"/>
        </w:rPr>
      </w:pPr>
      <w:r>
        <w:rPr>
          <w:rFonts w:hint="eastAsia" w:ascii="仿宋" w:hAnsi="仿宋" w:eastAsia="仿宋" w:cs="仿宋"/>
          <w:kern w:val="0"/>
          <w:sz w:val="32"/>
          <w:szCs w:val="32"/>
          <w:shd w:val="clear" w:color="auto" w:fill="FFFFFF"/>
        </w:rPr>
        <w:t>附件6：</w:t>
      </w:r>
    </w:p>
    <w:p w14:paraId="7E8AEC33">
      <w:pPr>
        <w:spacing w:line="480" w:lineRule="exact"/>
        <w:rPr>
          <w:rFonts w:ascii="宋体" w:hAnsi="宋体" w:eastAsia="宋体" w:cs="宋体"/>
          <w:b/>
          <w:color w:val="000000"/>
          <w:kern w:val="0"/>
          <w:sz w:val="44"/>
          <w:szCs w:val="44"/>
          <w:shd w:val="clear" w:color="auto" w:fill="FFFFFF"/>
        </w:rPr>
      </w:pPr>
      <w:r>
        <w:rPr>
          <w:rFonts w:hint="eastAsia" w:ascii="宋体" w:hAnsi="宋体"/>
          <w:b/>
          <w:sz w:val="44"/>
          <w:szCs w:val="44"/>
        </w:rPr>
        <w:t xml:space="preserve"> 丰州学区整体支出绩效评价</w:t>
      </w:r>
      <w:r>
        <w:rPr>
          <w:rFonts w:hint="eastAsia" w:ascii="宋体" w:hAnsi="宋体" w:eastAsia="宋体" w:cs="宋体"/>
          <w:b/>
          <w:color w:val="000000"/>
          <w:kern w:val="0"/>
          <w:sz w:val="44"/>
          <w:szCs w:val="44"/>
          <w:shd w:val="clear" w:color="auto" w:fill="FFFFFF"/>
        </w:rPr>
        <w:t>指标体系评分表</w:t>
      </w:r>
    </w:p>
    <w:p w14:paraId="30276611">
      <w:pPr>
        <w:spacing w:line="480" w:lineRule="exact"/>
        <w:rPr>
          <w:rFonts w:ascii="宋体" w:hAnsi="宋体" w:eastAsia="宋体" w:cs="宋体"/>
          <w:b/>
          <w:color w:val="000000"/>
          <w:kern w:val="0"/>
          <w:sz w:val="44"/>
          <w:szCs w:val="44"/>
          <w:shd w:val="clear" w:color="auto" w:fill="FFFFFF"/>
        </w:rPr>
      </w:pPr>
    </w:p>
    <w:tbl>
      <w:tblPr>
        <w:tblStyle w:val="8"/>
        <w:tblW w:w="93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9"/>
        <w:gridCol w:w="743"/>
        <w:gridCol w:w="1275"/>
        <w:gridCol w:w="3436"/>
        <w:gridCol w:w="2373"/>
        <w:gridCol w:w="764"/>
      </w:tblGrid>
      <w:tr w14:paraId="37860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6AE2F548">
            <w:pPr>
              <w:widowControl/>
              <w:spacing w:line="240" w:lineRule="exact"/>
              <w:jc w:val="center"/>
              <w:rPr>
                <w:b/>
              </w:rPr>
            </w:pPr>
            <w:r>
              <w:rPr>
                <w:rFonts w:ascii="仿宋_GB2312" w:hAnsi="新宋体" w:eastAsia="仿宋_GB2312" w:cs="仿宋_GB2312"/>
                <w:b/>
                <w:kern w:val="0"/>
                <w:sz w:val="24"/>
                <w:szCs w:val="24"/>
              </w:rPr>
              <w:t>一级指标</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45C28D59">
            <w:pPr>
              <w:widowControl/>
              <w:spacing w:line="240" w:lineRule="exact"/>
              <w:jc w:val="center"/>
              <w:rPr>
                <w:b/>
              </w:rPr>
            </w:pPr>
            <w:r>
              <w:rPr>
                <w:rFonts w:ascii="仿宋_GB2312" w:hAnsi="新宋体" w:eastAsia="仿宋_GB2312" w:cs="仿宋_GB2312"/>
                <w:b/>
                <w:kern w:val="0"/>
                <w:sz w:val="24"/>
                <w:szCs w:val="24"/>
              </w:rPr>
              <w:t>二级指标</w:t>
            </w:r>
          </w:p>
        </w:tc>
        <w:tc>
          <w:tcPr>
            <w:tcW w:w="4711" w:type="dxa"/>
            <w:gridSpan w:val="2"/>
            <w:tcBorders>
              <w:top w:val="single" w:color="000000" w:sz="4" w:space="0"/>
              <w:left w:val="single" w:color="000000" w:sz="4" w:space="0"/>
              <w:bottom w:val="single" w:color="000000" w:sz="4" w:space="0"/>
              <w:right w:val="single" w:color="auto" w:sz="4" w:space="0"/>
            </w:tcBorders>
            <w:vAlign w:val="center"/>
          </w:tcPr>
          <w:p w14:paraId="3AA804AC">
            <w:pPr>
              <w:widowControl/>
              <w:spacing w:line="240" w:lineRule="exact"/>
              <w:jc w:val="center"/>
              <w:rPr>
                <w:b/>
              </w:rPr>
            </w:pPr>
            <w:r>
              <w:rPr>
                <w:rFonts w:ascii="仿宋_GB2312" w:hAnsi="新宋体" w:eastAsia="仿宋_GB2312" w:cs="仿宋_GB2312"/>
                <w:b/>
                <w:kern w:val="0"/>
                <w:sz w:val="24"/>
                <w:szCs w:val="24"/>
              </w:rPr>
              <w:t>三级指标</w:t>
            </w:r>
          </w:p>
        </w:tc>
        <w:tc>
          <w:tcPr>
            <w:tcW w:w="2373" w:type="dxa"/>
            <w:vMerge w:val="restart"/>
            <w:tcBorders>
              <w:top w:val="single" w:color="000000" w:sz="4" w:space="0"/>
              <w:left w:val="single" w:color="auto" w:sz="4" w:space="0"/>
              <w:bottom w:val="single" w:color="000000" w:sz="4" w:space="0"/>
              <w:right w:val="single" w:color="auto" w:sz="4" w:space="0"/>
            </w:tcBorders>
            <w:vAlign w:val="center"/>
          </w:tcPr>
          <w:p w14:paraId="4B6FE425">
            <w:pPr>
              <w:widowControl/>
              <w:spacing w:line="240" w:lineRule="exact"/>
              <w:jc w:val="center"/>
              <w:rPr>
                <w:b/>
              </w:rPr>
            </w:pPr>
            <w:r>
              <w:rPr>
                <w:rFonts w:ascii="仿宋_GB2312" w:hAnsi="新宋体" w:eastAsia="仿宋_GB2312" w:cs="仿宋_GB2312"/>
                <w:b/>
                <w:kern w:val="0"/>
                <w:sz w:val="24"/>
                <w:szCs w:val="24"/>
              </w:rPr>
              <w:t>评分标准</w:t>
            </w:r>
          </w:p>
        </w:tc>
        <w:tc>
          <w:tcPr>
            <w:tcW w:w="764" w:type="dxa"/>
            <w:vMerge w:val="restart"/>
            <w:tcBorders>
              <w:top w:val="single" w:color="000000" w:sz="4" w:space="0"/>
              <w:left w:val="single" w:color="auto" w:sz="4" w:space="0"/>
              <w:bottom w:val="single" w:color="000000" w:sz="4" w:space="0"/>
              <w:right w:val="single" w:color="auto" w:sz="4" w:space="0"/>
            </w:tcBorders>
            <w:vAlign w:val="center"/>
          </w:tcPr>
          <w:p w14:paraId="1372B906">
            <w:pPr>
              <w:widowControl/>
              <w:spacing w:line="240" w:lineRule="exact"/>
              <w:jc w:val="left"/>
              <w:rPr>
                <w:b/>
              </w:rPr>
            </w:pPr>
            <w:r>
              <w:rPr>
                <w:rFonts w:ascii="仿宋_GB2312" w:hAnsi="新宋体" w:eastAsia="仿宋_GB2312" w:cs="仿宋_GB2312"/>
                <w:b/>
                <w:kern w:val="0"/>
                <w:sz w:val="24"/>
                <w:szCs w:val="24"/>
              </w:rPr>
              <w:t>得分</w:t>
            </w:r>
          </w:p>
        </w:tc>
      </w:tr>
      <w:tr w14:paraId="4FF53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6AF8A721">
            <w:pP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7804AF7A">
            <w:pPr>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16DC8EDD">
            <w:pPr>
              <w:widowControl/>
              <w:spacing w:line="240" w:lineRule="exact"/>
              <w:jc w:val="center"/>
              <w:rPr>
                <w:b/>
              </w:rPr>
            </w:pPr>
            <w:r>
              <w:rPr>
                <w:rFonts w:ascii="仿宋_GB2312" w:hAnsi="新宋体" w:eastAsia="仿宋_GB2312" w:cs="仿宋_GB2312"/>
                <w:b/>
                <w:kern w:val="0"/>
                <w:sz w:val="24"/>
                <w:szCs w:val="24"/>
              </w:rPr>
              <w:t>指标名称</w:t>
            </w:r>
          </w:p>
        </w:tc>
        <w:tc>
          <w:tcPr>
            <w:tcW w:w="3436" w:type="dxa"/>
            <w:tcBorders>
              <w:top w:val="single" w:color="000000" w:sz="4" w:space="0"/>
              <w:left w:val="single" w:color="auto" w:sz="4" w:space="0"/>
              <w:bottom w:val="single" w:color="000000" w:sz="4" w:space="0"/>
              <w:right w:val="single" w:color="auto" w:sz="4" w:space="0"/>
            </w:tcBorders>
            <w:vAlign w:val="center"/>
          </w:tcPr>
          <w:p w14:paraId="4B0C5D59">
            <w:pPr>
              <w:widowControl/>
              <w:spacing w:line="240" w:lineRule="exact"/>
              <w:jc w:val="center"/>
              <w:rPr>
                <w:b/>
              </w:rPr>
            </w:pPr>
            <w:r>
              <w:rPr>
                <w:rFonts w:ascii="仿宋_GB2312" w:hAnsi="新宋体" w:eastAsia="仿宋_GB2312" w:cs="仿宋_GB2312"/>
                <w:b/>
                <w:kern w:val="0"/>
                <w:sz w:val="24"/>
                <w:szCs w:val="24"/>
              </w:rPr>
              <w:t>指标解释说明</w:t>
            </w:r>
          </w:p>
        </w:tc>
        <w:tc>
          <w:tcPr>
            <w:tcW w:w="2373" w:type="dxa"/>
            <w:vMerge w:val="continue"/>
            <w:tcBorders>
              <w:top w:val="single" w:color="000000" w:sz="4" w:space="0"/>
              <w:left w:val="single" w:color="auto" w:sz="4" w:space="0"/>
              <w:bottom w:val="single" w:color="000000" w:sz="4" w:space="0"/>
              <w:right w:val="single" w:color="auto" w:sz="4" w:space="0"/>
            </w:tcBorders>
            <w:vAlign w:val="center"/>
          </w:tcPr>
          <w:p w14:paraId="430CAA15">
            <w:pPr>
              <w:rPr>
                <w:rFonts w:ascii="宋体"/>
                <w:szCs w:val="21"/>
              </w:rPr>
            </w:pPr>
          </w:p>
        </w:tc>
        <w:tc>
          <w:tcPr>
            <w:tcW w:w="764" w:type="dxa"/>
            <w:vMerge w:val="continue"/>
            <w:tcBorders>
              <w:top w:val="single" w:color="000000" w:sz="4" w:space="0"/>
              <w:left w:val="single" w:color="auto" w:sz="4" w:space="0"/>
              <w:bottom w:val="single" w:color="000000" w:sz="4" w:space="0"/>
              <w:right w:val="single" w:color="auto" w:sz="4" w:space="0"/>
            </w:tcBorders>
            <w:vAlign w:val="center"/>
          </w:tcPr>
          <w:p w14:paraId="1B5C2B64">
            <w:pPr>
              <w:rPr>
                <w:rFonts w:ascii="宋体"/>
                <w:szCs w:val="21"/>
              </w:rPr>
            </w:pPr>
          </w:p>
        </w:tc>
      </w:tr>
      <w:tr w14:paraId="5DD27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207FC4A1">
            <w:pPr>
              <w:widowControl/>
              <w:spacing w:line="240" w:lineRule="exact"/>
              <w:jc w:val="left"/>
              <w:rPr>
                <w:szCs w:val="21"/>
              </w:rPr>
            </w:pPr>
            <w:r>
              <w:rPr>
                <w:rFonts w:ascii="仿宋_GB2312" w:hAnsi="新宋体" w:eastAsia="仿宋_GB2312" w:cs="仿宋_GB2312"/>
                <w:kern w:val="0"/>
                <w:szCs w:val="21"/>
              </w:rPr>
              <w:t>投入（1</w:t>
            </w:r>
            <w:r>
              <w:rPr>
                <w:rFonts w:hint="eastAsia" w:ascii="仿宋_GB2312" w:hAnsi="新宋体" w:eastAsia="仿宋_GB2312" w:cs="仿宋_GB2312"/>
                <w:kern w:val="0"/>
                <w:szCs w:val="21"/>
              </w:rPr>
              <w:t>0</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33CF175E">
            <w:pPr>
              <w:widowControl/>
              <w:spacing w:line="240" w:lineRule="exact"/>
              <w:jc w:val="left"/>
              <w:rPr>
                <w:szCs w:val="21"/>
              </w:rPr>
            </w:pPr>
            <w:r>
              <w:rPr>
                <w:rFonts w:hint="eastAsia" w:ascii="仿宋_GB2312" w:hAnsi="新宋体" w:eastAsia="仿宋_GB2312" w:cs="仿宋_GB2312"/>
                <w:kern w:val="0"/>
                <w:szCs w:val="21"/>
              </w:rPr>
              <w:t>绩效</w:t>
            </w:r>
            <w:r>
              <w:rPr>
                <w:rFonts w:ascii="仿宋_GB2312" w:hAnsi="新宋体" w:eastAsia="仿宋_GB2312" w:cs="仿宋_GB2312"/>
                <w:kern w:val="0"/>
                <w:szCs w:val="21"/>
              </w:rPr>
              <w:t>目标设定</w:t>
            </w:r>
            <w:r>
              <w:rPr>
                <w:rFonts w:hint="eastAsia" w:ascii="仿宋_GB2312" w:hAnsi="新宋体" w:eastAsia="仿宋_GB2312" w:cs="仿宋_GB2312"/>
                <w:kern w:val="0"/>
                <w:szCs w:val="21"/>
              </w:rPr>
              <w:t>情况</w:t>
            </w:r>
          </w:p>
          <w:p w14:paraId="098D5F28">
            <w:pPr>
              <w:widowControl/>
              <w:spacing w:line="240" w:lineRule="exact"/>
              <w:jc w:val="left"/>
              <w:rPr>
                <w:color w:val="FF0000"/>
                <w:szCs w:val="21"/>
              </w:rPr>
            </w:pP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auto" w:sz="4" w:space="0"/>
              <w:right w:val="single" w:color="auto" w:sz="4" w:space="0"/>
            </w:tcBorders>
            <w:vAlign w:val="center"/>
          </w:tcPr>
          <w:p w14:paraId="626EC002">
            <w:pPr>
              <w:widowControl/>
              <w:spacing w:line="240" w:lineRule="exact"/>
              <w:jc w:val="left"/>
              <w:rPr>
                <w:szCs w:val="21"/>
              </w:rPr>
            </w:pPr>
            <w:r>
              <w:rPr>
                <w:rFonts w:ascii="仿宋_GB2312" w:hAnsi="新宋体" w:eastAsia="仿宋_GB2312" w:cs="仿宋_GB2312"/>
                <w:kern w:val="0"/>
                <w:szCs w:val="21"/>
              </w:rPr>
              <w:t>职责明确</w:t>
            </w:r>
            <w:r>
              <w:rPr>
                <w:rFonts w:hint="eastAsia" w:ascii="仿宋_GB2312" w:hAnsi="新宋体" w:eastAsia="仿宋_GB2312" w:cs="仿宋_GB2312"/>
                <w:kern w:val="0"/>
                <w:szCs w:val="21"/>
              </w:rPr>
              <w:t xml:space="preserve"> </w:t>
            </w:r>
            <w:r>
              <w:rPr>
                <w:rFonts w:ascii="仿宋_GB2312" w:hAnsi="新宋体" w:eastAsia="仿宋_GB2312" w:cs="仿宋_GB2312"/>
                <w:kern w:val="0"/>
                <w:szCs w:val="21"/>
              </w:rPr>
              <w:t>（1</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14:paraId="2AFBD3AA">
            <w:pPr>
              <w:widowControl/>
              <w:spacing w:line="240" w:lineRule="exact"/>
              <w:jc w:val="left"/>
              <w:rPr>
                <w:szCs w:val="21"/>
              </w:rPr>
            </w:pPr>
            <w:r>
              <w:rPr>
                <w:rFonts w:ascii="仿宋_GB2312" w:hAnsi="新宋体" w:eastAsia="仿宋_GB2312" w:cs="仿宋_GB2312"/>
                <w:kern w:val="0"/>
                <w:szCs w:val="21"/>
              </w:rPr>
              <w:t>部门的职责设定是否符合“三定”方案中所赋予的职责，用以反映和评价部门工作的目的性与计划性。</w:t>
            </w:r>
          </w:p>
        </w:tc>
        <w:tc>
          <w:tcPr>
            <w:tcW w:w="2373" w:type="dxa"/>
            <w:tcBorders>
              <w:top w:val="single" w:color="000000" w:sz="4" w:space="0"/>
              <w:left w:val="single" w:color="auto" w:sz="4" w:space="0"/>
              <w:bottom w:val="single" w:color="auto" w:sz="4" w:space="0"/>
              <w:right w:val="single" w:color="auto" w:sz="4" w:space="0"/>
            </w:tcBorders>
            <w:vAlign w:val="center"/>
          </w:tcPr>
          <w:p w14:paraId="091376E6">
            <w:pPr>
              <w:widowControl/>
              <w:spacing w:line="240" w:lineRule="exact"/>
              <w:jc w:val="left"/>
              <w:rPr>
                <w:szCs w:val="21"/>
              </w:rPr>
            </w:pPr>
            <w:r>
              <w:rPr>
                <w:rFonts w:ascii="仿宋_GB2312" w:hAnsi="新宋体" w:eastAsia="仿宋_GB2312" w:cs="仿宋_GB2312"/>
                <w:kern w:val="0"/>
                <w:szCs w:val="21"/>
              </w:rPr>
              <w:t>符合（1）；</w:t>
            </w:r>
          </w:p>
          <w:p w14:paraId="0A1953F0">
            <w:pPr>
              <w:widowControl/>
              <w:spacing w:line="240" w:lineRule="exact"/>
              <w:jc w:val="left"/>
              <w:rPr>
                <w:szCs w:val="21"/>
              </w:rPr>
            </w:pPr>
            <w:r>
              <w:rPr>
                <w:rFonts w:ascii="仿宋_GB2312" w:hAnsi="新宋体" w:eastAsia="仿宋_GB2312" w:cs="仿宋_GB2312"/>
                <w:kern w:val="0"/>
                <w:szCs w:val="21"/>
              </w:rPr>
              <w:t>不符合（0）。</w:t>
            </w:r>
          </w:p>
        </w:tc>
        <w:tc>
          <w:tcPr>
            <w:tcW w:w="764" w:type="dxa"/>
            <w:tcBorders>
              <w:top w:val="single" w:color="000000" w:sz="4" w:space="0"/>
              <w:left w:val="single" w:color="auto" w:sz="4" w:space="0"/>
              <w:bottom w:val="single" w:color="auto" w:sz="4" w:space="0"/>
              <w:right w:val="single" w:color="000000" w:sz="4" w:space="0"/>
            </w:tcBorders>
            <w:vAlign w:val="center"/>
          </w:tcPr>
          <w:p w14:paraId="2A7429E1">
            <w:pPr>
              <w:widowControl/>
              <w:spacing w:line="240" w:lineRule="exact"/>
              <w:jc w:val="left"/>
              <w:rPr>
                <w:szCs w:val="21"/>
              </w:rPr>
            </w:pPr>
            <w:r>
              <w:rPr>
                <w:rFonts w:hint="eastAsia"/>
                <w:szCs w:val="21"/>
              </w:rPr>
              <w:t>1</w:t>
            </w:r>
          </w:p>
        </w:tc>
      </w:tr>
      <w:tr w14:paraId="1251E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6ED83446">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7BC4DB71">
            <w:pPr>
              <w:spacing w:line="240" w:lineRule="exact"/>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14:paraId="39A330D8">
            <w:pPr>
              <w:widowControl/>
              <w:spacing w:line="240" w:lineRule="exact"/>
              <w:jc w:val="left"/>
              <w:rPr>
                <w:szCs w:val="21"/>
              </w:rPr>
            </w:pPr>
            <w:r>
              <w:rPr>
                <w:rFonts w:ascii="仿宋_GB2312" w:hAnsi="新宋体" w:eastAsia="仿宋_GB2312" w:cs="仿宋_GB2312"/>
                <w:kern w:val="0"/>
                <w:szCs w:val="21"/>
              </w:rPr>
              <w:t>活动合规性（2</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14:paraId="67533B0F">
            <w:pPr>
              <w:widowControl/>
              <w:spacing w:line="240" w:lineRule="exact"/>
              <w:jc w:val="left"/>
              <w:rPr>
                <w:szCs w:val="21"/>
              </w:rPr>
            </w:pPr>
            <w:r>
              <w:rPr>
                <w:rFonts w:ascii="仿宋_GB2312" w:hAnsi="新宋体" w:eastAsia="仿宋_GB2312" w:cs="仿宋_GB2312"/>
                <w:kern w:val="0"/>
                <w:szCs w:val="21"/>
              </w:rPr>
              <w:t>部门的活动是否在职责范围之内并符合部门中长期规划，用以反映和评价部门活动目标与部门履职、年度工作任务的相符性情况。</w:t>
            </w:r>
          </w:p>
          <w:p w14:paraId="66FC511B">
            <w:pPr>
              <w:widowControl/>
              <w:spacing w:line="240" w:lineRule="exact"/>
              <w:jc w:val="left"/>
              <w:rPr>
                <w:szCs w:val="21"/>
              </w:rPr>
            </w:pPr>
            <w:r>
              <w:rPr>
                <w:rFonts w:ascii="仿宋_GB2312" w:hAnsi="新宋体" w:eastAsia="仿宋_GB2312" w:cs="仿宋_GB2312"/>
                <w:kern w:val="0"/>
                <w:szCs w:val="21"/>
              </w:rPr>
              <w:t>评价要点：</w:t>
            </w:r>
          </w:p>
          <w:p w14:paraId="16BED1FE">
            <w:pPr>
              <w:widowControl/>
              <w:spacing w:line="240" w:lineRule="exact"/>
              <w:jc w:val="left"/>
              <w:rPr>
                <w:szCs w:val="21"/>
              </w:rPr>
            </w:pPr>
            <w:r>
              <w:rPr>
                <w:rFonts w:ascii="仿宋_GB2312" w:hAnsi="新宋体" w:eastAsia="仿宋_GB2312" w:cs="仿宋_GB2312"/>
                <w:kern w:val="0"/>
                <w:szCs w:val="21"/>
              </w:rPr>
              <w:t>1.部门活动的设定在部门所确定的职责范围之内；</w:t>
            </w:r>
          </w:p>
          <w:p w14:paraId="0EB016B0">
            <w:pPr>
              <w:widowControl/>
              <w:spacing w:line="240" w:lineRule="exact"/>
              <w:jc w:val="left"/>
              <w:rPr>
                <w:szCs w:val="21"/>
              </w:rPr>
            </w:pPr>
            <w:r>
              <w:rPr>
                <w:rFonts w:ascii="仿宋_GB2312" w:hAnsi="新宋体" w:eastAsia="仿宋_GB2312" w:cs="仿宋_GB2312"/>
                <w:kern w:val="0"/>
                <w:szCs w:val="21"/>
              </w:rPr>
              <w:t>2.部门活动符合</w:t>
            </w:r>
            <w:r>
              <w:rPr>
                <w:rFonts w:hint="eastAsia" w:ascii="仿宋_GB2312" w:hAnsi="新宋体" w:eastAsia="仿宋_GB2312" w:cs="仿宋_GB2312"/>
                <w:kern w:val="0"/>
                <w:szCs w:val="21"/>
              </w:rPr>
              <w:t>市</w:t>
            </w:r>
            <w:r>
              <w:rPr>
                <w:rFonts w:ascii="仿宋_GB2312" w:hAnsi="新宋体" w:eastAsia="仿宋_GB2312" w:cs="仿宋_GB2312"/>
                <w:kern w:val="0"/>
                <w:szCs w:val="21"/>
              </w:rPr>
              <w:t>委、</w:t>
            </w:r>
            <w:r>
              <w:rPr>
                <w:rFonts w:hint="eastAsia" w:ascii="仿宋_GB2312" w:hAnsi="新宋体" w:eastAsia="仿宋_GB2312" w:cs="仿宋_GB2312"/>
                <w:kern w:val="0"/>
                <w:szCs w:val="21"/>
              </w:rPr>
              <w:t>市</w:t>
            </w:r>
            <w:r>
              <w:rPr>
                <w:rFonts w:ascii="仿宋_GB2312" w:hAnsi="新宋体" w:eastAsia="仿宋_GB2312" w:cs="仿宋_GB2312"/>
                <w:kern w:val="0"/>
                <w:szCs w:val="21"/>
              </w:rPr>
              <w:t>政府的发展规划及本部门的年度工作安排与发展规划。</w:t>
            </w:r>
          </w:p>
        </w:tc>
        <w:tc>
          <w:tcPr>
            <w:tcW w:w="2373" w:type="dxa"/>
            <w:tcBorders>
              <w:top w:val="single" w:color="000000" w:sz="4" w:space="0"/>
              <w:left w:val="single" w:color="auto" w:sz="4" w:space="0"/>
              <w:bottom w:val="single" w:color="auto" w:sz="4" w:space="0"/>
              <w:right w:val="single" w:color="auto" w:sz="4" w:space="0"/>
            </w:tcBorders>
            <w:vAlign w:val="center"/>
          </w:tcPr>
          <w:p w14:paraId="7F137ED2">
            <w:pPr>
              <w:widowControl/>
              <w:spacing w:line="240" w:lineRule="exact"/>
              <w:jc w:val="left"/>
              <w:rPr>
                <w:szCs w:val="21"/>
              </w:rPr>
            </w:pPr>
            <w:r>
              <w:rPr>
                <w:rFonts w:ascii="仿宋_GB2312" w:hAnsi="新宋体" w:eastAsia="仿宋_GB2312" w:cs="仿宋_GB2312"/>
                <w:kern w:val="0"/>
                <w:szCs w:val="21"/>
              </w:rPr>
              <w:t>全部符合（2）；</w:t>
            </w:r>
          </w:p>
          <w:p w14:paraId="7578CDB1">
            <w:pPr>
              <w:widowControl/>
              <w:spacing w:line="240" w:lineRule="exact"/>
              <w:jc w:val="left"/>
              <w:rPr>
                <w:szCs w:val="21"/>
              </w:rPr>
            </w:pPr>
            <w:r>
              <w:rPr>
                <w:rFonts w:ascii="仿宋_GB2312" w:hAnsi="新宋体" w:eastAsia="仿宋_GB2312" w:cs="仿宋_GB2312"/>
                <w:kern w:val="0"/>
                <w:szCs w:val="21"/>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14:paraId="50D23076">
            <w:pPr>
              <w:widowControl/>
              <w:spacing w:line="240" w:lineRule="exact"/>
              <w:jc w:val="left"/>
              <w:rPr>
                <w:szCs w:val="21"/>
              </w:rPr>
            </w:pPr>
            <w:r>
              <w:rPr>
                <w:rFonts w:hint="eastAsia"/>
                <w:szCs w:val="21"/>
              </w:rPr>
              <w:t>2</w:t>
            </w:r>
          </w:p>
        </w:tc>
      </w:tr>
      <w:tr w14:paraId="0B076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178F3AE3">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56344FED">
            <w:pPr>
              <w:spacing w:line="240" w:lineRule="exact"/>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14:paraId="0DC60A37">
            <w:pPr>
              <w:widowControl/>
              <w:spacing w:line="240" w:lineRule="exact"/>
              <w:jc w:val="left"/>
              <w:rPr>
                <w:szCs w:val="21"/>
              </w:rPr>
            </w:pPr>
            <w:r>
              <w:rPr>
                <w:rFonts w:ascii="仿宋_GB2312" w:hAnsi="新宋体" w:eastAsia="仿宋_GB2312" w:cs="仿宋_GB2312"/>
                <w:kern w:val="0"/>
                <w:szCs w:val="21"/>
              </w:rPr>
              <w:t>活动合理性（2</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14:paraId="175CF5EE">
            <w:pPr>
              <w:widowControl/>
              <w:spacing w:line="240" w:lineRule="exact"/>
              <w:jc w:val="left"/>
              <w:rPr>
                <w:szCs w:val="21"/>
              </w:rPr>
            </w:pPr>
            <w:r>
              <w:rPr>
                <w:rFonts w:ascii="仿宋_GB2312" w:hAnsi="新宋体" w:eastAsia="仿宋_GB2312" w:cs="仿宋_GB2312"/>
                <w:kern w:val="0"/>
                <w:szCs w:val="21"/>
              </w:rPr>
              <w:t>部门所设立的活动是否明确合理、活动的关键性指标设置是否可衡量，用以反映和评价部门活动目标设定的合理性。</w:t>
            </w:r>
          </w:p>
          <w:p w14:paraId="34ACC925">
            <w:pPr>
              <w:widowControl/>
              <w:spacing w:line="240" w:lineRule="exact"/>
              <w:jc w:val="left"/>
              <w:rPr>
                <w:szCs w:val="21"/>
              </w:rPr>
            </w:pPr>
            <w:r>
              <w:rPr>
                <w:rFonts w:ascii="仿宋_GB2312" w:hAnsi="新宋体" w:eastAsia="仿宋_GB2312" w:cs="仿宋_GB2312"/>
                <w:kern w:val="0"/>
                <w:szCs w:val="21"/>
              </w:rPr>
              <w:t>评价要点：</w:t>
            </w:r>
          </w:p>
          <w:p w14:paraId="173C66A6">
            <w:pPr>
              <w:widowControl/>
              <w:spacing w:line="240" w:lineRule="exact"/>
              <w:jc w:val="left"/>
              <w:rPr>
                <w:szCs w:val="21"/>
              </w:rPr>
            </w:pPr>
            <w:r>
              <w:rPr>
                <w:rFonts w:ascii="仿宋_GB2312" w:hAnsi="新宋体" w:eastAsia="仿宋_GB2312" w:cs="仿宋_GB2312"/>
                <w:kern w:val="0"/>
                <w:szCs w:val="21"/>
              </w:rPr>
              <w:t>1.活动目标的设定是可量化的，可通过清晰、可衡量的关键指标值予以体现；</w:t>
            </w:r>
          </w:p>
          <w:p w14:paraId="24EB6FFA">
            <w:pPr>
              <w:widowControl/>
              <w:spacing w:line="240" w:lineRule="exact"/>
              <w:jc w:val="left"/>
              <w:rPr>
                <w:szCs w:val="21"/>
              </w:rPr>
            </w:pPr>
            <w:r>
              <w:rPr>
                <w:rFonts w:ascii="仿宋_GB2312" w:hAnsi="新宋体" w:eastAsia="仿宋_GB2312" w:cs="仿宋_GB2312"/>
                <w:kern w:val="0"/>
                <w:szCs w:val="21"/>
              </w:rPr>
              <w:t>2.在活动目标设定时，将关键指标明细分解为具体的达成目标与工作任务。</w:t>
            </w:r>
          </w:p>
        </w:tc>
        <w:tc>
          <w:tcPr>
            <w:tcW w:w="2373" w:type="dxa"/>
            <w:tcBorders>
              <w:top w:val="single" w:color="000000" w:sz="4" w:space="0"/>
              <w:left w:val="single" w:color="auto" w:sz="4" w:space="0"/>
              <w:bottom w:val="single" w:color="auto" w:sz="4" w:space="0"/>
              <w:right w:val="single" w:color="auto" w:sz="4" w:space="0"/>
            </w:tcBorders>
            <w:vAlign w:val="center"/>
          </w:tcPr>
          <w:p w14:paraId="6561551D">
            <w:pPr>
              <w:widowControl/>
              <w:spacing w:line="240" w:lineRule="exact"/>
              <w:jc w:val="left"/>
              <w:rPr>
                <w:szCs w:val="21"/>
              </w:rPr>
            </w:pPr>
            <w:r>
              <w:rPr>
                <w:rFonts w:ascii="仿宋_GB2312" w:hAnsi="新宋体" w:eastAsia="仿宋_GB2312" w:cs="仿宋_GB2312"/>
                <w:kern w:val="0"/>
                <w:szCs w:val="21"/>
              </w:rPr>
              <w:t>全部符合（2）；</w:t>
            </w:r>
          </w:p>
          <w:p w14:paraId="25E7F33D">
            <w:pPr>
              <w:widowControl/>
              <w:spacing w:line="240" w:lineRule="exact"/>
              <w:jc w:val="left"/>
              <w:rPr>
                <w:szCs w:val="21"/>
              </w:rPr>
            </w:pPr>
            <w:r>
              <w:rPr>
                <w:rFonts w:ascii="仿宋_GB2312" w:hAnsi="新宋体" w:eastAsia="仿宋_GB2312" w:cs="仿宋_GB2312"/>
                <w:kern w:val="0"/>
                <w:szCs w:val="21"/>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14:paraId="697ADAB6">
            <w:pPr>
              <w:widowControl/>
              <w:spacing w:line="240" w:lineRule="exact"/>
              <w:jc w:val="left"/>
              <w:rPr>
                <w:szCs w:val="21"/>
              </w:rPr>
            </w:pPr>
            <w:r>
              <w:rPr>
                <w:rFonts w:hint="eastAsia"/>
                <w:szCs w:val="21"/>
              </w:rPr>
              <w:t>2</w:t>
            </w:r>
          </w:p>
        </w:tc>
      </w:tr>
      <w:tr w14:paraId="562FC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26CC6A5B">
            <w:pPr>
              <w:spacing w:line="240" w:lineRule="exact"/>
              <w:rPr>
                <w:rFonts w:ascii="宋体"/>
                <w:szCs w:val="21"/>
              </w:rPr>
            </w:pPr>
          </w:p>
        </w:tc>
        <w:tc>
          <w:tcPr>
            <w:tcW w:w="743" w:type="dxa"/>
            <w:vMerge w:val="restart"/>
            <w:tcBorders>
              <w:top w:val="single" w:color="000000" w:sz="4" w:space="0"/>
              <w:left w:val="single" w:color="000000" w:sz="4" w:space="0"/>
              <w:right w:val="single" w:color="000000" w:sz="4" w:space="0"/>
            </w:tcBorders>
            <w:vAlign w:val="center"/>
          </w:tcPr>
          <w:p w14:paraId="721CB8F9">
            <w:pPr>
              <w:widowControl/>
              <w:spacing w:line="240" w:lineRule="exact"/>
              <w:jc w:val="left"/>
              <w:rPr>
                <w:szCs w:val="21"/>
              </w:rPr>
            </w:pPr>
            <w:r>
              <w:rPr>
                <w:rFonts w:ascii="仿宋_GB2312" w:hAnsi="新宋体" w:eastAsia="仿宋_GB2312" w:cs="仿宋_GB2312"/>
                <w:kern w:val="0"/>
                <w:szCs w:val="21"/>
              </w:rPr>
              <w:t>预算配置</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1275" w:type="dxa"/>
            <w:tcBorders>
              <w:top w:val="single" w:color="auto" w:sz="4" w:space="0"/>
              <w:left w:val="single" w:color="000000" w:sz="4" w:space="0"/>
              <w:right w:val="single" w:color="auto" w:sz="4" w:space="0"/>
            </w:tcBorders>
            <w:vAlign w:val="center"/>
          </w:tcPr>
          <w:p w14:paraId="7C5B5669">
            <w:pPr>
              <w:widowControl/>
              <w:spacing w:line="240" w:lineRule="exact"/>
              <w:jc w:val="left"/>
              <w:rPr>
                <w:szCs w:val="21"/>
              </w:rPr>
            </w:pPr>
            <w:r>
              <w:rPr>
                <w:rFonts w:ascii="仿宋_GB2312" w:hAnsi="新宋体" w:eastAsia="仿宋_GB2312" w:cs="仿宋_GB2312"/>
                <w:kern w:val="0"/>
                <w:szCs w:val="21"/>
              </w:rPr>
              <w:t>在职人员控制率（</w:t>
            </w:r>
            <w:r>
              <w:rPr>
                <w:rFonts w:hint="eastAsia" w:ascii="仿宋_GB2312" w:hAnsi="新宋体" w:eastAsia="仿宋_GB2312" w:cs="仿宋_GB2312"/>
                <w:kern w:val="0"/>
                <w:szCs w:val="21"/>
              </w:rPr>
              <w:t>1分</w:t>
            </w:r>
            <w:r>
              <w:rPr>
                <w:rFonts w:ascii="仿宋_GB2312" w:hAnsi="新宋体" w:eastAsia="仿宋_GB2312" w:cs="仿宋_GB2312"/>
                <w:kern w:val="0"/>
                <w:szCs w:val="21"/>
              </w:rPr>
              <w:t>）</w:t>
            </w:r>
          </w:p>
        </w:tc>
        <w:tc>
          <w:tcPr>
            <w:tcW w:w="3436" w:type="dxa"/>
            <w:tcBorders>
              <w:top w:val="single" w:color="auto" w:sz="4" w:space="0"/>
              <w:left w:val="single" w:color="auto" w:sz="4" w:space="0"/>
              <w:right w:val="single" w:color="auto" w:sz="4" w:space="0"/>
            </w:tcBorders>
            <w:vAlign w:val="center"/>
          </w:tcPr>
          <w:p w14:paraId="3F2F51B5">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部门本年度实际在职人员数与编制数的比率，用以反映和评价部门对人员成本的控制程度。</w:t>
            </w:r>
          </w:p>
          <w:p w14:paraId="61DF4883">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在职人员控制率=（在职人员数/编制数）×100%。</w:t>
            </w:r>
          </w:p>
          <w:p w14:paraId="23744D7C">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在职人员数：部门实际在职人数，以财政部确定的部门决算编制口径为准，由编制部门和人劳部门批复同意的临聘人员除外。</w:t>
            </w:r>
          </w:p>
          <w:p w14:paraId="636A9A34">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编制数：机构编制部门核定批复的部门人员编制数。</w:t>
            </w:r>
          </w:p>
        </w:tc>
        <w:tc>
          <w:tcPr>
            <w:tcW w:w="2373" w:type="dxa"/>
            <w:tcBorders>
              <w:top w:val="single" w:color="auto" w:sz="4" w:space="0"/>
              <w:left w:val="single" w:color="auto" w:sz="4" w:space="0"/>
              <w:right w:val="single" w:color="auto" w:sz="4" w:space="0"/>
            </w:tcBorders>
            <w:vAlign w:val="center"/>
          </w:tcPr>
          <w:p w14:paraId="53EBA1ED">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1.在职人员控制率小于或等于100%的，得满分；</w:t>
            </w:r>
          </w:p>
          <w:p w14:paraId="7B189DFA">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2.在职人员控制率大于或等于115%的，得0分；</w:t>
            </w:r>
          </w:p>
          <w:p w14:paraId="54847F59">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3.在职人员控制率在100%-115%之间的，在0分和满分之间计算确定：</w:t>
            </w:r>
          </w:p>
          <w:p w14:paraId="44AA5340">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得分=[max（在职人员控制率）－某部门在职人员控制率]/[max（在职人员控制率）－min（在职人员控制率）]×该指标分值。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23AF2EE1">
            <w:pPr>
              <w:widowControl/>
              <w:spacing w:line="240" w:lineRule="exact"/>
              <w:jc w:val="left"/>
              <w:rPr>
                <w:szCs w:val="21"/>
              </w:rPr>
            </w:pPr>
            <w:r>
              <w:rPr>
                <w:rFonts w:hint="eastAsia"/>
                <w:szCs w:val="21"/>
              </w:rPr>
              <w:t>1</w:t>
            </w:r>
          </w:p>
        </w:tc>
      </w:tr>
      <w:tr w14:paraId="03D05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restart"/>
            <w:tcBorders>
              <w:top w:val="single" w:color="000000" w:sz="4" w:space="0"/>
              <w:left w:val="single" w:color="000000" w:sz="4" w:space="0"/>
              <w:right w:val="single" w:color="000000" w:sz="4" w:space="0"/>
            </w:tcBorders>
            <w:vAlign w:val="center"/>
          </w:tcPr>
          <w:p w14:paraId="0DE78384">
            <w:pPr>
              <w:spacing w:line="240" w:lineRule="exact"/>
              <w:rPr>
                <w:rFonts w:ascii="宋体"/>
                <w:szCs w:val="21"/>
              </w:rPr>
            </w:pPr>
          </w:p>
        </w:tc>
        <w:tc>
          <w:tcPr>
            <w:tcW w:w="743" w:type="dxa"/>
            <w:vMerge w:val="continue"/>
            <w:tcBorders>
              <w:left w:val="single" w:color="000000" w:sz="4" w:space="0"/>
              <w:right w:val="single" w:color="000000" w:sz="4" w:space="0"/>
            </w:tcBorders>
            <w:vAlign w:val="center"/>
          </w:tcPr>
          <w:p w14:paraId="4D7D9C17">
            <w:pPr>
              <w:widowControl/>
              <w:spacing w:line="240" w:lineRule="exact"/>
              <w:jc w:val="left"/>
              <w:rPr>
                <w:rFonts w:ascii="仿宋_GB2312" w:hAnsi="新宋体" w:eastAsia="仿宋_GB2312" w:cs="仿宋_GB2312"/>
                <w:kern w:val="0"/>
                <w:szCs w:val="21"/>
              </w:rPr>
            </w:pPr>
          </w:p>
        </w:tc>
        <w:tc>
          <w:tcPr>
            <w:tcW w:w="1275" w:type="dxa"/>
            <w:tcBorders>
              <w:top w:val="single" w:color="auto" w:sz="4" w:space="0"/>
              <w:left w:val="single" w:color="000000" w:sz="4" w:space="0"/>
              <w:right w:val="single" w:color="auto" w:sz="4" w:space="0"/>
            </w:tcBorders>
            <w:vAlign w:val="center"/>
          </w:tcPr>
          <w:p w14:paraId="2BF1CE6F">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“三公经费”变动率（2分）</w:t>
            </w:r>
          </w:p>
        </w:tc>
        <w:tc>
          <w:tcPr>
            <w:tcW w:w="3436" w:type="dxa"/>
            <w:tcBorders>
              <w:top w:val="single" w:color="auto" w:sz="4" w:space="0"/>
              <w:left w:val="single" w:color="auto" w:sz="4" w:space="0"/>
              <w:right w:val="single" w:color="auto" w:sz="4" w:space="0"/>
            </w:tcBorders>
            <w:vAlign w:val="center"/>
          </w:tcPr>
          <w:p w14:paraId="0B955394">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部门本年度“三公经费”预算数与上年度“三公经费”预算数的变动比率，用以反映和考核部门对控制重点行政成本的努力程度。“三公经费”变动率=[（本年度“三公经费”总额-上年度“三公经费”总额）/上年度“三公经费”总额]×100%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“三公经费”：年度预算安排的因公出国（境）费、公务车辆购置及运行费和公务招待费。</w:t>
            </w:r>
          </w:p>
        </w:tc>
        <w:tc>
          <w:tcPr>
            <w:tcW w:w="2373" w:type="dxa"/>
            <w:tcBorders>
              <w:top w:val="single" w:color="auto" w:sz="4" w:space="0"/>
              <w:left w:val="single" w:color="auto" w:sz="4" w:space="0"/>
              <w:right w:val="single" w:color="auto" w:sz="4" w:space="0"/>
            </w:tcBorders>
            <w:vAlign w:val="center"/>
          </w:tcPr>
          <w:p w14:paraId="32FD15C2">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小于或等于</w:t>
            </w:r>
            <w:r>
              <w:rPr>
                <w:rFonts w:hint="eastAsia" w:ascii="仿宋_GB2312" w:hAnsi="新宋体" w:eastAsia="仿宋_GB2312" w:cs="仿宋_GB2312"/>
                <w:kern w:val="0"/>
                <w:szCs w:val="21"/>
              </w:rPr>
              <w:t>-5</w:t>
            </w:r>
            <w:r>
              <w:rPr>
                <w:rFonts w:ascii="仿宋_GB2312" w:hAnsi="新宋体" w:eastAsia="仿宋_GB2312" w:cs="仿宋_GB2312"/>
                <w:kern w:val="0"/>
                <w:szCs w:val="21"/>
              </w:rPr>
              <w:t>%的，得满分；</w:t>
            </w:r>
          </w:p>
          <w:p w14:paraId="3F5DBCD9">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大于或等于1</w:t>
            </w:r>
            <w:r>
              <w:rPr>
                <w:rFonts w:hint="eastAsia" w:ascii="仿宋_GB2312" w:hAnsi="新宋体" w:eastAsia="仿宋_GB2312" w:cs="仿宋_GB2312"/>
                <w:kern w:val="0"/>
                <w:szCs w:val="21"/>
              </w:rPr>
              <w:t>0</w:t>
            </w:r>
            <w:r>
              <w:rPr>
                <w:rFonts w:ascii="仿宋_GB2312" w:hAnsi="新宋体" w:eastAsia="仿宋_GB2312" w:cs="仿宋_GB2312"/>
                <w:kern w:val="0"/>
                <w:szCs w:val="21"/>
              </w:rPr>
              <w:t>%的，得0分；</w:t>
            </w:r>
          </w:p>
          <w:p w14:paraId="196483AF">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3.在职人员控制率在</w:t>
            </w:r>
            <w:r>
              <w:rPr>
                <w:rFonts w:hint="eastAsia" w:ascii="仿宋_GB2312" w:hAnsi="新宋体" w:eastAsia="仿宋_GB2312" w:cs="仿宋_GB2312"/>
                <w:kern w:val="0"/>
                <w:szCs w:val="21"/>
              </w:rPr>
              <w:t>-5</w:t>
            </w:r>
            <w:r>
              <w:rPr>
                <w:rFonts w:ascii="仿宋_GB2312" w:hAnsi="新宋体" w:eastAsia="仿宋_GB2312" w:cs="仿宋_GB2312"/>
                <w:kern w:val="0"/>
                <w:szCs w:val="21"/>
              </w:rPr>
              <w:t>%-</w:t>
            </w:r>
            <w:r>
              <w:rPr>
                <w:rFonts w:hint="eastAsia" w:ascii="仿宋_GB2312" w:hAnsi="新宋体" w:eastAsia="仿宋_GB2312" w:cs="仿宋_GB2312"/>
                <w:kern w:val="0"/>
                <w:szCs w:val="21"/>
              </w:rPr>
              <w:t>10</w:t>
            </w:r>
            <w:r>
              <w:rPr>
                <w:rFonts w:ascii="仿宋_GB2312" w:hAnsi="新宋体" w:eastAsia="仿宋_GB2312" w:cs="仿宋_GB2312"/>
                <w:kern w:val="0"/>
                <w:szCs w:val="21"/>
              </w:rPr>
              <w:t>%之间的，在0分和满分之间计算确定：</w:t>
            </w:r>
          </w:p>
          <w:p w14:paraId="725F04AF">
            <w:pPr>
              <w:widowControl/>
              <w:spacing w:line="240" w:lineRule="exact"/>
              <w:jc w:val="left"/>
              <w:textAlignment w:val="center"/>
              <w:rPr>
                <w:rFonts w:ascii="仿宋" w:hAnsi="仿宋" w:eastAsia="仿宋" w:cs="仿宋"/>
                <w:kern w:val="0"/>
                <w:szCs w:val="21"/>
              </w:rPr>
            </w:pPr>
            <w:r>
              <w:rPr>
                <w:rFonts w:ascii="仿宋_GB2312" w:hAnsi="新宋体" w:eastAsia="仿宋_GB2312" w:cs="仿宋_GB2312"/>
                <w:kern w:val="0"/>
                <w:szCs w:val="21"/>
              </w:rPr>
              <w:t>得分=[max（</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]/[max（</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）－min（</w:t>
            </w:r>
            <w:r>
              <w:rPr>
                <w:rFonts w:hint="eastAsia" w:ascii="仿宋" w:hAnsi="仿宋" w:eastAsia="仿宋" w:cs="仿宋"/>
                <w:color w:val="000000"/>
                <w:kern w:val="0"/>
                <w:szCs w:val="21"/>
              </w:rPr>
              <w:t>“三公经费”变动率</w:t>
            </w:r>
            <w:r>
              <w:rPr>
                <w:rFonts w:ascii="仿宋_GB2312" w:hAnsi="新宋体" w:eastAsia="仿宋_GB2312" w:cs="仿宋_GB2312"/>
                <w:kern w:val="0"/>
                <w:szCs w:val="21"/>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2992FF48">
            <w:pPr>
              <w:widowControl/>
              <w:spacing w:line="240" w:lineRule="exact"/>
              <w:jc w:val="left"/>
              <w:rPr>
                <w:szCs w:val="21"/>
              </w:rPr>
            </w:pPr>
            <w:r>
              <w:rPr>
                <w:rFonts w:hint="eastAsia"/>
                <w:szCs w:val="21"/>
              </w:rPr>
              <w:t>2</w:t>
            </w:r>
          </w:p>
        </w:tc>
      </w:tr>
      <w:tr w14:paraId="49BCDA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left w:val="single" w:color="000000" w:sz="4" w:space="0"/>
              <w:bottom w:val="single" w:color="000000" w:sz="4" w:space="0"/>
              <w:right w:val="single" w:color="000000" w:sz="4" w:space="0"/>
            </w:tcBorders>
            <w:vAlign w:val="center"/>
          </w:tcPr>
          <w:p w14:paraId="0232AFB1">
            <w:pPr>
              <w:spacing w:line="240" w:lineRule="exact"/>
              <w:rPr>
                <w:rFonts w:ascii="宋体"/>
                <w:szCs w:val="21"/>
              </w:rPr>
            </w:pPr>
          </w:p>
        </w:tc>
        <w:tc>
          <w:tcPr>
            <w:tcW w:w="743" w:type="dxa"/>
            <w:vMerge w:val="continue"/>
            <w:tcBorders>
              <w:left w:val="single" w:color="000000" w:sz="4" w:space="0"/>
              <w:bottom w:val="single" w:color="000000" w:sz="4" w:space="0"/>
              <w:right w:val="single" w:color="000000" w:sz="4" w:space="0"/>
            </w:tcBorders>
            <w:vAlign w:val="center"/>
          </w:tcPr>
          <w:p w14:paraId="78874217">
            <w:pPr>
              <w:widowControl/>
              <w:spacing w:line="240" w:lineRule="exact"/>
              <w:jc w:val="left"/>
              <w:rPr>
                <w:rFonts w:ascii="仿宋_GB2312" w:hAnsi="新宋体" w:eastAsia="仿宋_GB2312" w:cs="仿宋_GB2312"/>
                <w:kern w:val="0"/>
                <w:szCs w:val="21"/>
              </w:rPr>
            </w:pPr>
          </w:p>
        </w:tc>
        <w:tc>
          <w:tcPr>
            <w:tcW w:w="1275" w:type="dxa"/>
            <w:tcBorders>
              <w:top w:val="single" w:color="auto" w:sz="4" w:space="0"/>
              <w:left w:val="single" w:color="000000" w:sz="4" w:space="0"/>
              <w:right w:val="single" w:color="auto" w:sz="4" w:space="0"/>
            </w:tcBorders>
            <w:vAlign w:val="center"/>
          </w:tcPr>
          <w:p w14:paraId="6223ABB9">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重点支出安排率（2分）</w:t>
            </w:r>
          </w:p>
        </w:tc>
        <w:tc>
          <w:tcPr>
            <w:tcW w:w="3436" w:type="dxa"/>
            <w:tcBorders>
              <w:top w:val="single" w:color="auto" w:sz="4" w:space="0"/>
              <w:left w:val="single" w:color="auto" w:sz="4" w:space="0"/>
              <w:right w:val="single" w:color="auto" w:sz="4" w:space="0"/>
            </w:tcBorders>
            <w:vAlign w:val="center"/>
          </w:tcPr>
          <w:p w14:paraId="35AFB3F9">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部门本年度预算安排的重点项目支出与部门项目总支出的比率，用以反映和考核部门对履行主要职责或完成重点任务的保障程度。重点支出安排率=（重点项目支出/项目总支出）×100%。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重点项目支出：部门（单位）年度预算安排的，与本部门履职和发展密切相关、具有明显社会和经济影响、党委政府关心或社会比较关注的项目支出总额。</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项目总支出：部门（单位）年度预算安排的项目支出总额。</w:t>
            </w:r>
          </w:p>
        </w:tc>
        <w:tc>
          <w:tcPr>
            <w:tcW w:w="2373" w:type="dxa"/>
            <w:tcBorders>
              <w:top w:val="single" w:color="auto" w:sz="4" w:space="0"/>
              <w:left w:val="single" w:color="auto" w:sz="4" w:space="0"/>
              <w:right w:val="single" w:color="auto" w:sz="4" w:space="0"/>
            </w:tcBorders>
            <w:vAlign w:val="center"/>
          </w:tcPr>
          <w:p w14:paraId="5575F11D">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大于或等于95%的，得满分；</w:t>
            </w:r>
          </w:p>
          <w:p w14:paraId="0624E127">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小于或等于85%的，得0分；</w:t>
            </w:r>
          </w:p>
          <w:p w14:paraId="677CCA23">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在85%-95%之间的，在0分和满分之间计算确定：</w:t>
            </w:r>
          </w:p>
          <w:p w14:paraId="5F8761FE">
            <w:pPr>
              <w:widowControl/>
              <w:spacing w:line="240" w:lineRule="exact"/>
              <w:jc w:val="left"/>
              <w:textAlignment w:val="center"/>
              <w:rPr>
                <w:rFonts w:ascii="仿宋" w:hAnsi="仿宋" w:eastAsia="仿宋" w:cs="仿宋"/>
                <w:kern w:val="0"/>
                <w:szCs w:val="21"/>
              </w:rPr>
            </w:pPr>
            <w:r>
              <w:rPr>
                <w:rFonts w:ascii="仿宋_GB2312" w:hAnsi="新宋体" w:eastAsia="仿宋_GB2312" w:cs="仿宋_GB2312"/>
                <w:kern w:val="0"/>
                <w:szCs w:val="21"/>
              </w:rPr>
              <w:t>得分=[某部门</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-min（</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）]/[max（</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）－min（</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05EBD8A7">
            <w:pPr>
              <w:widowControl/>
              <w:spacing w:line="240" w:lineRule="exact"/>
              <w:jc w:val="left"/>
              <w:rPr>
                <w:szCs w:val="21"/>
              </w:rPr>
            </w:pPr>
            <w:r>
              <w:rPr>
                <w:rFonts w:hint="eastAsia"/>
                <w:szCs w:val="21"/>
              </w:rPr>
              <w:t>2</w:t>
            </w:r>
          </w:p>
        </w:tc>
      </w:tr>
      <w:tr w14:paraId="5632A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59FE434D">
            <w:pPr>
              <w:widowControl/>
              <w:spacing w:line="240" w:lineRule="exact"/>
              <w:jc w:val="left"/>
              <w:rPr>
                <w:szCs w:val="21"/>
              </w:rPr>
            </w:pPr>
            <w:r>
              <w:rPr>
                <w:rFonts w:ascii="仿宋_GB2312" w:hAnsi="新宋体" w:eastAsia="仿宋_GB2312" w:cs="仿宋_GB2312"/>
                <w:kern w:val="0"/>
                <w:szCs w:val="21"/>
              </w:rPr>
              <w:t>过程(</w:t>
            </w:r>
            <w:r>
              <w:rPr>
                <w:rFonts w:hint="eastAsia" w:ascii="仿宋_GB2312" w:hAnsi="新宋体" w:eastAsia="仿宋_GB2312" w:cs="仿宋_GB2312"/>
                <w:kern w:val="0"/>
                <w:szCs w:val="21"/>
              </w:rPr>
              <w:t>45分</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151E0634">
            <w:pPr>
              <w:widowControl/>
              <w:spacing w:line="240" w:lineRule="exact"/>
              <w:jc w:val="left"/>
              <w:rPr>
                <w:szCs w:val="21"/>
              </w:rPr>
            </w:pPr>
            <w:r>
              <w:rPr>
                <w:rFonts w:ascii="仿宋_GB2312" w:hAnsi="新宋体" w:eastAsia="仿宋_GB2312" w:cs="仿宋_GB2312"/>
                <w:kern w:val="0"/>
                <w:szCs w:val="21"/>
              </w:rPr>
              <w:t>预算执行</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25分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000000" w:sz="4" w:space="0"/>
              <w:right w:val="single" w:color="auto" w:sz="4" w:space="0"/>
            </w:tcBorders>
            <w:vAlign w:val="center"/>
          </w:tcPr>
          <w:p w14:paraId="277EFCEA">
            <w:pPr>
              <w:widowControl/>
              <w:spacing w:line="240" w:lineRule="exact"/>
              <w:jc w:val="left"/>
              <w:rPr>
                <w:szCs w:val="21"/>
              </w:rPr>
            </w:pPr>
            <w:r>
              <w:rPr>
                <w:rFonts w:ascii="仿宋_GB2312" w:hAnsi="新宋体" w:eastAsia="仿宋_GB2312" w:cs="仿宋_GB2312"/>
                <w:kern w:val="0"/>
                <w:szCs w:val="21"/>
              </w:rPr>
              <w:t>预算完成率（5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3D660B32">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通过对部门本年度预算完成数与预算数的比较，反映和评价部门预算的完成程度。</w:t>
            </w:r>
          </w:p>
          <w:p w14:paraId="333C5A7E">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预算完成率=（预算完成数/预算数）×100%。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14:paraId="03AB3C94">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1.预算完成率大于或等于95%的，得满分；</w:t>
            </w:r>
          </w:p>
          <w:p w14:paraId="2E8B44F9">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2.预算完成率小于或等于85%的，得0分；</w:t>
            </w:r>
          </w:p>
          <w:p w14:paraId="0949CAB5">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3.预算完成率在85%-95%之间的，在0分和满分之间计算确定：</w:t>
            </w:r>
          </w:p>
          <w:p w14:paraId="4EF06C50">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得分=[某部门预算完成率-min（预算完成率）]/[max（预算完成率）－min（预算完成率）]×该指标分值。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0170DE80">
            <w:pPr>
              <w:widowControl/>
              <w:spacing w:line="240" w:lineRule="exact"/>
              <w:jc w:val="left"/>
              <w:rPr>
                <w:szCs w:val="21"/>
              </w:rPr>
            </w:pPr>
            <w:r>
              <w:rPr>
                <w:rFonts w:hint="eastAsia"/>
                <w:szCs w:val="21"/>
              </w:rPr>
              <w:t>5</w:t>
            </w:r>
          </w:p>
        </w:tc>
      </w:tr>
      <w:tr w14:paraId="6AFCF4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105BD3F8">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74927550">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3A225D1C">
            <w:pPr>
              <w:widowControl/>
              <w:spacing w:line="240" w:lineRule="exact"/>
              <w:jc w:val="left"/>
              <w:rPr>
                <w:szCs w:val="21"/>
              </w:rPr>
            </w:pPr>
            <w:r>
              <w:rPr>
                <w:rFonts w:ascii="仿宋_GB2312" w:hAnsi="新宋体" w:eastAsia="仿宋_GB2312" w:cs="仿宋_GB2312"/>
                <w:kern w:val="0"/>
                <w:szCs w:val="21"/>
              </w:rPr>
              <w:t>预算调整率（</w:t>
            </w:r>
            <w:r>
              <w:rPr>
                <w:rFonts w:hint="eastAsia" w:ascii="仿宋_GB2312" w:hAnsi="新宋体" w:eastAsia="仿宋_GB2312" w:cs="仿宋_GB2312"/>
                <w:kern w:val="0"/>
                <w:szCs w:val="21"/>
              </w:rPr>
              <w:t>3分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5000000E">
            <w:pPr>
              <w:widowControl/>
              <w:spacing w:line="240" w:lineRule="exact"/>
              <w:jc w:val="left"/>
              <w:rPr>
                <w:szCs w:val="21"/>
              </w:rPr>
            </w:pPr>
            <w:r>
              <w:rPr>
                <w:rFonts w:ascii="仿宋_GB2312" w:hAnsi="新宋体" w:eastAsia="仿宋_GB2312" w:cs="仿宋_GB2312"/>
                <w:kern w:val="0"/>
                <w:szCs w:val="21"/>
              </w:rPr>
              <w:t>部门本年度预算调整数与预算数的比率，用以反映和评价部门预算的调整程度。</w:t>
            </w:r>
          </w:p>
          <w:p w14:paraId="46F58811">
            <w:pPr>
              <w:widowControl/>
              <w:spacing w:line="240" w:lineRule="exact"/>
              <w:jc w:val="left"/>
              <w:rPr>
                <w:szCs w:val="21"/>
              </w:rPr>
            </w:pPr>
            <w:r>
              <w:rPr>
                <w:rFonts w:ascii="仿宋_GB2312" w:hAnsi="新宋体" w:eastAsia="仿宋_GB2312" w:cs="仿宋_GB2312"/>
                <w:kern w:val="0"/>
                <w:szCs w:val="21"/>
              </w:rPr>
              <w:t>预算调整率=（预算调整数/预算数）×100%。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14:paraId="47B24E6C">
            <w:pPr>
              <w:widowControl/>
              <w:spacing w:line="240" w:lineRule="exact"/>
              <w:jc w:val="left"/>
              <w:rPr>
                <w:szCs w:val="21"/>
              </w:rPr>
            </w:pPr>
            <w:r>
              <w:rPr>
                <w:rFonts w:ascii="仿宋_GB2312" w:hAnsi="新宋体" w:eastAsia="仿宋_GB2312" w:cs="仿宋_GB2312"/>
                <w:kern w:val="0"/>
                <w:szCs w:val="21"/>
              </w:rPr>
              <w:t xml:space="preserve">1.预算调整率等于0的，得满分； </w:t>
            </w:r>
          </w:p>
          <w:p w14:paraId="524CC600">
            <w:pPr>
              <w:widowControl/>
              <w:spacing w:line="240" w:lineRule="exact"/>
              <w:jc w:val="left"/>
              <w:rPr>
                <w:szCs w:val="21"/>
              </w:rPr>
            </w:pPr>
            <w:r>
              <w:rPr>
                <w:rFonts w:ascii="仿宋_GB2312" w:hAnsi="新宋体" w:eastAsia="仿宋_GB2312" w:cs="仿宋_GB2312"/>
                <w:kern w:val="0"/>
                <w:szCs w:val="21"/>
              </w:rPr>
              <w:t>2.预算调整率大于或等于10%的，得0分；</w:t>
            </w:r>
          </w:p>
          <w:p w14:paraId="5793318A">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3.预算调整率在0-10%之间的，在0分和满分之间确定：</w:t>
            </w:r>
          </w:p>
          <w:p w14:paraId="5DF7B763">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得分=［max（预算调整率）-某部门预算调整率］/［max（预算调整率）-min（预算调整率）］×该指标分值。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07A0F99D">
            <w:pPr>
              <w:widowControl/>
              <w:spacing w:line="240" w:lineRule="exact"/>
              <w:jc w:val="left"/>
              <w:rPr>
                <w:szCs w:val="21"/>
              </w:rPr>
            </w:pPr>
            <w:r>
              <w:rPr>
                <w:rFonts w:hint="eastAsia"/>
                <w:szCs w:val="21"/>
              </w:rPr>
              <w:t>3</w:t>
            </w:r>
          </w:p>
        </w:tc>
      </w:tr>
      <w:tr w14:paraId="7DFCBA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1B4590A8">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2EBBCA45">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1186C1FA">
            <w:pPr>
              <w:widowControl/>
              <w:spacing w:line="240" w:lineRule="exact"/>
              <w:jc w:val="left"/>
              <w:rPr>
                <w:szCs w:val="21"/>
              </w:rPr>
            </w:pPr>
            <w:r>
              <w:rPr>
                <w:rFonts w:ascii="仿宋_GB2312" w:hAnsi="新宋体" w:eastAsia="仿宋_GB2312" w:cs="仿宋_GB2312"/>
                <w:color w:val="000000"/>
                <w:kern w:val="0"/>
                <w:szCs w:val="21"/>
              </w:rPr>
              <w:t>支付进度率</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4027EA13">
            <w:pPr>
              <w:widowControl/>
              <w:spacing w:line="240" w:lineRule="exact"/>
              <w:jc w:val="left"/>
              <w:rPr>
                <w:szCs w:val="21"/>
              </w:rPr>
            </w:pPr>
            <w:r>
              <w:rPr>
                <w:rFonts w:ascii="仿宋_GB2312" w:hAnsi="新宋体" w:eastAsia="仿宋_GB2312" w:cs="仿宋_GB2312"/>
                <w:kern w:val="0"/>
                <w:szCs w:val="21"/>
              </w:rPr>
              <w:t>部门</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度支付数与</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度任务数的比率，用以反映和评价部门预算执行的及时和均衡程度。</w:t>
            </w:r>
          </w:p>
          <w:p w14:paraId="45E502DF">
            <w:pPr>
              <w:widowControl/>
              <w:spacing w:line="240" w:lineRule="exact"/>
              <w:jc w:val="left"/>
              <w:rPr>
                <w:szCs w:val="21"/>
              </w:rPr>
            </w:pPr>
            <w:r>
              <w:rPr>
                <w:rFonts w:ascii="仿宋_GB2312" w:hAnsi="新宋体" w:eastAsia="仿宋_GB2312" w:cs="仿宋_GB2312"/>
                <w:kern w:val="0"/>
                <w:szCs w:val="21"/>
              </w:rPr>
              <w:t>支付进度率=（</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度任务数）×100%。</w:t>
            </w:r>
          </w:p>
        </w:tc>
        <w:tc>
          <w:tcPr>
            <w:tcW w:w="2373" w:type="dxa"/>
            <w:tcBorders>
              <w:top w:val="single" w:color="000000" w:sz="4" w:space="0"/>
              <w:left w:val="single" w:color="auto" w:sz="4" w:space="0"/>
              <w:bottom w:val="single" w:color="000000" w:sz="4" w:space="0"/>
              <w:right w:val="single" w:color="auto" w:sz="4" w:space="0"/>
            </w:tcBorders>
            <w:vAlign w:val="center"/>
          </w:tcPr>
          <w:p w14:paraId="27A96AED">
            <w:pPr>
              <w:widowControl/>
              <w:spacing w:line="240" w:lineRule="exact"/>
              <w:jc w:val="left"/>
              <w:rPr>
                <w:szCs w:val="21"/>
              </w:rPr>
            </w:pPr>
            <w:r>
              <w:rPr>
                <w:rFonts w:ascii="仿宋_GB2312" w:hAnsi="新宋体" w:eastAsia="仿宋_GB2312" w:cs="仿宋_GB2312"/>
                <w:kern w:val="0"/>
                <w:szCs w:val="21"/>
              </w:rPr>
              <w:t>按</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度的执行情况进行打分</w:t>
            </w:r>
            <w:r>
              <w:rPr>
                <w:rFonts w:hint="eastAsia" w:ascii="仿宋_GB2312" w:hAnsi="新宋体" w:eastAsia="仿宋_GB2312" w:cs="仿宋_GB2312"/>
                <w:kern w:val="0"/>
                <w:szCs w:val="21"/>
              </w:rPr>
              <w:t>。</w:t>
            </w:r>
            <w:r>
              <w:rPr>
                <w:rFonts w:ascii="仿宋_GB2312" w:hAnsi="新宋体" w:eastAsia="仿宋_GB2312" w:cs="仿宋_GB2312"/>
                <w:kern w:val="0"/>
                <w:szCs w:val="21"/>
              </w:rPr>
              <w:t>得分=</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度任务数×该指标分值。</w:t>
            </w:r>
          </w:p>
          <w:p w14:paraId="0D074B45">
            <w:pPr>
              <w:widowControl/>
              <w:pBdr>
                <w:top w:val="none" w:color="000000" w:sz="0" w:space="0"/>
                <w:left w:val="none" w:color="000000" w:sz="0" w:space="0"/>
                <w:bottom w:val="none" w:color="000000" w:sz="0" w:space="0"/>
                <w:right w:val="none" w:color="000000" w:sz="0" w:space="0"/>
              </w:pBdr>
              <w:spacing w:line="240" w:lineRule="exact"/>
              <w:jc w:val="left"/>
              <w:rPr>
                <w:szCs w:val="21"/>
              </w:rPr>
            </w:pPr>
          </w:p>
        </w:tc>
        <w:tc>
          <w:tcPr>
            <w:tcW w:w="764" w:type="dxa"/>
            <w:tcBorders>
              <w:top w:val="single" w:color="000000" w:sz="4" w:space="0"/>
              <w:left w:val="single" w:color="auto" w:sz="4" w:space="0"/>
              <w:bottom w:val="single" w:color="000000" w:sz="4" w:space="0"/>
              <w:right w:val="single" w:color="000000" w:sz="4" w:space="0"/>
            </w:tcBorders>
            <w:vAlign w:val="center"/>
          </w:tcPr>
          <w:p w14:paraId="6259FB40">
            <w:pPr>
              <w:widowControl/>
              <w:spacing w:line="240" w:lineRule="exact"/>
              <w:jc w:val="left"/>
              <w:rPr>
                <w:szCs w:val="21"/>
              </w:rPr>
            </w:pPr>
            <w:r>
              <w:rPr>
                <w:rFonts w:hint="eastAsia"/>
                <w:szCs w:val="21"/>
              </w:rPr>
              <w:t>5</w:t>
            </w:r>
          </w:p>
        </w:tc>
      </w:tr>
      <w:tr w14:paraId="11FA5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6AC5AFE5">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19D0E3A3">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7A49CBF7">
            <w:pPr>
              <w:widowControl/>
              <w:spacing w:line="240" w:lineRule="exact"/>
              <w:jc w:val="left"/>
              <w:rPr>
                <w:szCs w:val="21"/>
              </w:rPr>
            </w:pPr>
            <w:r>
              <w:rPr>
                <w:rFonts w:ascii="仿宋_GB2312" w:hAnsi="新宋体" w:eastAsia="仿宋_GB2312" w:cs="仿宋_GB2312"/>
                <w:kern w:val="0"/>
                <w:szCs w:val="21"/>
              </w:rPr>
              <w:t>结转结余率（4</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4FE40034">
            <w:pPr>
              <w:widowControl/>
              <w:spacing w:line="240" w:lineRule="exact"/>
              <w:jc w:val="left"/>
              <w:rPr>
                <w:szCs w:val="21"/>
              </w:rPr>
            </w:pPr>
            <w:r>
              <w:rPr>
                <w:rFonts w:ascii="仿宋_GB2312" w:hAnsi="新宋体" w:eastAsia="仿宋_GB2312" w:cs="仿宋_GB2312"/>
                <w:kern w:val="0"/>
                <w:szCs w:val="21"/>
              </w:rPr>
              <w:t>通过对部门本年度结转结余总额与支出预算数的比较，反映和评价部门对本年度结转结余资金的实际控制程度。</w:t>
            </w:r>
          </w:p>
          <w:p w14:paraId="4FBC35F7">
            <w:pPr>
              <w:widowControl/>
              <w:spacing w:line="240" w:lineRule="exact"/>
              <w:jc w:val="left"/>
              <w:rPr>
                <w:szCs w:val="21"/>
              </w:rPr>
            </w:pPr>
            <w:r>
              <w:rPr>
                <w:rFonts w:ascii="仿宋_GB2312" w:hAnsi="新宋体" w:eastAsia="仿宋_GB2312" w:cs="仿宋_GB2312"/>
                <w:kern w:val="0"/>
                <w:szCs w:val="21"/>
              </w:rPr>
              <w:t>结转结余率=（结转结余总额/支出预算数）×100%。</w:t>
            </w:r>
          </w:p>
        </w:tc>
        <w:tc>
          <w:tcPr>
            <w:tcW w:w="2373" w:type="dxa"/>
            <w:tcBorders>
              <w:top w:val="single" w:color="000000" w:sz="4" w:space="0"/>
              <w:left w:val="single" w:color="auto" w:sz="4" w:space="0"/>
              <w:bottom w:val="single" w:color="000000" w:sz="4" w:space="0"/>
              <w:right w:val="single" w:color="auto" w:sz="4" w:space="0"/>
            </w:tcBorders>
            <w:vAlign w:val="center"/>
          </w:tcPr>
          <w:p w14:paraId="14C0C840">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1.结转结余率等于0的，得满分；</w:t>
            </w:r>
          </w:p>
          <w:p w14:paraId="22BBA769">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2.结转结余率大于或等于50%的，得0分；</w:t>
            </w:r>
          </w:p>
          <w:p w14:paraId="03386FE8">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3.结转结余率在0-50%之间的，在0和满分之间计算确定：</w:t>
            </w:r>
          </w:p>
          <w:p w14:paraId="4DD723C3">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得分=[max（结转结余率）－某部门结转结余率]/[max（结转结余率）－min（结转结余率）]×该指标分值。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2F1443AA">
            <w:pPr>
              <w:widowControl/>
              <w:spacing w:line="240" w:lineRule="exact"/>
              <w:jc w:val="left"/>
              <w:rPr>
                <w:szCs w:val="21"/>
              </w:rPr>
            </w:pPr>
            <w:r>
              <w:rPr>
                <w:rFonts w:hint="eastAsia"/>
                <w:szCs w:val="21"/>
              </w:rPr>
              <w:t>4</w:t>
            </w:r>
          </w:p>
        </w:tc>
      </w:tr>
      <w:tr w14:paraId="2FF196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47E8F5C0">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43476339">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64578121">
            <w:pPr>
              <w:widowControl/>
              <w:spacing w:line="240" w:lineRule="exact"/>
              <w:jc w:val="left"/>
              <w:rPr>
                <w:szCs w:val="21"/>
              </w:rPr>
            </w:pPr>
            <w:r>
              <w:rPr>
                <w:rFonts w:ascii="仿宋_GB2312" w:hAnsi="新宋体" w:eastAsia="仿宋_GB2312" w:cs="仿宋_GB2312"/>
                <w:kern w:val="0"/>
                <w:szCs w:val="21"/>
              </w:rPr>
              <w:t>公用经费控制率（</w:t>
            </w:r>
            <w:r>
              <w:rPr>
                <w:rFonts w:hint="eastAsia" w:ascii="仿宋_GB2312" w:hAnsi="新宋体" w:eastAsia="仿宋_GB2312" w:cs="仿宋_GB2312"/>
                <w:kern w:val="0"/>
                <w:szCs w:val="21"/>
              </w:rPr>
              <w:t>4分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4F62E9E3">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通过对部门本年度实际支出的公用经费总额与预算安排的公用经费总额的比率，反映和评价部门对机构运转成本的实际控制程度。</w:t>
            </w:r>
          </w:p>
          <w:p w14:paraId="2ABFCF64">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公用经费控制率=（实际支出公用经费总额/预算安排公用经费总额）×100%。</w:t>
            </w:r>
          </w:p>
        </w:tc>
        <w:tc>
          <w:tcPr>
            <w:tcW w:w="2373" w:type="dxa"/>
            <w:tcBorders>
              <w:top w:val="single" w:color="000000" w:sz="4" w:space="0"/>
              <w:left w:val="single" w:color="auto" w:sz="4" w:space="0"/>
              <w:bottom w:val="single" w:color="000000" w:sz="4" w:space="0"/>
              <w:right w:val="single" w:color="auto" w:sz="4" w:space="0"/>
            </w:tcBorders>
            <w:vAlign w:val="center"/>
          </w:tcPr>
          <w:p w14:paraId="329C2689">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1.公用经费控制率小于或等于100%的，得满分；</w:t>
            </w:r>
          </w:p>
          <w:p w14:paraId="35FF33EF">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2.公用经费控制率大于或等于105%的，得0分；</w:t>
            </w:r>
          </w:p>
          <w:p w14:paraId="0D9EAB7E">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3.公用经费控制率在100%-105%之间的，在0和满分之间计算确定：</w:t>
            </w:r>
          </w:p>
          <w:p w14:paraId="0FF9781D">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得分=［max（公用经费控制率）-某部门公用经费控制率］/［max（公用经费控制率）-min（公用经费控制率）］×该指标分值。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77AF0AAC">
            <w:pPr>
              <w:widowControl/>
              <w:spacing w:line="240" w:lineRule="exact"/>
              <w:jc w:val="left"/>
              <w:rPr>
                <w:szCs w:val="21"/>
              </w:rPr>
            </w:pPr>
            <w:r>
              <w:rPr>
                <w:rFonts w:hint="eastAsia"/>
                <w:szCs w:val="21"/>
              </w:rPr>
              <w:t>4</w:t>
            </w:r>
          </w:p>
        </w:tc>
      </w:tr>
      <w:tr w14:paraId="0B3C7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59EFC9C6">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79E06E9D">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00E6E02E">
            <w:pPr>
              <w:widowControl/>
              <w:spacing w:line="240" w:lineRule="exact"/>
              <w:jc w:val="left"/>
              <w:rPr>
                <w:szCs w:val="21"/>
              </w:rPr>
            </w:pPr>
            <w:r>
              <w:rPr>
                <w:rFonts w:ascii="仿宋_GB2312" w:hAnsi="新宋体" w:eastAsia="仿宋_GB2312" w:cs="仿宋_GB2312"/>
                <w:kern w:val="0"/>
                <w:szCs w:val="21"/>
              </w:rPr>
              <w:t>政府采购执行率（</w:t>
            </w:r>
            <w:r>
              <w:rPr>
                <w:rFonts w:hint="eastAsia" w:ascii="仿宋_GB2312" w:hAnsi="新宋体" w:eastAsia="仿宋_GB2312" w:cs="仿宋_GB2312"/>
                <w:kern w:val="0"/>
                <w:szCs w:val="21"/>
              </w:rPr>
              <w:t>4分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6B811FC0">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通过对部门本年度实际政府采购预算项目个数与政府采购预算项目个数的比较，反映和评价部门政府采购预算执行情况。</w:t>
            </w:r>
          </w:p>
          <w:p w14:paraId="2EE92AEF">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政府采购执行率=（实际政府采购预算项目个数/政府采购预算项目个数）×100%。</w:t>
            </w:r>
          </w:p>
          <w:p w14:paraId="3CD394D0">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政府采购项目中非预算内安排的项目除外。</w:t>
            </w:r>
          </w:p>
        </w:tc>
        <w:tc>
          <w:tcPr>
            <w:tcW w:w="2373" w:type="dxa"/>
            <w:tcBorders>
              <w:top w:val="single" w:color="000000" w:sz="4" w:space="0"/>
              <w:left w:val="single" w:color="auto" w:sz="4" w:space="0"/>
              <w:bottom w:val="single" w:color="000000" w:sz="4" w:space="0"/>
              <w:right w:val="single" w:color="auto" w:sz="4" w:space="0"/>
            </w:tcBorders>
            <w:vAlign w:val="center"/>
          </w:tcPr>
          <w:p w14:paraId="2557ED7B">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1.政府采购执行率等于100%的，得满分；</w:t>
            </w:r>
          </w:p>
          <w:p w14:paraId="0FDCCE33">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2.政府采购执行率小于或等于90%的，0分；</w:t>
            </w:r>
          </w:p>
          <w:p w14:paraId="1DCBEF0C">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3.政府采购执行率在90%-100%之间的，在0和满分之间计算确定：</w:t>
            </w:r>
          </w:p>
          <w:p w14:paraId="5FFB5B24">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得分=［某部门政府采购执行率-min（政府采购执行率）］/［max（政府采购执行率）-min（政府采购执行率）］×该指标分值。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14:paraId="0E14AC5E">
            <w:pPr>
              <w:widowControl/>
              <w:spacing w:line="240" w:lineRule="exact"/>
              <w:jc w:val="left"/>
              <w:rPr>
                <w:szCs w:val="21"/>
              </w:rPr>
            </w:pPr>
            <w:r>
              <w:rPr>
                <w:rFonts w:hint="eastAsia"/>
                <w:szCs w:val="21"/>
              </w:rPr>
              <w:t>4</w:t>
            </w:r>
          </w:p>
        </w:tc>
      </w:tr>
      <w:tr w14:paraId="42D1F6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0CB722B9">
            <w:pPr>
              <w:spacing w:line="240" w:lineRule="exact"/>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7EA67664">
            <w:pPr>
              <w:widowControl/>
              <w:spacing w:line="240" w:lineRule="exact"/>
              <w:jc w:val="left"/>
              <w:rPr>
                <w:szCs w:val="21"/>
              </w:rPr>
            </w:pPr>
            <w:r>
              <w:rPr>
                <w:rFonts w:ascii="仿宋_GB2312" w:hAnsi="新宋体" w:eastAsia="仿宋_GB2312" w:cs="仿宋_GB2312"/>
                <w:kern w:val="0"/>
                <w:szCs w:val="21"/>
              </w:rPr>
              <w:t>预算管理</w:t>
            </w:r>
            <w:r>
              <w:rPr>
                <w:rFonts w:hint="eastAsia" w:ascii="仿宋_GB2312" w:hAnsi="新宋体" w:eastAsia="仿宋_GB2312" w:cs="仿宋_GB2312"/>
                <w:kern w:val="0"/>
                <w:szCs w:val="21"/>
              </w:rPr>
              <w:t>情况</w:t>
            </w:r>
          </w:p>
          <w:p w14:paraId="4612790F">
            <w:pPr>
              <w:widowControl/>
              <w:spacing w:line="240" w:lineRule="exact"/>
              <w:jc w:val="left"/>
              <w:rPr>
                <w:szCs w:val="21"/>
              </w:rPr>
            </w:pPr>
            <w:r>
              <w:rPr>
                <w:rFonts w:ascii="仿宋_GB2312" w:hAnsi="新宋体" w:eastAsia="仿宋_GB2312" w:cs="仿宋_GB2312"/>
                <w:kern w:val="0"/>
                <w:szCs w:val="21"/>
              </w:rPr>
              <w:t>（15）</w:t>
            </w:r>
          </w:p>
        </w:tc>
        <w:tc>
          <w:tcPr>
            <w:tcW w:w="1275" w:type="dxa"/>
            <w:tcBorders>
              <w:top w:val="single" w:color="000000" w:sz="4" w:space="0"/>
              <w:left w:val="single" w:color="000000" w:sz="4" w:space="0"/>
              <w:bottom w:val="single" w:color="000000" w:sz="4" w:space="0"/>
              <w:right w:val="single" w:color="auto" w:sz="4" w:space="0"/>
            </w:tcBorders>
            <w:vAlign w:val="center"/>
          </w:tcPr>
          <w:p w14:paraId="61F62850">
            <w:pPr>
              <w:widowControl/>
              <w:spacing w:line="240" w:lineRule="exact"/>
              <w:jc w:val="left"/>
              <w:rPr>
                <w:szCs w:val="21"/>
              </w:rPr>
            </w:pPr>
            <w:r>
              <w:rPr>
                <w:rFonts w:ascii="仿宋_GB2312" w:hAnsi="新宋体" w:eastAsia="仿宋_GB2312" w:cs="仿宋_GB2312"/>
                <w:kern w:val="0"/>
                <w:szCs w:val="21"/>
              </w:rPr>
              <w:t>资金使用合规性（8</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42416C74">
            <w:pPr>
              <w:widowControl/>
              <w:spacing w:line="240" w:lineRule="exact"/>
              <w:jc w:val="left"/>
              <w:rPr>
                <w:szCs w:val="21"/>
              </w:rPr>
            </w:pPr>
            <w:r>
              <w:rPr>
                <w:rFonts w:ascii="仿宋_GB2312" w:hAnsi="新宋体" w:eastAsia="仿宋_GB2312" w:cs="仿宋_GB2312"/>
                <w:kern w:val="0"/>
                <w:szCs w:val="21"/>
              </w:rPr>
              <w:t>部门使用预算资金是否符合相关的预算财务管理制度的规定，反映和评价部门预算资金的规范运行情况。</w:t>
            </w:r>
          </w:p>
          <w:p w14:paraId="6D9355C3">
            <w:pPr>
              <w:widowControl/>
              <w:spacing w:line="240" w:lineRule="exact"/>
              <w:jc w:val="left"/>
              <w:rPr>
                <w:szCs w:val="21"/>
              </w:rPr>
            </w:pPr>
            <w:r>
              <w:rPr>
                <w:rFonts w:ascii="仿宋_GB2312" w:hAnsi="新宋体" w:eastAsia="仿宋_GB2312" w:cs="仿宋_GB2312"/>
                <w:kern w:val="0"/>
                <w:szCs w:val="21"/>
              </w:rPr>
              <w:t>评价要点：</w:t>
            </w:r>
          </w:p>
          <w:p w14:paraId="7B6F2246">
            <w:pPr>
              <w:widowControl/>
              <w:spacing w:line="240" w:lineRule="exact"/>
              <w:jc w:val="left"/>
              <w:rPr>
                <w:szCs w:val="21"/>
              </w:rPr>
            </w:pPr>
            <w:r>
              <w:rPr>
                <w:rFonts w:ascii="仿宋_GB2312" w:hAnsi="新宋体" w:eastAsia="仿宋_GB2312" w:cs="仿宋_GB2312"/>
                <w:kern w:val="0"/>
                <w:szCs w:val="21"/>
              </w:rPr>
              <w:t>1.符合国家财经法规和财务管理制度规定以及有关部门资金管理办法的规定；</w:t>
            </w:r>
          </w:p>
          <w:p w14:paraId="43BD66EA">
            <w:pPr>
              <w:widowControl/>
              <w:spacing w:line="240" w:lineRule="exact"/>
              <w:jc w:val="left"/>
              <w:rPr>
                <w:szCs w:val="21"/>
              </w:rPr>
            </w:pPr>
            <w:r>
              <w:rPr>
                <w:rFonts w:ascii="仿宋_GB2312" w:hAnsi="新宋体" w:eastAsia="仿宋_GB2312" w:cs="仿宋_GB2312"/>
                <w:kern w:val="0"/>
                <w:szCs w:val="21"/>
              </w:rPr>
              <w:t>2.资金的拨付有完整的审批过程和手续；</w:t>
            </w:r>
          </w:p>
          <w:p w14:paraId="01F14B50">
            <w:pPr>
              <w:widowControl/>
              <w:spacing w:line="240" w:lineRule="exact"/>
              <w:jc w:val="left"/>
              <w:rPr>
                <w:szCs w:val="21"/>
              </w:rPr>
            </w:pPr>
            <w:r>
              <w:rPr>
                <w:rFonts w:ascii="仿宋_GB2312" w:hAnsi="新宋体" w:eastAsia="仿宋_GB2312" w:cs="仿宋_GB2312"/>
                <w:kern w:val="0"/>
                <w:szCs w:val="21"/>
              </w:rPr>
              <w:t>3.项目的重大开支经过评估论证；</w:t>
            </w:r>
          </w:p>
          <w:p w14:paraId="3967AD83">
            <w:pPr>
              <w:widowControl/>
              <w:spacing w:line="240" w:lineRule="exact"/>
              <w:jc w:val="left"/>
              <w:rPr>
                <w:szCs w:val="21"/>
              </w:rPr>
            </w:pPr>
            <w:r>
              <w:rPr>
                <w:rFonts w:ascii="仿宋_GB2312" w:hAnsi="新宋体" w:eastAsia="仿宋_GB2312" w:cs="仿宋_GB2312"/>
                <w:kern w:val="0"/>
                <w:szCs w:val="21"/>
              </w:rPr>
              <w:t>4.符合部门预算批复的用途；</w:t>
            </w:r>
          </w:p>
          <w:p w14:paraId="4F1500F7">
            <w:pPr>
              <w:widowControl/>
              <w:spacing w:line="240" w:lineRule="exact"/>
              <w:jc w:val="left"/>
              <w:rPr>
                <w:szCs w:val="21"/>
              </w:rPr>
            </w:pPr>
            <w:r>
              <w:rPr>
                <w:rFonts w:ascii="仿宋_GB2312" w:hAnsi="新宋体" w:eastAsia="仿宋_GB2312" w:cs="仿宋_GB2312"/>
                <w:kern w:val="0"/>
                <w:szCs w:val="21"/>
              </w:rPr>
              <w:t>5.不存在截留情况；</w:t>
            </w:r>
          </w:p>
          <w:p w14:paraId="5BBC9C1D">
            <w:pPr>
              <w:widowControl/>
              <w:spacing w:line="240" w:lineRule="exact"/>
              <w:jc w:val="left"/>
              <w:rPr>
                <w:szCs w:val="21"/>
              </w:rPr>
            </w:pPr>
            <w:r>
              <w:rPr>
                <w:rFonts w:ascii="仿宋_GB2312" w:hAnsi="新宋体" w:eastAsia="仿宋_GB2312" w:cs="仿宋_GB2312"/>
                <w:kern w:val="0"/>
                <w:szCs w:val="21"/>
              </w:rPr>
              <w:t>6.不存在挤占情况；</w:t>
            </w:r>
          </w:p>
          <w:p w14:paraId="439522B2">
            <w:pPr>
              <w:widowControl/>
              <w:spacing w:line="240" w:lineRule="exact"/>
              <w:jc w:val="left"/>
              <w:rPr>
                <w:szCs w:val="21"/>
              </w:rPr>
            </w:pPr>
            <w:r>
              <w:rPr>
                <w:rFonts w:ascii="仿宋_GB2312" w:hAnsi="新宋体" w:eastAsia="仿宋_GB2312" w:cs="仿宋_GB2312"/>
                <w:kern w:val="0"/>
                <w:szCs w:val="21"/>
              </w:rPr>
              <w:t>7.不存在挪用情况；</w:t>
            </w:r>
          </w:p>
          <w:p w14:paraId="3C97E8F8">
            <w:pPr>
              <w:widowControl/>
              <w:spacing w:line="240" w:lineRule="exact"/>
              <w:jc w:val="left"/>
              <w:rPr>
                <w:szCs w:val="21"/>
              </w:rPr>
            </w:pPr>
            <w:r>
              <w:rPr>
                <w:rFonts w:ascii="仿宋_GB2312" w:hAnsi="新宋体" w:eastAsia="仿宋_GB2312" w:cs="仿宋_GB2312"/>
                <w:kern w:val="0"/>
                <w:szCs w:val="21"/>
              </w:rPr>
              <w:t>8.不存在虚列支出情况。</w:t>
            </w:r>
          </w:p>
        </w:tc>
        <w:tc>
          <w:tcPr>
            <w:tcW w:w="2373" w:type="dxa"/>
            <w:tcBorders>
              <w:top w:val="single" w:color="000000" w:sz="4" w:space="0"/>
              <w:left w:val="single" w:color="auto" w:sz="4" w:space="0"/>
              <w:bottom w:val="single" w:color="000000" w:sz="4" w:space="0"/>
              <w:right w:val="single" w:color="auto" w:sz="4" w:space="0"/>
            </w:tcBorders>
            <w:vAlign w:val="center"/>
          </w:tcPr>
          <w:p w14:paraId="730C1C49">
            <w:pPr>
              <w:widowControl/>
              <w:spacing w:line="240" w:lineRule="exact"/>
              <w:jc w:val="left"/>
              <w:rPr>
                <w:szCs w:val="21"/>
              </w:rPr>
            </w:pPr>
            <w:r>
              <w:rPr>
                <w:rFonts w:ascii="仿宋_GB2312" w:hAnsi="新宋体" w:eastAsia="仿宋_GB2312" w:cs="仿宋_GB2312"/>
                <w:kern w:val="0"/>
                <w:szCs w:val="21"/>
              </w:rPr>
              <w:t>全部符合（8）；</w:t>
            </w:r>
          </w:p>
          <w:p w14:paraId="47F67AAB">
            <w:pPr>
              <w:widowControl/>
              <w:spacing w:line="240" w:lineRule="exact"/>
              <w:jc w:val="left"/>
              <w:rPr>
                <w:szCs w:val="21"/>
              </w:rPr>
            </w:pPr>
            <w:r>
              <w:rPr>
                <w:rFonts w:ascii="仿宋_GB2312" w:hAnsi="新宋体" w:eastAsia="仿宋_GB2312" w:cs="仿宋_GB2312"/>
                <w:kern w:val="0"/>
                <w:szCs w:val="21"/>
              </w:rPr>
              <w:t>符合其中七项（6）；</w:t>
            </w:r>
          </w:p>
          <w:p w14:paraId="3BD74A64">
            <w:pPr>
              <w:widowControl/>
              <w:spacing w:line="240" w:lineRule="exact"/>
              <w:jc w:val="left"/>
              <w:rPr>
                <w:szCs w:val="21"/>
              </w:rPr>
            </w:pPr>
            <w:r>
              <w:rPr>
                <w:rFonts w:ascii="仿宋_GB2312" w:hAnsi="新宋体" w:eastAsia="仿宋_GB2312" w:cs="仿宋_GB2312"/>
                <w:kern w:val="0"/>
                <w:szCs w:val="21"/>
              </w:rPr>
              <w:t>符合其中六项（4）；</w:t>
            </w:r>
          </w:p>
          <w:p w14:paraId="371E4D2D">
            <w:pPr>
              <w:widowControl/>
              <w:spacing w:line="240" w:lineRule="exact"/>
              <w:jc w:val="left"/>
              <w:rPr>
                <w:szCs w:val="21"/>
              </w:rPr>
            </w:pPr>
            <w:r>
              <w:rPr>
                <w:rFonts w:ascii="仿宋_GB2312" w:hAnsi="新宋体" w:eastAsia="仿宋_GB2312" w:cs="仿宋_GB2312"/>
                <w:kern w:val="0"/>
                <w:szCs w:val="21"/>
              </w:rPr>
              <w:t>符合其中五项（2）；</w:t>
            </w:r>
          </w:p>
          <w:p w14:paraId="092D940E">
            <w:pPr>
              <w:widowControl/>
              <w:spacing w:line="240" w:lineRule="exact"/>
              <w:jc w:val="left"/>
              <w:rPr>
                <w:szCs w:val="21"/>
              </w:rPr>
            </w:pPr>
            <w:r>
              <w:rPr>
                <w:rFonts w:ascii="仿宋_GB2312" w:hAnsi="新宋体" w:eastAsia="仿宋_GB2312" w:cs="仿宋_GB2312"/>
                <w:kern w:val="0"/>
                <w:szCs w:val="21"/>
              </w:rPr>
              <w:t>符合其中四项及以下（0）。</w:t>
            </w:r>
          </w:p>
        </w:tc>
        <w:tc>
          <w:tcPr>
            <w:tcW w:w="764" w:type="dxa"/>
            <w:tcBorders>
              <w:top w:val="single" w:color="000000" w:sz="4" w:space="0"/>
              <w:left w:val="single" w:color="auto" w:sz="4" w:space="0"/>
              <w:bottom w:val="single" w:color="000000" w:sz="4" w:space="0"/>
              <w:right w:val="single" w:color="000000" w:sz="4" w:space="0"/>
            </w:tcBorders>
            <w:vAlign w:val="center"/>
          </w:tcPr>
          <w:p w14:paraId="0C7ABFC1">
            <w:pPr>
              <w:widowControl/>
              <w:spacing w:line="240" w:lineRule="exact"/>
              <w:jc w:val="left"/>
              <w:rPr>
                <w:szCs w:val="21"/>
              </w:rPr>
            </w:pPr>
            <w:r>
              <w:rPr>
                <w:rFonts w:hint="eastAsia"/>
                <w:szCs w:val="21"/>
              </w:rPr>
              <w:t>8</w:t>
            </w:r>
          </w:p>
        </w:tc>
      </w:tr>
      <w:tr w14:paraId="0417D2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5F40ECB1">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74FFD503">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072CFE80">
            <w:pPr>
              <w:widowControl/>
              <w:spacing w:line="240" w:lineRule="exact"/>
              <w:jc w:val="left"/>
              <w:rPr>
                <w:szCs w:val="21"/>
              </w:rPr>
            </w:pPr>
            <w:r>
              <w:rPr>
                <w:rFonts w:ascii="仿宋_GB2312" w:hAnsi="新宋体" w:eastAsia="仿宋_GB2312" w:cs="仿宋_GB2312"/>
                <w:kern w:val="0"/>
                <w:szCs w:val="21"/>
              </w:rPr>
              <w:t>预决算信息公开性（3</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1AD78871">
            <w:pPr>
              <w:widowControl/>
              <w:spacing w:line="240" w:lineRule="exact"/>
              <w:jc w:val="left"/>
              <w:rPr>
                <w:szCs w:val="21"/>
              </w:rPr>
            </w:pPr>
            <w:r>
              <w:rPr>
                <w:rFonts w:ascii="仿宋_GB2312" w:hAnsi="新宋体" w:eastAsia="仿宋_GB2312" w:cs="仿宋_GB2312"/>
                <w:kern w:val="0"/>
                <w:szCs w:val="21"/>
              </w:rPr>
              <w:t>部门是否按照政府信息公开有关规定公开相关预决算信息，用以反映和评价部门预决算管理的公开透明情况。</w:t>
            </w:r>
          </w:p>
          <w:p w14:paraId="1E302190">
            <w:pPr>
              <w:widowControl/>
              <w:spacing w:line="240" w:lineRule="exact"/>
              <w:jc w:val="left"/>
              <w:rPr>
                <w:szCs w:val="21"/>
              </w:rPr>
            </w:pPr>
            <w:r>
              <w:rPr>
                <w:rFonts w:ascii="仿宋_GB2312" w:hAnsi="新宋体" w:eastAsia="仿宋_GB2312" w:cs="仿宋_GB2312"/>
                <w:kern w:val="0"/>
                <w:szCs w:val="21"/>
              </w:rPr>
              <w:t>预决算信息是指与部门预算、执行、决算、监督、绩效等管理相关的信息。</w:t>
            </w:r>
          </w:p>
          <w:p w14:paraId="51683CA2">
            <w:pPr>
              <w:widowControl/>
              <w:spacing w:line="240" w:lineRule="exact"/>
              <w:jc w:val="left"/>
              <w:rPr>
                <w:szCs w:val="21"/>
              </w:rPr>
            </w:pPr>
            <w:r>
              <w:rPr>
                <w:rFonts w:ascii="仿宋_GB2312" w:hAnsi="新宋体" w:eastAsia="仿宋_GB2312" w:cs="仿宋_GB2312"/>
                <w:kern w:val="0"/>
                <w:szCs w:val="21"/>
              </w:rPr>
              <w:t>评价要点：</w:t>
            </w:r>
          </w:p>
          <w:p w14:paraId="25F86CDF">
            <w:pPr>
              <w:widowControl/>
              <w:spacing w:line="240" w:lineRule="exact"/>
              <w:jc w:val="left"/>
              <w:rPr>
                <w:szCs w:val="21"/>
              </w:rPr>
            </w:pPr>
            <w:r>
              <w:rPr>
                <w:rFonts w:ascii="仿宋_GB2312" w:hAnsi="新宋体" w:eastAsia="仿宋_GB2312" w:cs="仿宋_GB2312"/>
                <w:kern w:val="0"/>
                <w:szCs w:val="21"/>
              </w:rPr>
              <w:t>1.公开预决算信息；</w:t>
            </w:r>
          </w:p>
          <w:p w14:paraId="19AC7DE8">
            <w:pPr>
              <w:widowControl/>
              <w:spacing w:line="240" w:lineRule="exact"/>
              <w:jc w:val="left"/>
              <w:rPr>
                <w:szCs w:val="21"/>
              </w:rPr>
            </w:pPr>
            <w:r>
              <w:rPr>
                <w:rFonts w:ascii="仿宋_GB2312" w:hAnsi="新宋体" w:eastAsia="仿宋_GB2312" w:cs="仿宋_GB2312"/>
                <w:kern w:val="0"/>
                <w:szCs w:val="21"/>
              </w:rPr>
              <w:t>2.按规定内容公开预决算信息；</w:t>
            </w:r>
          </w:p>
          <w:p w14:paraId="3C6C58BC">
            <w:pPr>
              <w:widowControl/>
              <w:spacing w:line="240" w:lineRule="exact"/>
              <w:jc w:val="left"/>
              <w:rPr>
                <w:szCs w:val="21"/>
              </w:rPr>
            </w:pPr>
            <w:r>
              <w:rPr>
                <w:rFonts w:ascii="仿宋_GB2312" w:hAnsi="新宋体" w:eastAsia="仿宋_GB2312" w:cs="仿宋_GB2312"/>
                <w:kern w:val="0"/>
                <w:szCs w:val="21"/>
              </w:rPr>
              <w:t>3.按规定时限公开预决算信息。</w:t>
            </w:r>
          </w:p>
        </w:tc>
        <w:tc>
          <w:tcPr>
            <w:tcW w:w="2373" w:type="dxa"/>
            <w:tcBorders>
              <w:top w:val="single" w:color="000000" w:sz="4" w:space="0"/>
              <w:left w:val="single" w:color="auto" w:sz="4" w:space="0"/>
              <w:bottom w:val="single" w:color="000000" w:sz="4" w:space="0"/>
              <w:right w:val="single" w:color="auto" w:sz="4" w:space="0"/>
            </w:tcBorders>
            <w:vAlign w:val="center"/>
          </w:tcPr>
          <w:p w14:paraId="7AF1B121">
            <w:pPr>
              <w:widowControl/>
              <w:spacing w:line="240" w:lineRule="exact"/>
              <w:jc w:val="left"/>
              <w:rPr>
                <w:szCs w:val="21"/>
              </w:rPr>
            </w:pPr>
            <w:r>
              <w:rPr>
                <w:rFonts w:ascii="仿宋_GB2312" w:hAnsi="新宋体" w:eastAsia="仿宋_GB2312" w:cs="仿宋_GB2312"/>
                <w:kern w:val="0"/>
                <w:szCs w:val="21"/>
              </w:rPr>
              <w:t>全部符合（3）；</w:t>
            </w:r>
          </w:p>
          <w:p w14:paraId="439A4962">
            <w:pPr>
              <w:widowControl/>
              <w:spacing w:line="240" w:lineRule="exact"/>
              <w:jc w:val="left"/>
              <w:rPr>
                <w:szCs w:val="21"/>
              </w:rPr>
            </w:pPr>
            <w:r>
              <w:rPr>
                <w:rFonts w:ascii="仿宋_GB2312" w:hAnsi="新宋体" w:eastAsia="仿宋_GB2312" w:cs="仿宋_GB2312"/>
                <w:kern w:val="0"/>
                <w:szCs w:val="21"/>
              </w:rPr>
              <w:t>符合其中两项（2）</w:t>
            </w:r>
          </w:p>
          <w:p w14:paraId="34916093">
            <w:pPr>
              <w:widowControl/>
              <w:spacing w:line="240" w:lineRule="exact"/>
              <w:jc w:val="left"/>
              <w:rPr>
                <w:szCs w:val="21"/>
              </w:rPr>
            </w:pPr>
            <w:r>
              <w:rPr>
                <w:rFonts w:ascii="仿宋_GB2312" w:hAnsi="新宋体" w:eastAsia="仿宋_GB2312" w:cs="仿宋_GB2312"/>
                <w:kern w:val="0"/>
                <w:szCs w:val="21"/>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14:paraId="137198E8">
            <w:pPr>
              <w:widowControl/>
              <w:spacing w:line="240" w:lineRule="exact"/>
              <w:jc w:val="left"/>
              <w:rPr>
                <w:szCs w:val="21"/>
              </w:rPr>
            </w:pPr>
            <w:r>
              <w:rPr>
                <w:rFonts w:hint="eastAsia"/>
                <w:szCs w:val="21"/>
              </w:rPr>
              <w:t>3</w:t>
            </w:r>
          </w:p>
        </w:tc>
      </w:tr>
      <w:tr w14:paraId="62706A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4D38C411">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4B6259B0">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401ADF2A">
            <w:pPr>
              <w:widowControl/>
              <w:spacing w:line="240" w:lineRule="exact"/>
              <w:jc w:val="left"/>
              <w:rPr>
                <w:szCs w:val="21"/>
              </w:rPr>
            </w:pPr>
            <w:r>
              <w:rPr>
                <w:rFonts w:ascii="仿宋_GB2312" w:hAnsi="新宋体" w:eastAsia="仿宋_GB2312" w:cs="仿宋_GB2312"/>
                <w:color w:val="000000"/>
                <w:kern w:val="0"/>
                <w:szCs w:val="21"/>
              </w:rPr>
              <w:t>基础信息完善性</w:t>
            </w:r>
            <w:r>
              <w:rPr>
                <w:rFonts w:ascii="仿宋_GB2312" w:hAnsi="新宋体" w:eastAsia="仿宋_GB2312" w:cs="仿宋_GB2312"/>
                <w:kern w:val="0"/>
                <w:szCs w:val="21"/>
              </w:rPr>
              <w:t>（4</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38B43F9F">
            <w:pPr>
              <w:widowControl/>
              <w:spacing w:line="240" w:lineRule="exact"/>
              <w:jc w:val="left"/>
              <w:rPr>
                <w:szCs w:val="21"/>
              </w:rPr>
            </w:pPr>
            <w:r>
              <w:rPr>
                <w:rFonts w:ascii="仿宋_GB2312" w:hAnsi="新宋体" w:eastAsia="仿宋_GB2312" w:cs="仿宋_GB2312"/>
                <w:kern w:val="0"/>
                <w:szCs w:val="21"/>
              </w:rPr>
              <w:t>部门基础信息是否完善，用以反映和评价基础信息对预算管理工作的支撑情况。</w:t>
            </w:r>
          </w:p>
          <w:p w14:paraId="7A72E7F9">
            <w:pPr>
              <w:widowControl/>
              <w:spacing w:line="240" w:lineRule="exact"/>
              <w:jc w:val="left"/>
              <w:rPr>
                <w:szCs w:val="21"/>
              </w:rPr>
            </w:pPr>
            <w:r>
              <w:rPr>
                <w:rFonts w:ascii="仿宋_GB2312" w:hAnsi="新宋体" w:eastAsia="仿宋_GB2312" w:cs="仿宋_GB2312"/>
                <w:kern w:val="0"/>
                <w:szCs w:val="21"/>
              </w:rPr>
              <w:t>评价要点：</w:t>
            </w:r>
          </w:p>
          <w:p w14:paraId="38500EA0">
            <w:pPr>
              <w:widowControl/>
              <w:spacing w:line="240" w:lineRule="exact"/>
              <w:jc w:val="left"/>
              <w:rPr>
                <w:szCs w:val="21"/>
              </w:rPr>
            </w:pPr>
            <w:r>
              <w:rPr>
                <w:rFonts w:ascii="仿宋_GB2312" w:hAnsi="新宋体" w:eastAsia="仿宋_GB2312" w:cs="仿宋_GB2312"/>
                <w:kern w:val="0"/>
                <w:szCs w:val="21"/>
              </w:rPr>
              <w:t>1.基本财务管理制度健全；</w:t>
            </w:r>
          </w:p>
          <w:p w14:paraId="7D2ADF6E">
            <w:pPr>
              <w:widowControl/>
              <w:spacing w:line="240" w:lineRule="exact"/>
              <w:jc w:val="left"/>
              <w:rPr>
                <w:szCs w:val="21"/>
              </w:rPr>
            </w:pPr>
            <w:r>
              <w:rPr>
                <w:rFonts w:ascii="仿宋_GB2312" w:hAnsi="新宋体" w:eastAsia="仿宋_GB2312" w:cs="仿宋_GB2312"/>
                <w:kern w:val="0"/>
                <w:szCs w:val="21"/>
              </w:rPr>
              <w:t>2.基础数据信息和会计信息资料真实；</w:t>
            </w:r>
          </w:p>
          <w:p w14:paraId="1CCA35E0">
            <w:pPr>
              <w:widowControl/>
              <w:spacing w:line="240" w:lineRule="exact"/>
              <w:jc w:val="left"/>
              <w:rPr>
                <w:szCs w:val="21"/>
              </w:rPr>
            </w:pPr>
            <w:r>
              <w:rPr>
                <w:rFonts w:ascii="仿宋_GB2312" w:hAnsi="新宋体" w:eastAsia="仿宋_GB2312" w:cs="仿宋_GB2312"/>
                <w:kern w:val="0"/>
                <w:szCs w:val="21"/>
              </w:rPr>
              <w:t>3.基础数据信息和会计信息资料完整；</w:t>
            </w:r>
          </w:p>
          <w:p w14:paraId="2E376CE2">
            <w:pPr>
              <w:widowControl/>
              <w:spacing w:line="240" w:lineRule="exact"/>
              <w:jc w:val="left"/>
              <w:rPr>
                <w:szCs w:val="21"/>
              </w:rPr>
            </w:pPr>
            <w:r>
              <w:rPr>
                <w:rFonts w:ascii="仿宋_GB2312" w:hAnsi="新宋体" w:eastAsia="仿宋_GB2312" w:cs="仿宋_GB2312"/>
                <w:kern w:val="0"/>
                <w:szCs w:val="21"/>
              </w:rPr>
              <w:t>4.基础数据信息和会计信息资料准确。</w:t>
            </w:r>
          </w:p>
        </w:tc>
        <w:tc>
          <w:tcPr>
            <w:tcW w:w="2373" w:type="dxa"/>
            <w:tcBorders>
              <w:top w:val="single" w:color="000000" w:sz="4" w:space="0"/>
              <w:left w:val="single" w:color="auto" w:sz="4" w:space="0"/>
              <w:bottom w:val="single" w:color="000000" w:sz="4" w:space="0"/>
              <w:right w:val="single" w:color="auto" w:sz="4" w:space="0"/>
            </w:tcBorders>
            <w:vAlign w:val="center"/>
          </w:tcPr>
          <w:p w14:paraId="51D8631E">
            <w:pPr>
              <w:widowControl/>
              <w:spacing w:line="240" w:lineRule="exact"/>
              <w:jc w:val="left"/>
              <w:rPr>
                <w:szCs w:val="21"/>
              </w:rPr>
            </w:pPr>
            <w:r>
              <w:rPr>
                <w:rFonts w:ascii="仿宋_GB2312" w:hAnsi="新宋体" w:eastAsia="仿宋_GB2312" w:cs="仿宋_GB2312"/>
                <w:kern w:val="0"/>
                <w:szCs w:val="21"/>
              </w:rPr>
              <w:t>符合全部四项（4）；</w:t>
            </w:r>
          </w:p>
          <w:p w14:paraId="108CE6B9">
            <w:pPr>
              <w:widowControl/>
              <w:spacing w:line="240" w:lineRule="exact"/>
              <w:jc w:val="left"/>
              <w:rPr>
                <w:szCs w:val="21"/>
              </w:rPr>
            </w:pPr>
            <w:r>
              <w:rPr>
                <w:rFonts w:ascii="仿宋_GB2312" w:hAnsi="新宋体" w:eastAsia="仿宋_GB2312" w:cs="仿宋_GB2312"/>
                <w:kern w:val="0"/>
                <w:szCs w:val="21"/>
              </w:rPr>
              <w:t>符合其中三项（2）；</w:t>
            </w:r>
          </w:p>
          <w:p w14:paraId="01D04020">
            <w:pPr>
              <w:widowControl/>
              <w:spacing w:line="240" w:lineRule="exact"/>
              <w:jc w:val="left"/>
              <w:rPr>
                <w:szCs w:val="21"/>
              </w:rPr>
            </w:pPr>
            <w:r>
              <w:rPr>
                <w:rFonts w:ascii="仿宋_GB2312" w:hAnsi="新宋体" w:eastAsia="仿宋_GB2312" w:cs="仿宋_GB2312"/>
                <w:kern w:val="0"/>
                <w:szCs w:val="21"/>
              </w:rPr>
              <w:t>符合其中两项（1）；</w:t>
            </w:r>
          </w:p>
          <w:p w14:paraId="6F50FD84">
            <w:pPr>
              <w:widowControl/>
              <w:spacing w:line="240" w:lineRule="exact"/>
              <w:jc w:val="left"/>
              <w:rPr>
                <w:szCs w:val="21"/>
              </w:rPr>
            </w:pPr>
            <w:r>
              <w:rPr>
                <w:rFonts w:ascii="仿宋_GB2312" w:hAnsi="新宋体" w:eastAsia="仿宋_GB2312" w:cs="仿宋_GB2312"/>
                <w:kern w:val="0"/>
                <w:szCs w:val="21"/>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14:paraId="76809538">
            <w:pPr>
              <w:widowControl/>
              <w:spacing w:line="240" w:lineRule="exact"/>
              <w:jc w:val="left"/>
              <w:rPr>
                <w:szCs w:val="21"/>
              </w:rPr>
            </w:pPr>
            <w:r>
              <w:rPr>
                <w:rFonts w:hint="eastAsia"/>
                <w:szCs w:val="21"/>
              </w:rPr>
              <w:t>4</w:t>
            </w:r>
          </w:p>
        </w:tc>
      </w:tr>
      <w:tr w14:paraId="70D24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5BA9BB3D">
            <w:pPr>
              <w:spacing w:line="240" w:lineRule="exact"/>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41D4C1A0">
            <w:pPr>
              <w:widowControl/>
              <w:spacing w:line="240" w:lineRule="exact"/>
              <w:jc w:val="left"/>
              <w:rPr>
                <w:szCs w:val="21"/>
              </w:rPr>
            </w:pPr>
            <w:r>
              <w:rPr>
                <w:rFonts w:ascii="仿宋_GB2312" w:hAnsi="新宋体" w:eastAsia="仿宋_GB2312" w:cs="仿宋_GB2312"/>
                <w:kern w:val="0"/>
                <w:szCs w:val="21"/>
              </w:rPr>
              <w:t>资产管理</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1275" w:type="dxa"/>
            <w:tcBorders>
              <w:top w:val="single" w:color="auto" w:sz="4" w:space="0"/>
              <w:left w:val="single" w:color="000000" w:sz="4" w:space="0"/>
              <w:bottom w:val="single" w:color="000000" w:sz="4" w:space="0"/>
              <w:right w:val="single" w:color="auto" w:sz="4" w:space="0"/>
            </w:tcBorders>
            <w:vAlign w:val="center"/>
          </w:tcPr>
          <w:p w14:paraId="48C96A94">
            <w:pPr>
              <w:widowControl/>
              <w:spacing w:line="240" w:lineRule="exact"/>
              <w:jc w:val="left"/>
              <w:rPr>
                <w:szCs w:val="21"/>
              </w:rPr>
            </w:pPr>
            <w:r>
              <w:rPr>
                <w:rFonts w:ascii="仿宋_GB2312" w:hAnsi="新宋体" w:eastAsia="仿宋_GB2312" w:cs="仿宋_GB2312"/>
                <w:kern w:val="0"/>
                <w:szCs w:val="21"/>
              </w:rPr>
              <w:t>资产管理完整性（</w:t>
            </w:r>
            <w:r>
              <w:rPr>
                <w:rFonts w:hint="eastAsia" w:ascii="仿宋_GB2312" w:hAnsi="新宋体" w:eastAsia="仿宋_GB2312" w:cs="仿宋_GB2312"/>
                <w:kern w:val="0"/>
                <w:szCs w:val="21"/>
              </w:rPr>
              <w:t>2分</w:t>
            </w:r>
            <w:r>
              <w:rPr>
                <w:rFonts w:ascii="仿宋_GB2312" w:hAnsi="新宋体" w:eastAsia="仿宋_GB2312" w:cs="仿宋_GB2312"/>
                <w:kern w:val="0"/>
                <w:szCs w:val="21"/>
              </w:rPr>
              <w:t>）</w:t>
            </w:r>
          </w:p>
        </w:tc>
        <w:tc>
          <w:tcPr>
            <w:tcW w:w="3436" w:type="dxa"/>
            <w:tcBorders>
              <w:top w:val="single" w:color="auto" w:sz="4" w:space="0"/>
              <w:left w:val="single" w:color="auto" w:sz="4" w:space="0"/>
              <w:bottom w:val="single" w:color="000000" w:sz="4" w:space="0"/>
              <w:right w:val="single" w:color="auto" w:sz="4" w:space="0"/>
            </w:tcBorders>
            <w:vAlign w:val="center"/>
          </w:tcPr>
          <w:p w14:paraId="5B719F80">
            <w:pPr>
              <w:widowControl/>
              <w:spacing w:line="240" w:lineRule="exact"/>
              <w:jc w:val="left"/>
              <w:rPr>
                <w:szCs w:val="21"/>
              </w:rPr>
            </w:pPr>
            <w:r>
              <w:rPr>
                <w:rFonts w:ascii="仿宋_GB2312" w:hAnsi="新宋体" w:eastAsia="仿宋_GB2312" w:cs="仿宋_GB2312"/>
                <w:kern w:val="0"/>
                <w:szCs w:val="21"/>
              </w:rPr>
              <w:t>部门的资产是否保存完整、使用合规、收入及时足额上缴，用以反映和评价部门资产运行情况。</w:t>
            </w:r>
          </w:p>
          <w:p w14:paraId="53353DB4">
            <w:pPr>
              <w:widowControl/>
              <w:spacing w:line="240" w:lineRule="exact"/>
              <w:jc w:val="left"/>
              <w:rPr>
                <w:szCs w:val="21"/>
              </w:rPr>
            </w:pPr>
            <w:r>
              <w:rPr>
                <w:rFonts w:ascii="仿宋_GB2312" w:hAnsi="新宋体" w:eastAsia="仿宋_GB2312" w:cs="仿宋_GB2312"/>
                <w:kern w:val="0"/>
                <w:szCs w:val="21"/>
              </w:rPr>
              <w:t>评价要点：</w:t>
            </w:r>
          </w:p>
          <w:p w14:paraId="5D3DE5FE">
            <w:pPr>
              <w:widowControl/>
              <w:spacing w:line="240" w:lineRule="exact"/>
              <w:jc w:val="left"/>
              <w:rPr>
                <w:szCs w:val="21"/>
              </w:rPr>
            </w:pPr>
            <w:r>
              <w:rPr>
                <w:rFonts w:ascii="仿宋_GB2312" w:hAnsi="新宋体" w:eastAsia="仿宋_GB2312" w:cs="仿宋_GB2312"/>
                <w:kern w:val="0"/>
                <w:szCs w:val="21"/>
              </w:rPr>
              <w:t>1.资产保存完整；</w:t>
            </w:r>
          </w:p>
          <w:p w14:paraId="4D56302E">
            <w:pPr>
              <w:widowControl/>
              <w:spacing w:line="240" w:lineRule="exact"/>
              <w:jc w:val="left"/>
              <w:rPr>
                <w:szCs w:val="21"/>
              </w:rPr>
            </w:pPr>
            <w:r>
              <w:rPr>
                <w:rFonts w:ascii="仿宋_GB2312" w:hAnsi="新宋体" w:eastAsia="仿宋_GB2312" w:cs="仿宋_GB2312"/>
                <w:kern w:val="0"/>
                <w:szCs w:val="21"/>
              </w:rPr>
              <w:t>2.资产账务管理是否合规，帐实相符；</w:t>
            </w:r>
          </w:p>
          <w:p w14:paraId="06C0A957">
            <w:pPr>
              <w:widowControl/>
              <w:spacing w:line="240" w:lineRule="exact"/>
              <w:jc w:val="left"/>
              <w:rPr>
                <w:szCs w:val="21"/>
              </w:rPr>
            </w:pPr>
            <w:r>
              <w:rPr>
                <w:rFonts w:ascii="仿宋_GB2312" w:hAnsi="新宋体" w:eastAsia="仿宋_GB2312" w:cs="仿宋_GB2312"/>
                <w:kern w:val="0"/>
                <w:szCs w:val="21"/>
              </w:rPr>
              <w:t>3.资产有偿使用及处置收入及时足额上缴。</w:t>
            </w:r>
          </w:p>
        </w:tc>
        <w:tc>
          <w:tcPr>
            <w:tcW w:w="2373" w:type="dxa"/>
            <w:tcBorders>
              <w:top w:val="single" w:color="auto" w:sz="4" w:space="0"/>
              <w:left w:val="single" w:color="auto" w:sz="4" w:space="0"/>
              <w:bottom w:val="single" w:color="000000" w:sz="4" w:space="0"/>
              <w:right w:val="single" w:color="auto" w:sz="4" w:space="0"/>
            </w:tcBorders>
            <w:vAlign w:val="center"/>
          </w:tcPr>
          <w:p w14:paraId="2AFB1E21">
            <w:pPr>
              <w:widowControl/>
              <w:spacing w:line="240" w:lineRule="exact"/>
              <w:jc w:val="left"/>
              <w:rPr>
                <w:szCs w:val="21"/>
              </w:rPr>
            </w:pPr>
            <w:r>
              <w:rPr>
                <w:rFonts w:ascii="仿宋_GB2312" w:hAnsi="新宋体" w:eastAsia="仿宋_GB2312" w:cs="仿宋_GB2312"/>
                <w:kern w:val="0"/>
                <w:szCs w:val="21"/>
              </w:rPr>
              <w:t>符合全部三项（3）；</w:t>
            </w:r>
          </w:p>
          <w:p w14:paraId="37D0E3EE">
            <w:pPr>
              <w:widowControl/>
              <w:spacing w:line="240" w:lineRule="exact"/>
              <w:jc w:val="left"/>
              <w:rPr>
                <w:szCs w:val="21"/>
              </w:rPr>
            </w:pPr>
            <w:r>
              <w:rPr>
                <w:rFonts w:ascii="仿宋_GB2312" w:hAnsi="新宋体" w:eastAsia="仿宋_GB2312" w:cs="仿宋_GB2312"/>
                <w:kern w:val="0"/>
                <w:szCs w:val="21"/>
              </w:rPr>
              <w:t>符合其中两项（2）；</w:t>
            </w:r>
          </w:p>
          <w:p w14:paraId="6EFE0C5E">
            <w:pPr>
              <w:widowControl/>
              <w:spacing w:line="240" w:lineRule="exact"/>
              <w:jc w:val="left"/>
              <w:rPr>
                <w:szCs w:val="21"/>
              </w:rPr>
            </w:pPr>
            <w:r>
              <w:rPr>
                <w:rFonts w:ascii="仿宋_GB2312" w:hAnsi="新宋体" w:eastAsia="仿宋_GB2312" w:cs="仿宋_GB2312"/>
                <w:kern w:val="0"/>
                <w:szCs w:val="21"/>
              </w:rPr>
              <w:t>符合其中一项（1）；</w:t>
            </w:r>
          </w:p>
          <w:p w14:paraId="0C86ED4C">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符合零项（0）。</w:t>
            </w:r>
          </w:p>
        </w:tc>
        <w:tc>
          <w:tcPr>
            <w:tcW w:w="764" w:type="dxa"/>
            <w:tcBorders>
              <w:top w:val="single" w:color="auto" w:sz="4" w:space="0"/>
              <w:left w:val="single" w:color="auto" w:sz="4" w:space="0"/>
              <w:bottom w:val="single" w:color="000000" w:sz="4" w:space="0"/>
              <w:right w:val="single" w:color="000000" w:sz="4" w:space="0"/>
            </w:tcBorders>
            <w:vAlign w:val="center"/>
          </w:tcPr>
          <w:p w14:paraId="5AE821AE">
            <w:pPr>
              <w:widowControl/>
              <w:spacing w:line="240" w:lineRule="exact"/>
              <w:jc w:val="left"/>
              <w:rPr>
                <w:szCs w:val="21"/>
              </w:rPr>
            </w:pPr>
            <w:r>
              <w:rPr>
                <w:rFonts w:hint="eastAsia"/>
                <w:szCs w:val="21"/>
              </w:rPr>
              <w:t>2</w:t>
            </w:r>
          </w:p>
        </w:tc>
      </w:tr>
      <w:tr w14:paraId="4777C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08F67E92">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61F18F80">
            <w:pPr>
              <w:spacing w:line="240" w:lineRule="exact"/>
              <w:rPr>
                <w:rFonts w:ascii="宋体"/>
                <w:szCs w:val="21"/>
              </w:rPr>
            </w:pPr>
          </w:p>
        </w:tc>
        <w:tc>
          <w:tcPr>
            <w:tcW w:w="1275" w:type="dxa"/>
            <w:tcBorders>
              <w:top w:val="single" w:color="auto" w:sz="4" w:space="0"/>
              <w:left w:val="single" w:color="000000" w:sz="4" w:space="0"/>
              <w:bottom w:val="single" w:color="000000" w:sz="4" w:space="0"/>
              <w:right w:val="single" w:color="auto" w:sz="4" w:space="0"/>
            </w:tcBorders>
            <w:vAlign w:val="center"/>
          </w:tcPr>
          <w:p w14:paraId="759377C2">
            <w:pPr>
              <w:widowControl/>
              <w:spacing w:line="240" w:lineRule="exact"/>
              <w:jc w:val="left"/>
              <w:rPr>
                <w:szCs w:val="21"/>
              </w:rPr>
            </w:pPr>
            <w:r>
              <w:rPr>
                <w:rFonts w:ascii="仿宋_GB2312" w:hAnsi="新宋体" w:eastAsia="仿宋_GB2312" w:cs="仿宋_GB2312"/>
                <w:kern w:val="0"/>
                <w:szCs w:val="21"/>
              </w:rPr>
              <w:t>固定资产利用率（</w:t>
            </w:r>
            <w:r>
              <w:rPr>
                <w:rFonts w:hint="eastAsia" w:ascii="仿宋_GB2312" w:hAnsi="新宋体" w:eastAsia="仿宋_GB2312" w:cs="仿宋_GB2312"/>
                <w:kern w:val="0"/>
                <w:szCs w:val="21"/>
              </w:rPr>
              <w:t>3分</w:t>
            </w:r>
            <w:r>
              <w:rPr>
                <w:rFonts w:ascii="仿宋_GB2312" w:hAnsi="新宋体" w:eastAsia="仿宋_GB2312" w:cs="仿宋_GB2312"/>
                <w:kern w:val="0"/>
                <w:szCs w:val="21"/>
              </w:rPr>
              <w:t>）</w:t>
            </w:r>
          </w:p>
        </w:tc>
        <w:tc>
          <w:tcPr>
            <w:tcW w:w="3436" w:type="dxa"/>
            <w:tcBorders>
              <w:top w:val="single" w:color="auto" w:sz="4" w:space="0"/>
              <w:left w:val="single" w:color="auto" w:sz="4" w:space="0"/>
              <w:bottom w:val="single" w:color="000000" w:sz="4" w:space="0"/>
              <w:right w:val="single" w:color="auto" w:sz="4" w:space="0"/>
            </w:tcBorders>
            <w:vAlign w:val="center"/>
          </w:tcPr>
          <w:p w14:paraId="4A170190">
            <w:pPr>
              <w:widowControl/>
              <w:spacing w:line="240" w:lineRule="exact"/>
              <w:jc w:val="left"/>
              <w:rPr>
                <w:szCs w:val="21"/>
              </w:rPr>
            </w:pPr>
            <w:r>
              <w:rPr>
                <w:rFonts w:ascii="仿宋_GB2312" w:hAnsi="新宋体" w:eastAsia="仿宋_GB2312" w:cs="仿宋_GB2312"/>
                <w:kern w:val="0"/>
                <w:szCs w:val="21"/>
              </w:rPr>
              <w:t>部门实际在用固定资产总额与所有固定资产总额的比率，用以反映和评价部门固定资产使用效率。</w:t>
            </w:r>
          </w:p>
          <w:p w14:paraId="1D990B64">
            <w:pPr>
              <w:widowControl/>
              <w:spacing w:line="240" w:lineRule="exact"/>
              <w:jc w:val="left"/>
              <w:rPr>
                <w:szCs w:val="21"/>
              </w:rPr>
            </w:pPr>
            <w:r>
              <w:rPr>
                <w:rFonts w:ascii="仿宋_GB2312" w:hAnsi="新宋体" w:eastAsia="仿宋_GB2312" w:cs="仿宋_GB2312"/>
                <w:kern w:val="0"/>
                <w:szCs w:val="21"/>
              </w:rPr>
              <w:t>固定资产利用率=（实际在用固定资产总额/所有固定资产总额）×100%。</w:t>
            </w:r>
          </w:p>
        </w:tc>
        <w:tc>
          <w:tcPr>
            <w:tcW w:w="2373" w:type="dxa"/>
            <w:tcBorders>
              <w:top w:val="single" w:color="auto" w:sz="4" w:space="0"/>
              <w:left w:val="single" w:color="auto" w:sz="4" w:space="0"/>
              <w:bottom w:val="single" w:color="000000" w:sz="4" w:space="0"/>
              <w:right w:val="single" w:color="auto" w:sz="4" w:space="0"/>
            </w:tcBorders>
            <w:vAlign w:val="center"/>
          </w:tcPr>
          <w:p w14:paraId="17A1D770">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1.固定资产利用率大于或等于95%的，得满分；</w:t>
            </w:r>
          </w:p>
          <w:p w14:paraId="03177C24">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2.固定资产利用率小于或等于85%的，得0分；</w:t>
            </w:r>
          </w:p>
          <w:p w14:paraId="65E55CBF">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3.固定资产利用率在85%-95%之间的，在0和满分之间计算确定：</w:t>
            </w:r>
          </w:p>
          <w:p w14:paraId="3A245BAD">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得分=［某部门固定资产利用率-min（固定资产利用率）］/［max（固定资产利用率）-min（固定资产利用率）］×该指标分值。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14:paraId="272FC964">
            <w:pPr>
              <w:widowControl/>
              <w:spacing w:line="240" w:lineRule="exact"/>
              <w:jc w:val="left"/>
              <w:rPr>
                <w:szCs w:val="21"/>
              </w:rPr>
            </w:pPr>
            <w:r>
              <w:rPr>
                <w:rFonts w:hint="eastAsia"/>
                <w:szCs w:val="21"/>
              </w:rPr>
              <w:t>3</w:t>
            </w:r>
          </w:p>
        </w:tc>
      </w:tr>
      <w:tr w14:paraId="1E6CE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2D0E7253">
            <w:pPr>
              <w:widowControl/>
              <w:spacing w:line="240" w:lineRule="exact"/>
              <w:jc w:val="left"/>
              <w:rPr>
                <w:szCs w:val="21"/>
              </w:rPr>
            </w:pPr>
            <w:r>
              <w:rPr>
                <w:rFonts w:ascii="仿宋_GB2312" w:hAnsi="新宋体" w:eastAsia="仿宋_GB2312" w:cs="仿宋_GB2312"/>
                <w:kern w:val="0"/>
                <w:szCs w:val="21"/>
              </w:rPr>
              <w:t>产出(2</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14:paraId="5D455D52">
            <w:pPr>
              <w:widowControl/>
              <w:spacing w:line="240" w:lineRule="exact"/>
              <w:jc w:val="left"/>
              <w:rPr>
                <w:szCs w:val="21"/>
              </w:rPr>
            </w:pPr>
            <w:r>
              <w:rPr>
                <w:rFonts w:ascii="仿宋_GB2312" w:hAnsi="新宋体" w:eastAsia="仿宋_GB2312" w:cs="仿宋_GB2312"/>
                <w:kern w:val="0"/>
                <w:szCs w:val="21"/>
              </w:rPr>
              <w:t>职责履行</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（2</w:t>
            </w:r>
            <w:r>
              <w:rPr>
                <w:rFonts w:hint="eastAsia" w:ascii="仿宋_GB2312" w:hAnsi="新宋体" w:eastAsia="仿宋_GB2312" w:cs="仿宋_GB2312"/>
                <w:kern w:val="0"/>
                <w:szCs w:val="21"/>
              </w:rPr>
              <w:t>5</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auto" w:sz="4" w:space="0"/>
              <w:right w:val="single" w:color="auto" w:sz="4" w:space="0"/>
            </w:tcBorders>
            <w:vAlign w:val="center"/>
          </w:tcPr>
          <w:p w14:paraId="0F6B3E19">
            <w:pPr>
              <w:widowControl/>
              <w:spacing w:line="240" w:lineRule="exact"/>
              <w:jc w:val="left"/>
              <w:rPr>
                <w:szCs w:val="21"/>
              </w:rPr>
            </w:pPr>
            <w:r>
              <w:rPr>
                <w:rFonts w:hint="eastAsia" w:ascii="仿宋_GB2312" w:hAnsi="新宋体" w:eastAsia="仿宋_GB2312" w:cs="仿宋_GB2312"/>
                <w:kern w:val="0"/>
                <w:szCs w:val="21"/>
              </w:rPr>
              <w:t>履职完成情况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10分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14:paraId="513E79EA">
            <w:pPr>
              <w:widowControl/>
              <w:spacing w:line="240" w:lineRule="exact"/>
              <w:jc w:val="left"/>
              <w:textAlignment w:val="center"/>
              <w:rPr>
                <w:szCs w:val="21"/>
              </w:rPr>
            </w:pPr>
            <w:r>
              <w:rPr>
                <w:rFonts w:hint="eastAsia" w:ascii="仿宋" w:hAnsi="仿宋" w:eastAsia="仿宋" w:cs="仿宋"/>
                <w:color w:val="000000"/>
                <w:kern w:val="0"/>
                <w:szCs w:val="21"/>
              </w:rPr>
              <w:t>根据年度主要任务分解表</w:t>
            </w:r>
            <w:r>
              <w:rPr>
                <w:rFonts w:hint="eastAsia" w:ascii="仿宋" w:hAnsi="仿宋" w:eastAsia="仿宋" w:cs="仿宋"/>
                <w:color w:val="000000"/>
                <w:kern w:val="0"/>
                <w:szCs w:val="21"/>
                <w:lang w:eastAsia="zh-CN"/>
              </w:rPr>
              <w:t>的</w:t>
            </w:r>
            <w:r>
              <w:rPr>
                <w:rFonts w:hint="eastAsia" w:ascii="仿宋" w:hAnsi="仿宋" w:eastAsia="仿宋" w:cs="仿宋"/>
                <w:color w:val="000000"/>
                <w:kern w:val="0"/>
                <w:szCs w:val="21"/>
              </w:rPr>
              <w:t>具体任务，逐项评价任务量化指标完成情况、实施效果和责任制建立情况。用以反映和考核部门（单位）履职工作任务目标的完成情况。评价要点：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1.每项任务是否已制定了明确、具体、可量化、可衡量的绩效指标；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2.每项任务绩效指标的完成情况，是全部完成、基本完成、未完成，还是未实施；</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3.每项任务实施效果情况，是优秀、良好、一般，还是无效果；</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4.每项任务是否建立了目标责任制，是否落实到具体部门和人员负责。</w:t>
            </w:r>
          </w:p>
        </w:tc>
        <w:tc>
          <w:tcPr>
            <w:tcW w:w="2373" w:type="dxa"/>
            <w:tcBorders>
              <w:top w:val="single" w:color="000000" w:sz="4" w:space="0"/>
              <w:left w:val="single" w:color="auto" w:sz="4" w:space="0"/>
              <w:bottom w:val="single" w:color="auto" w:sz="4" w:space="0"/>
              <w:right w:val="single" w:color="auto" w:sz="4" w:space="0"/>
            </w:tcBorders>
            <w:vAlign w:val="center"/>
          </w:tcPr>
          <w:p w14:paraId="7E943EF2">
            <w:pPr>
              <w:widowControl/>
              <w:spacing w:line="240" w:lineRule="exact"/>
              <w:jc w:val="left"/>
              <w:textAlignment w:val="center"/>
              <w:rPr>
                <w:szCs w:val="21"/>
              </w:rPr>
            </w:pPr>
            <w:r>
              <w:rPr>
                <w:rFonts w:hint="eastAsia" w:ascii="仿宋" w:hAnsi="仿宋" w:eastAsia="仿宋" w:cs="仿宋"/>
                <w:color w:val="000000"/>
                <w:kern w:val="0"/>
                <w:szCs w:val="21"/>
              </w:rPr>
              <w:t>根据不同部门履职的内容和特点，具体测算部门履职工作任务目标的完成情况。</w:t>
            </w:r>
          </w:p>
        </w:tc>
        <w:tc>
          <w:tcPr>
            <w:tcW w:w="764" w:type="dxa"/>
            <w:tcBorders>
              <w:top w:val="single" w:color="000000" w:sz="4" w:space="0"/>
              <w:left w:val="single" w:color="auto" w:sz="4" w:space="0"/>
              <w:bottom w:val="single" w:color="auto" w:sz="4" w:space="0"/>
              <w:right w:val="single" w:color="000000" w:sz="4" w:space="0"/>
            </w:tcBorders>
            <w:vAlign w:val="center"/>
          </w:tcPr>
          <w:p w14:paraId="48E3ABBD">
            <w:pPr>
              <w:widowControl/>
              <w:spacing w:line="240" w:lineRule="exact"/>
              <w:jc w:val="left"/>
              <w:rPr>
                <w:szCs w:val="21"/>
              </w:rPr>
            </w:pPr>
            <w:r>
              <w:rPr>
                <w:rFonts w:hint="eastAsia"/>
                <w:szCs w:val="21"/>
              </w:rPr>
              <w:t>10</w:t>
            </w:r>
          </w:p>
        </w:tc>
      </w:tr>
      <w:tr w14:paraId="247A3D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5B613233">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14:paraId="2D227DB2">
            <w:pPr>
              <w:spacing w:line="240" w:lineRule="exact"/>
              <w:rPr>
                <w:rFonts w:ascii="宋体"/>
                <w:szCs w:val="21"/>
              </w:rPr>
            </w:pPr>
          </w:p>
        </w:tc>
        <w:tc>
          <w:tcPr>
            <w:tcW w:w="1275" w:type="dxa"/>
            <w:tcBorders>
              <w:top w:val="single" w:color="000000" w:sz="4" w:space="0"/>
              <w:left w:val="single" w:color="000000" w:sz="4" w:space="0"/>
              <w:right w:val="single" w:color="auto" w:sz="4" w:space="0"/>
            </w:tcBorders>
            <w:vAlign w:val="center"/>
          </w:tcPr>
          <w:p w14:paraId="69206500">
            <w:pPr>
              <w:widowControl/>
              <w:spacing w:line="240" w:lineRule="exact"/>
              <w:jc w:val="left"/>
              <w:rPr>
                <w:szCs w:val="21"/>
              </w:rPr>
            </w:pPr>
            <w:r>
              <w:rPr>
                <w:rFonts w:ascii="仿宋_GB2312" w:hAnsi="新宋体" w:eastAsia="仿宋_GB2312" w:cs="仿宋_GB2312"/>
                <w:kern w:val="0"/>
                <w:szCs w:val="21"/>
              </w:rPr>
              <w:t>项目</w:t>
            </w:r>
            <w:r>
              <w:rPr>
                <w:rFonts w:hint="eastAsia" w:ascii="仿宋_GB2312" w:hAnsi="新宋体" w:eastAsia="仿宋_GB2312" w:cs="仿宋_GB2312"/>
                <w:kern w:val="0"/>
                <w:szCs w:val="21"/>
              </w:rPr>
              <w:t>完成</w:t>
            </w:r>
            <w:r>
              <w:rPr>
                <w:rFonts w:ascii="仿宋_GB2312" w:hAnsi="新宋体" w:eastAsia="仿宋_GB2312" w:cs="仿宋_GB2312"/>
                <w:kern w:val="0"/>
                <w:szCs w:val="21"/>
              </w:rPr>
              <w:t>质量达标率（</w:t>
            </w:r>
            <w:r>
              <w:rPr>
                <w:rFonts w:hint="eastAsia" w:ascii="仿宋_GB2312" w:hAnsi="新宋体" w:eastAsia="仿宋_GB2312" w:cs="仿宋_GB2312"/>
                <w:kern w:val="0"/>
                <w:szCs w:val="21"/>
              </w:rPr>
              <w:t>15</w:t>
            </w:r>
            <w:r>
              <w:rPr>
                <w:rFonts w:ascii="仿宋_GB2312" w:hAnsi="新宋体" w:eastAsia="仿宋_GB2312" w:cs="仿宋_GB2312"/>
                <w:kern w:val="0"/>
                <w:szCs w:val="21"/>
              </w:rPr>
              <w:t>）</w:t>
            </w:r>
          </w:p>
        </w:tc>
        <w:tc>
          <w:tcPr>
            <w:tcW w:w="3436" w:type="dxa"/>
            <w:tcBorders>
              <w:top w:val="single" w:color="000000" w:sz="4" w:space="0"/>
              <w:left w:val="single" w:color="auto" w:sz="4" w:space="0"/>
              <w:right w:val="single" w:color="auto" w:sz="4" w:space="0"/>
            </w:tcBorders>
            <w:vAlign w:val="center"/>
          </w:tcPr>
          <w:p w14:paraId="165FEFF7">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部门已完成项目中质量达标项目个数占已完成项目个数的比率,用以反映和评价部门履职质量目标的实现程度。</w:t>
            </w:r>
          </w:p>
          <w:p w14:paraId="33CED0E7">
            <w:pPr>
              <w:widowControl/>
              <w:spacing w:line="240" w:lineRule="exact"/>
              <w:jc w:val="left"/>
              <w:rPr>
                <w:szCs w:val="21"/>
              </w:rPr>
            </w:pPr>
            <w:r>
              <w:rPr>
                <w:rFonts w:ascii="仿宋_GB2312" w:hAnsi="新宋体" w:eastAsia="仿宋_GB2312" w:cs="仿宋_GB2312"/>
                <w:kern w:val="0"/>
                <w:szCs w:val="21"/>
              </w:rPr>
              <w:t>项目质量达标率=（已完成项目中质量达标项目个数/已完成项目个数）×100%。</w:t>
            </w:r>
          </w:p>
          <w:p w14:paraId="6E43583E">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项目质量达标是指项目决算验收合格。</w:t>
            </w:r>
          </w:p>
        </w:tc>
        <w:tc>
          <w:tcPr>
            <w:tcW w:w="2373" w:type="dxa"/>
            <w:tcBorders>
              <w:top w:val="single" w:color="000000" w:sz="4" w:space="0"/>
              <w:left w:val="single" w:color="auto" w:sz="4" w:space="0"/>
              <w:right w:val="single" w:color="auto" w:sz="4" w:space="0"/>
            </w:tcBorders>
            <w:vAlign w:val="center"/>
          </w:tcPr>
          <w:p w14:paraId="4CDB129D">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1.项目质量达标率等于100%的，得满分；</w:t>
            </w:r>
          </w:p>
          <w:p w14:paraId="2425C77E">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2.项目质量达标率小于或等于99%的，得0分；</w:t>
            </w:r>
          </w:p>
          <w:p w14:paraId="345D0C65">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 xml:space="preserve">3.项目质量达标率在99%-100%之间的，在0和满分之间计算确定： </w:t>
            </w:r>
          </w:p>
          <w:p w14:paraId="7FA3014E">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得分=［某部门项目质量达标率-min（项目质量达标率）］/［max（项目质量达标率）-min（项目质量达标率）］×该指标分值。</w:t>
            </w:r>
          </w:p>
        </w:tc>
        <w:tc>
          <w:tcPr>
            <w:tcW w:w="764" w:type="dxa"/>
            <w:tcBorders>
              <w:top w:val="single" w:color="000000" w:sz="4" w:space="0"/>
              <w:left w:val="single" w:color="auto" w:sz="4" w:space="0"/>
              <w:bottom w:val="single" w:color="auto" w:sz="4" w:space="0"/>
              <w:right w:val="single" w:color="000000" w:sz="4" w:space="0"/>
            </w:tcBorders>
            <w:vAlign w:val="center"/>
          </w:tcPr>
          <w:p w14:paraId="0AA717E0">
            <w:pPr>
              <w:widowControl/>
              <w:spacing w:line="240" w:lineRule="exact"/>
              <w:jc w:val="left"/>
              <w:rPr>
                <w:szCs w:val="21"/>
              </w:rPr>
            </w:pPr>
            <w:r>
              <w:rPr>
                <w:rFonts w:hint="eastAsia"/>
                <w:szCs w:val="21"/>
              </w:rPr>
              <w:t>15</w:t>
            </w:r>
          </w:p>
        </w:tc>
      </w:tr>
      <w:tr w14:paraId="05359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14:paraId="3CFAF596">
            <w:pPr>
              <w:widowControl/>
              <w:spacing w:line="240" w:lineRule="exact"/>
              <w:jc w:val="left"/>
              <w:rPr>
                <w:szCs w:val="21"/>
              </w:rPr>
            </w:pPr>
            <w:r>
              <w:rPr>
                <w:rFonts w:ascii="仿宋_GB2312" w:hAnsi="新宋体" w:eastAsia="仿宋_GB2312" w:cs="仿宋_GB2312"/>
                <w:kern w:val="0"/>
                <w:szCs w:val="21"/>
              </w:rPr>
              <w:t>效果（</w:t>
            </w:r>
            <w:r>
              <w:rPr>
                <w:rFonts w:hint="eastAsia" w:ascii="仿宋_GB2312" w:hAnsi="新宋体" w:eastAsia="仿宋_GB2312" w:cs="仿宋_GB2312"/>
                <w:kern w:val="0"/>
                <w:szCs w:val="21"/>
              </w:rPr>
              <w:t>2</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743" w:type="dxa"/>
            <w:vMerge w:val="restart"/>
            <w:tcBorders>
              <w:top w:val="single" w:color="auto" w:sz="4" w:space="0"/>
              <w:left w:val="single" w:color="000000" w:sz="4" w:space="0"/>
              <w:right w:val="single" w:color="000000" w:sz="4" w:space="0"/>
            </w:tcBorders>
            <w:vAlign w:val="center"/>
          </w:tcPr>
          <w:p w14:paraId="470538EE">
            <w:pPr>
              <w:widowControl/>
              <w:spacing w:line="240" w:lineRule="exact"/>
              <w:jc w:val="left"/>
              <w:rPr>
                <w:rFonts w:ascii="仿宋_GB2312" w:hAnsi="新宋体" w:eastAsia="仿宋_GB2312" w:cs="仿宋_GB2312"/>
                <w:kern w:val="0"/>
                <w:szCs w:val="21"/>
              </w:rPr>
            </w:pPr>
          </w:p>
          <w:p w14:paraId="6D30A16B">
            <w:pPr>
              <w:widowControl/>
              <w:spacing w:line="240" w:lineRule="exact"/>
              <w:jc w:val="left"/>
              <w:rPr>
                <w:rFonts w:ascii="仿宋_GB2312" w:hAnsi="新宋体" w:eastAsia="仿宋_GB2312" w:cs="仿宋_GB2312"/>
                <w:kern w:val="0"/>
                <w:szCs w:val="21"/>
              </w:rPr>
            </w:pPr>
            <w:r>
              <w:rPr>
                <w:rFonts w:hint="eastAsia" w:ascii="仿宋_GB2312" w:hAnsi="新宋体" w:eastAsia="仿宋_GB2312" w:cs="仿宋_GB2312"/>
                <w:kern w:val="0"/>
                <w:szCs w:val="21"/>
              </w:rPr>
              <w:t>履职效益情况</w:t>
            </w:r>
          </w:p>
          <w:p w14:paraId="6C97300F">
            <w:pPr>
              <w:widowControl/>
              <w:spacing w:line="240" w:lineRule="exact"/>
              <w:jc w:val="left"/>
              <w:rPr>
                <w:rFonts w:ascii="仿宋_GB2312" w:hAnsi="新宋体" w:eastAsia="仿宋_GB2312" w:cs="仿宋_GB2312"/>
                <w:kern w:val="0"/>
                <w:szCs w:val="21"/>
              </w:rPr>
            </w:pPr>
            <w:r>
              <w:rPr>
                <w:rFonts w:ascii="仿宋_GB2312" w:hAnsi="新宋体" w:eastAsia="仿宋_GB2312" w:cs="仿宋_GB2312"/>
                <w:kern w:val="0"/>
                <w:szCs w:val="21"/>
              </w:rPr>
              <w:t>（</w:t>
            </w:r>
            <w:r>
              <w:rPr>
                <w:rFonts w:hint="eastAsia" w:ascii="仿宋_GB2312" w:hAnsi="新宋体" w:eastAsia="仿宋_GB2312" w:cs="仿宋_GB2312"/>
                <w:kern w:val="0"/>
                <w:szCs w:val="21"/>
              </w:rPr>
              <w:t>2</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000000" w:sz="4" w:space="0"/>
              <w:right w:val="single" w:color="auto" w:sz="4" w:space="0"/>
            </w:tcBorders>
            <w:vAlign w:val="center"/>
          </w:tcPr>
          <w:p w14:paraId="4682EC21">
            <w:pPr>
              <w:widowControl/>
              <w:spacing w:line="240" w:lineRule="exact"/>
              <w:jc w:val="left"/>
              <w:rPr>
                <w:szCs w:val="21"/>
              </w:rPr>
            </w:pPr>
            <w:r>
              <w:rPr>
                <w:rFonts w:hint="eastAsia" w:ascii="仿宋_GB2312" w:hAnsi="新宋体" w:eastAsia="仿宋_GB2312" w:cs="仿宋_GB2312"/>
                <w:color w:val="000000"/>
                <w:kern w:val="0"/>
                <w:szCs w:val="21"/>
              </w:rPr>
              <w:t>经济效益</w:t>
            </w: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14:paraId="07B77A6D">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部门及所属二级单位通过履行职责和预算安排支出项目的实施，对我市带来的经济影响。</w:t>
            </w:r>
          </w:p>
          <w:p w14:paraId="4C4D1150">
            <w:pPr>
              <w:widowControl/>
              <w:spacing w:line="240" w:lineRule="exact"/>
              <w:jc w:val="left"/>
              <w:textAlignment w:val="center"/>
              <w:rPr>
                <w:rFonts w:ascii="仿宋" w:hAnsi="仿宋" w:eastAsia="仿宋" w:cs="仿宋"/>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1.通过部门所属企事业单位改革，促进了企事业单位效益增长情况；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2.通过预算支出项目的实施，促进了行业生产能力增长，从而带动行业经济效益增长；</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3.通过预算支出项目的实施，有效提高劳动效率，节约成本费用；</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4.通过预算支出项目的实施，降低了损耗，从而提高了生产效益；</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5.通过预算支出项目的实施，完善了突发情况的监测预警，保障了生产安全，降低了生产损失。</w:t>
            </w:r>
          </w:p>
        </w:tc>
        <w:tc>
          <w:tcPr>
            <w:tcW w:w="2373" w:type="dxa"/>
            <w:tcBorders>
              <w:top w:val="single" w:color="000000" w:sz="4" w:space="0"/>
              <w:left w:val="single" w:color="auto" w:sz="4" w:space="0"/>
              <w:bottom w:val="single" w:color="000000" w:sz="4" w:space="0"/>
              <w:right w:val="single" w:color="auto" w:sz="4" w:space="0"/>
            </w:tcBorders>
            <w:vAlign w:val="center"/>
          </w:tcPr>
          <w:p w14:paraId="4C6C4BE6">
            <w:pPr>
              <w:widowControl/>
              <w:spacing w:line="240" w:lineRule="exact"/>
              <w:jc w:val="left"/>
              <w:textAlignment w:val="center"/>
              <w:rPr>
                <w:rFonts w:ascii="仿宋" w:hAnsi="仿宋" w:eastAsia="仿宋" w:cs="仿宋"/>
                <w:szCs w:val="21"/>
              </w:rPr>
            </w:pPr>
            <w:r>
              <w:rPr>
                <w:rFonts w:hint="eastAsia" w:ascii="仿宋" w:hAnsi="仿宋" w:eastAsia="仿宋" w:cs="仿宋"/>
                <w:color w:val="000000"/>
                <w:kern w:val="0"/>
                <w:szCs w:val="21"/>
              </w:rPr>
              <w:t>根据不同部门履职的内容和特点，具体测算部门履职产生的经济效益。</w:t>
            </w:r>
          </w:p>
        </w:tc>
        <w:tc>
          <w:tcPr>
            <w:tcW w:w="764" w:type="dxa"/>
            <w:tcBorders>
              <w:top w:val="single" w:color="000000" w:sz="4" w:space="0"/>
              <w:left w:val="single" w:color="auto" w:sz="4" w:space="0"/>
              <w:bottom w:val="single" w:color="000000" w:sz="4" w:space="0"/>
              <w:right w:val="single" w:color="000000" w:sz="4" w:space="0"/>
            </w:tcBorders>
            <w:vAlign w:val="center"/>
          </w:tcPr>
          <w:p w14:paraId="64057A26">
            <w:pPr>
              <w:widowControl/>
              <w:spacing w:line="240" w:lineRule="exact"/>
              <w:jc w:val="left"/>
              <w:rPr>
                <w:szCs w:val="21"/>
              </w:rPr>
            </w:pPr>
            <w:r>
              <w:rPr>
                <w:rFonts w:hint="eastAsia"/>
                <w:szCs w:val="21"/>
              </w:rPr>
              <w:t>5</w:t>
            </w:r>
          </w:p>
        </w:tc>
      </w:tr>
      <w:tr w14:paraId="34047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14:paraId="053AE474">
            <w:pPr>
              <w:widowControl/>
              <w:spacing w:line="240" w:lineRule="exact"/>
              <w:jc w:val="left"/>
              <w:rPr>
                <w:rFonts w:ascii="仿宋_GB2312" w:hAnsi="新宋体" w:eastAsia="仿宋_GB2312" w:cs="仿宋_GB2312"/>
                <w:kern w:val="0"/>
                <w:szCs w:val="21"/>
              </w:rPr>
            </w:pPr>
          </w:p>
        </w:tc>
        <w:tc>
          <w:tcPr>
            <w:tcW w:w="743" w:type="dxa"/>
            <w:vMerge w:val="continue"/>
            <w:tcBorders>
              <w:left w:val="single" w:color="000000" w:sz="4" w:space="0"/>
              <w:right w:val="single" w:color="000000" w:sz="4" w:space="0"/>
            </w:tcBorders>
            <w:vAlign w:val="center"/>
          </w:tcPr>
          <w:p w14:paraId="4B036EBE">
            <w:pPr>
              <w:widowControl/>
              <w:spacing w:line="240" w:lineRule="exact"/>
              <w:jc w:val="left"/>
              <w:rPr>
                <w:rFonts w:ascii="仿宋_GB2312" w:hAnsi="新宋体" w:eastAsia="仿宋_GB2312" w:cs="仿宋_GB2312"/>
                <w:kern w:val="0"/>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5A3C6DE7">
            <w:pPr>
              <w:widowControl/>
              <w:spacing w:line="240" w:lineRule="exact"/>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社会效益（5分）</w:t>
            </w:r>
          </w:p>
        </w:tc>
        <w:tc>
          <w:tcPr>
            <w:tcW w:w="3436" w:type="dxa"/>
            <w:tcBorders>
              <w:top w:val="single" w:color="000000" w:sz="4" w:space="0"/>
              <w:left w:val="single" w:color="auto" w:sz="4" w:space="0"/>
              <w:bottom w:val="single" w:color="000000" w:sz="4" w:space="0"/>
              <w:right w:val="single" w:color="auto" w:sz="4" w:space="0"/>
            </w:tcBorders>
            <w:vAlign w:val="center"/>
          </w:tcPr>
          <w:p w14:paraId="2E6BE0FF">
            <w:pPr>
              <w:widowControl/>
              <w:spacing w:line="240" w:lineRule="exac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部门及所属二级单位履行职责对社会发展所带来的直接或间接影响。</w:t>
            </w:r>
          </w:p>
          <w:p w14:paraId="720106EE">
            <w:pPr>
              <w:widowControl/>
              <w:spacing w:line="240" w:lineRule="exact"/>
              <w:textAlignment w:val="center"/>
              <w:rPr>
                <w:rFonts w:ascii="仿宋" w:hAnsi="仿宋" w:eastAsia="仿宋" w:cs="仿宋"/>
                <w:color w:val="000000"/>
                <w:kern w:val="0"/>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1.通过部门所属企事业单位的改革，促进了企事业单位可持续发展，带动就业增长情况；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2.通过预算支出项目的实施，是否明显促进了行业精神文明建设；</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3.通过部门履职是否明显提高城乡居民生活水平，满足了人们日益增长的物质与文化生活需求；</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4.通过预算项目的实施，是否提高了劳动生产率，降低了劳动强度，促进了劳动人民的身心健康；</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5.通过部门履职行业形象是否得到了大大提升了，增强了部门影响力。</w:t>
            </w:r>
          </w:p>
        </w:tc>
        <w:tc>
          <w:tcPr>
            <w:tcW w:w="2373" w:type="dxa"/>
            <w:tcBorders>
              <w:top w:val="single" w:color="000000" w:sz="4" w:space="0"/>
              <w:left w:val="single" w:color="auto" w:sz="4" w:space="0"/>
              <w:bottom w:val="single" w:color="000000" w:sz="4" w:space="0"/>
              <w:right w:val="single" w:color="auto" w:sz="4" w:space="0"/>
            </w:tcBorders>
            <w:vAlign w:val="center"/>
          </w:tcPr>
          <w:p w14:paraId="36512C42">
            <w:pPr>
              <w:widowControl/>
              <w:spacing w:line="240" w:lineRule="exact"/>
              <w:textAlignment w:val="center"/>
              <w:rPr>
                <w:rFonts w:ascii="仿宋" w:hAnsi="仿宋" w:eastAsia="仿宋" w:cs="仿宋"/>
                <w:szCs w:val="21"/>
              </w:rPr>
            </w:pPr>
            <w:r>
              <w:rPr>
                <w:rFonts w:hint="eastAsia" w:ascii="仿宋" w:hAnsi="仿宋" w:eastAsia="仿宋" w:cs="仿宋"/>
                <w:color w:val="000000"/>
                <w:kern w:val="0"/>
                <w:szCs w:val="21"/>
              </w:rPr>
              <w:t>根据不同部门履职的内容和特点，具体测算部门履职产生的社会效益。</w:t>
            </w:r>
          </w:p>
        </w:tc>
        <w:tc>
          <w:tcPr>
            <w:tcW w:w="764" w:type="dxa"/>
            <w:tcBorders>
              <w:top w:val="single" w:color="000000" w:sz="4" w:space="0"/>
              <w:left w:val="single" w:color="auto" w:sz="4" w:space="0"/>
              <w:bottom w:val="single" w:color="000000" w:sz="4" w:space="0"/>
              <w:right w:val="single" w:color="000000" w:sz="4" w:space="0"/>
            </w:tcBorders>
            <w:vAlign w:val="center"/>
          </w:tcPr>
          <w:p w14:paraId="3A390E80">
            <w:pPr>
              <w:widowControl/>
              <w:spacing w:line="240" w:lineRule="exact"/>
              <w:jc w:val="left"/>
              <w:rPr>
                <w:szCs w:val="21"/>
              </w:rPr>
            </w:pPr>
            <w:r>
              <w:rPr>
                <w:rFonts w:hint="eastAsia"/>
                <w:szCs w:val="21"/>
              </w:rPr>
              <w:t>5</w:t>
            </w:r>
          </w:p>
        </w:tc>
      </w:tr>
      <w:tr w14:paraId="44474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14:paraId="04ADEC32">
            <w:pPr>
              <w:widowControl/>
              <w:spacing w:line="240" w:lineRule="exact"/>
              <w:jc w:val="left"/>
              <w:rPr>
                <w:rFonts w:ascii="仿宋_GB2312" w:hAnsi="新宋体" w:eastAsia="仿宋_GB2312" w:cs="仿宋_GB2312"/>
                <w:kern w:val="0"/>
                <w:szCs w:val="21"/>
              </w:rPr>
            </w:pPr>
          </w:p>
        </w:tc>
        <w:tc>
          <w:tcPr>
            <w:tcW w:w="743" w:type="dxa"/>
            <w:vMerge w:val="continue"/>
            <w:tcBorders>
              <w:left w:val="single" w:color="000000" w:sz="4" w:space="0"/>
              <w:right w:val="single" w:color="000000" w:sz="4" w:space="0"/>
            </w:tcBorders>
            <w:vAlign w:val="center"/>
          </w:tcPr>
          <w:p w14:paraId="7BE75B5A">
            <w:pPr>
              <w:widowControl/>
              <w:spacing w:line="240" w:lineRule="exact"/>
              <w:jc w:val="left"/>
              <w:rPr>
                <w:rFonts w:ascii="仿宋_GB2312" w:hAnsi="新宋体" w:eastAsia="仿宋_GB2312" w:cs="仿宋_GB2312"/>
                <w:kern w:val="0"/>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74CA21EE">
            <w:pPr>
              <w:widowControl/>
              <w:spacing w:line="240" w:lineRule="exact"/>
              <w:jc w:val="left"/>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生态效益（5分）</w:t>
            </w:r>
          </w:p>
        </w:tc>
        <w:tc>
          <w:tcPr>
            <w:tcW w:w="3436" w:type="dxa"/>
            <w:tcBorders>
              <w:top w:val="single" w:color="000000" w:sz="4" w:space="0"/>
              <w:left w:val="single" w:color="auto" w:sz="4" w:space="0"/>
              <w:bottom w:val="single" w:color="000000" w:sz="4" w:space="0"/>
              <w:right w:val="single" w:color="auto" w:sz="4" w:space="0"/>
            </w:tcBorders>
            <w:vAlign w:val="center"/>
          </w:tcPr>
          <w:p w14:paraId="2F61E394">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部门及所属二级单位履行职责对生态环境所带来的直接或间接影响。</w:t>
            </w:r>
          </w:p>
          <w:p w14:paraId="324BD596">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1.通过预算支出项目的实施，绿色、节能环保新技术的应用和推广，明显带动各环节的节能减排，也具有一定的环境效益；</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2.通过履职有效地控制虚假、伪劣、霉变等劣质产品进入市场，影响了人民生活质量，净化地市场环境；</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3.通过预算支出项目的实施，是否达到减少污染物排放；</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4.通过预算支出项目的实施，周围环境得到了整治，面貌得到了改善。</w:t>
            </w:r>
          </w:p>
        </w:tc>
        <w:tc>
          <w:tcPr>
            <w:tcW w:w="2373" w:type="dxa"/>
            <w:tcBorders>
              <w:top w:val="single" w:color="000000" w:sz="4" w:space="0"/>
              <w:left w:val="single" w:color="auto" w:sz="4" w:space="0"/>
              <w:bottom w:val="single" w:color="000000" w:sz="4" w:space="0"/>
              <w:right w:val="single" w:color="auto" w:sz="4" w:space="0"/>
            </w:tcBorders>
            <w:vAlign w:val="center"/>
          </w:tcPr>
          <w:p w14:paraId="46D491CE">
            <w:pPr>
              <w:widowControl/>
              <w:spacing w:line="240" w:lineRule="exact"/>
              <w:jc w:val="left"/>
              <w:textAlignment w:val="center"/>
              <w:rPr>
                <w:szCs w:val="21"/>
              </w:rPr>
            </w:pPr>
            <w:r>
              <w:rPr>
                <w:rFonts w:hint="eastAsia" w:ascii="仿宋" w:hAnsi="仿宋" w:eastAsia="仿宋" w:cs="仿宋"/>
                <w:color w:val="000000"/>
                <w:kern w:val="0"/>
                <w:szCs w:val="21"/>
              </w:rPr>
              <w:t>根据不同部门履职的内容和特点，具体测算部门履职产生的生态效益。</w:t>
            </w:r>
          </w:p>
        </w:tc>
        <w:tc>
          <w:tcPr>
            <w:tcW w:w="764" w:type="dxa"/>
            <w:tcBorders>
              <w:top w:val="single" w:color="000000" w:sz="4" w:space="0"/>
              <w:left w:val="single" w:color="auto" w:sz="4" w:space="0"/>
              <w:bottom w:val="single" w:color="000000" w:sz="4" w:space="0"/>
              <w:right w:val="single" w:color="000000" w:sz="4" w:space="0"/>
            </w:tcBorders>
            <w:vAlign w:val="center"/>
          </w:tcPr>
          <w:p w14:paraId="330246C5">
            <w:pPr>
              <w:widowControl/>
              <w:spacing w:line="240" w:lineRule="exact"/>
              <w:jc w:val="left"/>
              <w:rPr>
                <w:szCs w:val="21"/>
              </w:rPr>
            </w:pPr>
            <w:r>
              <w:rPr>
                <w:rFonts w:hint="eastAsia"/>
                <w:szCs w:val="21"/>
              </w:rPr>
              <w:t>5</w:t>
            </w:r>
          </w:p>
        </w:tc>
      </w:tr>
      <w:tr w14:paraId="4744E3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080DF37B">
            <w:pPr>
              <w:spacing w:line="240" w:lineRule="exact"/>
              <w:rPr>
                <w:rFonts w:ascii="宋体"/>
                <w:szCs w:val="21"/>
              </w:rPr>
            </w:pPr>
          </w:p>
        </w:tc>
        <w:tc>
          <w:tcPr>
            <w:tcW w:w="743" w:type="dxa"/>
            <w:vMerge w:val="continue"/>
            <w:tcBorders>
              <w:left w:val="single" w:color="000000" w:sz="4" w:space="0"/>
              <w:bottom w:val="single" w:color="auto" w:sz="4" w:space="0"/>
              <w:right w:val="single" w:color="000000" w:sz="4" w:space="0"/>
            </w:tcBorders>
            <w:vAlign w:val="center"/>
          </w:tcPr>
          <w:p w14:paraId="55684386">
            <w:pPr>
              <w:widowControl/>
              <w:spacing w:line="240" w:lineRule="exact"/>
              <w:jc w:val="left"/>
              <w:rPr>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14:paraId="06280835">
            <w:pPr>
              <w:widowControl/>
              <w:spacing w:line="240" w:lineRule="exact"/>
              <w:jc w:val="left"/>
              <w:rPr>
                <w:szCs w:val="21"/>
              </w:rPr>
            </w:pPr>
            <w:r>
              <w:rPr>
                <w:rFonts w:hint="eastAsia" w:ascii="仿宋_GB2312" w:hAnsi="新宋体" w:eastAsia="仿宋_GB2312" w:cs="仿宋_GB2312"/>
                <w:kern w:val="0"/>
                <w:szCs w:val="21"/>
              </w:rPr>
              <w:t>服务对象</w:t>
            </w:r>
            <w:r>
              <w:rPr>
                <w:rFonts w:ascii="仿宋_GB2312" w:hAnsi="新宋体" w:eastAsia="仿宋_GB2312" w:cs="仿宋_GB2312"/>
                <w:kern w:val="0"/>
                <w:szCs w:val="21"/>
              </w:rPr>
              <w:t>满意度（5）</w:t>
            </w:r>
          </w:p>
        </w:tc>
        <w:tc>
          <w:tcPr>
            <w:tcW w:w="3436" w:type="dxa"/>
            <w:tcBorders>
              <w:top w:val="single" w:color="000000" w:sz="4" w:space="0"/>
              <w:left w:val="single" w:color="auto" w:sz="4" w:space="0"/>
              <w:bottom w:val="single" w:color="000000" w:sz="4" w:space="0"/>
              <w:right w:val="single" w:color="auto" w:sz="4" w:space="0"/>
            </w:tcBorders>
            <w:vAlign w:val="center"/>
          </w:tcPr>
          <w:p w14:paraId="128812CF">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hint="eastAsia" w:ascii="仿宋_GB2312" w:hAnsi="新宋体" w:eastAsia="仿宋_GB2312" w:cs="仿宋_GB2312"/>
                <w:kern w:val="0"/>
                <w:szCs w:val="21"/>
              </w:rPr>
              <w:t>通过对部门（单位）的服务对象对部门履职效果的满意程度调查，反映和考核社会公众或服务对象对部门履职的满意度。</w:t>
            </w:r>
          </w:p>
        </w:tc>
        <w:tc>
          <w:tcPr>
            <w:tcW w:w="2373" w:type="dxa"/>
            <w:tcBorders>
              <w:top w:val="single" w:color="000000" w:sz="4" w:space="0"/>
              <w:left w:val="single" w:color="auto" w:sz="4" w:space="0"/>
              <w:bottom w:val="single" w:color="000000" w:sz="4" w:space="0"/>
              <w:right w:val="single" w:color="auto" w:sz="4" w:space="0"/>
            </w:tcBorders>
            <w:vAlign w:val="center"/>
          </w:tcPr>
          <w:p w14:paraId="332441EE">
            <w:pPr>
              <w:widowControl/>
              <w:spacing w:line="240" w:lineRule="exact"/>
              <w:rPr>
                <w:rFonts w:ascii="仿宋" w:hAnsi="仿宋" w:eastAsia="仿宋" w:cs="宋体"/>
                <w:kern w:val="0"/>
                <w:szCs w:val="21"/>
              </w:rPr>
            </w:pPr>
            <w:r>
              <w:rPr>
                <w:rFonts w:ascii="仿宋" w:hAnsi="仿宋" w:eastAsia="仿宋" w:cs="Arial"/>
                <w:kern w:val="0"/>
                <w:szCs w:val="21"/>
              </w:rPr>
              <w:t>按照满意度调查的优秀、良好、合格、不合格给予该项指标打分：</w:t>
            </w:r>
          </w:p>
          <w:p w14:paraId="7689BD76">
            <w:pPr>
              <w:widowControl/>
              <w:spacing w:line="240" w:lineRule="exact"/>
              <w:rPr>
                <w:szCs w:val="21"/>
              </w:rPr>
            </w:pPr>
            <w:r>
              <w:rPr>
                <w:rFonts w:ascii="仿宋" w:hAnsi="仿宋" w:eastAsia="仿宋" w:cs="Arial"/>
                <w:kern w:val="0"/>
                <w:szCs w:val="21"/>
              </w:rPr>
              <w:t>优秀（</w:t>
            </w:r>
            <w:r>
              <w:rPr>
                <w:rFonts w:hint="eastAsia" w:ascii="仿宋" w:hAnsi="仿宋" w:eastAsia="仿宋" w:cs="Arial"/>
                <w:kern w:val="0"/>
                <w:szCs w:val="21"/>
              </w:rPr>
              <w:t>5</w:t>
            </w:r>
            <w:r>
              <w:rPr>
                <w:rFonts w:ascii="仿宋" w:hAnsi="仿宋" w:eastAsia="仿宋" w:cs="Arial"/>
                <w:kern w:val="0"/>
                <w:szCs w:val="21"/>
              </w:rPr>
              <w:t>）；良好（</w:t>
            </w:r>
            <w:r>
              <w:rPr>
                <w:rFonts w:hint="eastAsia" w:ascii="仿宋" w:hAnsi="仿宋" w:eastAsia="仿宋" w:cs="Arial"/>
                <w:kern w:val="0"/>
                <w:szCs w:val="21"/>
              </w:rPr>
              <w:t>3</w:t>
            </w:r>
            <w:r>
              <w:rPr>
                <w:rFonts w:ascii="仿宋" w:hAnsi="仿宋" w:eastAsia="仿宋" w:cs="Arial"/>
                <w:kern w:val="0"/>
                <w:szCs w:val="21"/>
              </w:rPr>
              <w:t>）；合格（</w:t>
            </w:r>
            <w:r>
              <w:rPr>
                <w:rFonts w:hint="eastAsia" w:ascii="仿宋" w:hAnsi="仿宋" w:eastAsia="仿宋" w:cs="Arial"/>
                <w:kern w:val="0"/>
                <w:szCs w:val="21"/>
              </w:rPr>
              <w:t>1</w:t>
            </w:r>
            <w:r>
              <w:rPr>
                <w:rFonts w:ascii="仿宋" w:hAnsi="仿宋" w:eastAsia="仿宋" w:cs="Arial"/>
                <w:kern w:val="0"/>
                <w:szCs w:val="21"/>
              </w:rPr>
              <w:t>）；不合格（</w:t>
            </w:r>
            <w:r>
              <w:rPr>
                <w:rFonts w:hint="eastAsia" w:ascii="仿宋" w:hAnsi="仿宋" w:eastAsia="仿宋" w:cs="Arial"/>
                <w:kern w:val="0"/>
                <w:szCs w:val="21"/>
              </w:rPr>
              <w:t>0</w:t>
            </w:r>
            <w:r>
              <w:rPr>
                <w:rFonts w:ascii="仿宋" w:hAnsi="仿宋" w:eastAsia="仿宋" w:cs="Arial"/>
                <w:kern w:val="0"/>
                <w:szCs w:val="21"/>
              </w:rPr>
              <w:t>）。</w:t>
            </w:r>
          </w:p>
        </w:tc>
        <w:tc>
          <w:tcPr>
            <w:tcW w:w="764" w:type="dxa"/>
            <w:tcBorders>
              <w:top w:val="single" w:color="000000" w:sz="4" w:space="0"/>
              <w:left w:val="single" w:color="auto" w:sz="4" w:space="0"/>
              <w:bottom w:val="single" w:color="000000" w:sz="4" w:space="0"/>
              <w:right w:val="single" w:color="000000" w:sz="4" w:space="0"/>
            </w:tcBorders>
            <w:vAlign w:val="center"/>
          </w:tcPr>
          <w:p w14:paraId="2CA80BB2">
            <w:pPr>
              <w:widowControl/>
              <w:spacing w:line="240" w:lineRule="exact"/>
              <w:jc w:val="left"/>
              <w:rPr>
                <w:szCs w:val="21"/>
              </w:rPr>
            </w:pPr>
            <w:r>
              <w:rPr>
                <w:rFonts w:hint="eastAsia"/>
                <w:szCs w:val="21"/>
              </w:rPr>
              <w:t>5</w:t>
            </w:r>
          </w:p>
        </w:tc>
      </w:tr>
    </w:tbl>
    <w:p w14:paraId="797D9EE1">
      <w:pPr>
        <w:spacing w:line="240" w:lineRule="exact"/>
        <w:rPr>
          <w:rFonts w:ascii="仿宋" w:hAnsi="仿宋" w:eastAsia="仿宋" w:cs="仿宋"/>
          <w:sz w:val="32"/>
          <w:szCs w:val="32"/>
        </w:rPr>
      </w:pPr>
    </w:p>
    <w:p w14:paraId="50D253DE">
      <w:pPr>
        <w:spacing w:line="240" w:lineRule="exact"/>
        <w:rPr>
          <w:rFonts w:ascii="仿宋" w:hAnsi="仿宋" w:eastAsia="仿宋" w:cs="仿宋"/>
          <w:sz w:val="32"/>
          <w:szCs w:val="32"/>
        </w:rPr>
      </w:pPr>
    </w:p>
    <w:p w14:paraId="73117CD2">
      <w:pPr>
        <w:spacing w:line="240" w:lineRule="exact"/>
        <w:rPr>
          <w:rFonts w:ascii="仿宋" w:hAnsi="仿宋" w:eastAsia="仿宋" w:cs="仿宋"/>
          <w:sz w:val="32"/>
          <w:szCs w:val="32"/>
        </w:rPr>
      </w:pPr>
    </w:p>
    <w:p w14:paraId="42BF2615">
      <w:pPr>
        <w:rPr>
          <w:rFonts w:ascii="仿宋" w:hAnsi="仿宋" w:eastAsia="仿宋" w:cs="仿宋"/>
          <w:b/>
          <w:bCs/>
          <w:sz w:val="30"/>
          <w:szCs w:val="30"/>
        </w:rPr>
      </w:pPr>
      <w:r>
        <w:rPr>
          <w:rFonts w:hint="eastAsia" w:ascii="仿宋" w:hAnsi="仿宋" w:eastAsia="仿宋" w:cs="仿宋"/>
          <w:b/>
          <w:bCs/>
          <w:sz w:val="30"/>
          <w:szCs w:val="30"/>
        </w:rPr>
        <w:t>部门整体支出绩效评价报告主要内容包括：</w:t>
      </w:r>
    </w:p>
    <w:p w14:paraId="489B46EF">
      <w:pPr>
        <w:ind w:firstLine="643" w:firstLineChars="200"/>
        <w:rPr>
          <w:rFonts w:ascii="仿宋" w:hAnsi="仿宋" w:eastAsia="仿宋" w:cs="仿宋"/>
          <w:b/>
          <w:sz w:val="32"/>
          <w:szCs w:val="32"/>
        </w:rPr>
      </w:pPr>
      <w:r>
        <w:rPr>
          <w:rFonts w:hint="eastAsia" w:ascii="仿宋" w:hAnsi="仿宋" w:eastAsia="仿宋" w:cs="仿宋"/>
          <w:b/>
          <w:sz w:val="32"/>
          <w:szCs w:val="32"/>
        </w:rPr>
        <w:t>一、基本概况。</w:t>
      </w:r>
    </w:p>
    <w:p w14:paraId="08E7A551">
      <w:pPr>
        <w:ind w:firstLine="643" w:firstLineChars="200"/>
        <w:rPr>
          <w:rFonts w:ascii="仿宋" w:hAnsi="仿宋" w:eastAsia="仿宋" w:cs="仿宋"/>
          <w:b/>
          <w:sz w:val="32"/>
          <w:szCs w:val="32"/>
        </w:rPr>
      </w:pPr>
      <w:r>
        <w:rPr>
          <w:rFonts w:hint="eastAsia" w:ascii="仿宋" w:hAnsi="仿宋" w:eastAsia="仿宋" w:cs="仿宋"/>
          <w:b/>
          <w:sz w:val="32"/>
          <w:szCs w:val="32"/>
        </w:rPr>
        <w:t>1、部门主要职责职能</w:t>
      </w:r>
    </w:p>
    <w:p w14:paraId="7A50BA9B">
      <w:pPr>
        <w:pStyle w:val="17"/>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加强基础教育，以推进义务教育均衡发展为重点，深入推进基础教育教学改革，切实减轻小学生的课业负担，加强小学德育教育工作，全面实施素质教育。</w:t>
      </w:r>
    </w:p>
    <w:p w14:paraId="7CF93422">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（一）贯彻落实党和国家教育工作的方针、政策和法律法规。</w:t>
      </w:r>
    </w:p>
    <w:p w14:paraId="09254767">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（二）指导各级各类学校的教育教学改革，负责教育基本信息的统计、分析和发布。</w:t>
      </w:r>
    </w:p>
    <w:p w14:paraId="3728D73A">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（三）综合管理全县基础教育、工作；负责推进义务教育均衡发展和促进教育公平，负责义务教育的管理和协调；负责社会力量举办的各级各类学校的管理工作。</w:t>
      </w:r>
    </w:p>
    <w:p w14:paraId="05D7D5B4">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（四）负责推进并指导各级各类学校的教育教学改革和科研工作；负责全面实施素质教育，提高教学质量和水平。</w:t>
      </w:r>
    </w:p>
    <w:p w14:paraId="6AA6AA37">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（五）负责指导辖区的教育督导工作，负责并指导基础教育发展水平、质量的监测工作。</w:t>
      </w:r>
    </w:p>
    <w:p w14:paraId="20457580">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（六）负责管理本部门教育经费和县拨教育经费并对各项经费使用情况进行审计监督；实施对家庭困难学生的资助工作。</w:t>
      </w:r>
    </w:p>
    <w:p w14:paraId="3A6F5F65">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（七）按照干部管理权限和程序，办理调动、奖惩、离退休审批手续；负责学校后备干部的管理及队伍建设工作。</w:t>
      </w:r>
    </w:p>
    <w:p w14:paraId="1C0B8DBE">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（八）指导学校的党建、思想政治、维护稳定和德育、体育、卫生与艺术教育、国防教育工作；负责学校的法制建设和安全稳定工作的监督管理；负责管理并指导各学校心理健康教育工作。</w:t>
      </w:r>
    </w:p>
    <w:p w14:paraId="20C1310B">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（九）负责各级各类学校学籍管理工作。</w:t>
      </w:r>
    </w:p>
    <w:p w14:paraId="28C3F3EC">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（十）负责规划、指导教育、教学工作；根据教学大纲，落实学科教学计划，负责教学常规管理、课程改革和教育教学改革试点及推广工作。</w:t>
      </w:r>
    </w:p>
    <w:p w14:paraId="1BDEDD35">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（十一）负责语言文字工作，组织协调并监督检查汉语文字规范及标准的实施，推广和普及普通话。</w:t>
      </w:r>
    </w:p>
    <w:p w14:paraId="5996D971">
      <w:pPr>
        <w:ind w:firstLine="643" w:firstLineChars="200"/>
        <w:jc w:val="left"/>
        <w:rPr>
          <w:rFonts w:ascii="仿宋" w:hAnsi="仿宋" w:eastAsia="仿宋" w:cs="仿宋"/>
          <w:b/>
          <w:sz w:val="32"/>
          <w:szCs w:val="32"/>
        </w:rPr>
      </w:pPr>
      <w:r>
        <w:rPr>
          <w:rFonts w:ascii="仿宋" w:hAnsi="仿宋" w:eastAsia="仿宋" w:cs="仿宋"/>
          <w:b/>
          <w:sz w:val="32"/>
          <w:szCs w:val="32"/>
        </w:rPr>
        <w:t>2</w:t>
      </w:r>
      <w:r>
        <w:rPr>
          <w:rFonts w:hint="eastAsia" w:ascii="仿宋" w:hAnsi="仿宋" w:eastAsia="仿宋" w:cs="仿宋"/>
          <w:b/>
          <w:sz w:val="32"/>
          <w:szCs w:val="32"/>
        </w:rPr>
        <w:t>、部门履职总体目标</w:t>
      </w:r>
    </w:p>
    <w:p w14:paraId="639C2107">
      <w:pPr>
        <w:spacing w:line="600" w:lineRule="exact"/>
        <w:ind w:firstLine="640" w:firstLineChars="200"/>
        <w:rPr>
          <w:rFonts w:ascii="仿宋" w:hAnsi="仿宋" w:eastAsia="仿宋" w:cs="仿宋"/>
          <w:sz w:val="32"/>
          <w:szCs w:val="32"/>
        </w:rPr>
      </w:pPr>
      <w:r>
        <w:rPr>
          <w:rFonts w:ascii="仿宋" w:hAnsi="仿宋" w:eastAsia="仿宋" w:cs="仿宋"/>
          <w:sz w:val="32"/>
          <w:szCs w:val="32"/>
        </w:rPr>
        <w:t>2020</w:t>
      </w:r>
      <w:r>
        <w:rPr>
          <w:rFonts w:hint="eastAsia" w:ascii="仿宋" w:hAnsi="仿宋" w:eastAsia="仿宋" w:cs="仿宋"/>
          <w:sz w:val="32"/>
          <w:szCs w:val="32"/>
        </w:rPr>
        <w:t>年，我学区</w:t>
      </w:r>
      <w:r>
        <w:rPr>
          <w:rFonts w:ascii="仿宋" w:hAnsi="仿宋" w:eastAsia="仿宋" w:cs="仿宋"/>
          <w:sz w:val="32"/>
          <w:szCs w:val="32"/>
        </w:rPr>
        <w:t>积极构建与经济社会发展、与人民群众需求相适应的教育体系</w:t>
      </w:r>
      <w:r>
        <w:rPr>
          <w:rFonts w:hint="eastAsia" w:ascii="仿宋" w:hAnsi="仿宋" w:eastAsia="仿宋" w:cs="仿宋"/>
          <w:sz w:val="32"/>
          <w:szCs w:val="32"/>
        </w:rPr>
        <w:t>以习近平新时代中国特色社会主义思想为指导，贯彻党的教育方针，落实“立德树人”根本任务。</w:t>
      </w:r>
    </w:p>
    <w:p w14:paraId="4FC83D10">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（一）、着力加强党的领导，统领教育各项工作</w:t>
      </w:r>
    </w:p>
    <w:p w14:paraId="50D7CD86">
      <w:pPr>
        <w:spacing w:line="60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学习、宣传、贯彻、落实党的十九大精神。通过抓好大学习、组织大宣讲、营造大氛围、开展大调研、推进大落实等系列活动和“不忘初心、牢记使命”主题教育，广泛开展十九大精神进校园等系列活动，坚持在“学懂”“弄通”“做实”上狠下功夫，深刻领会十九大精神实质，理清发展思路，明确奋斗目标，狠抓工作落实。</w:t>
      </w:r>
    </w:p>
    <w:p w14:paraId="6304E806">
      <w:pPr>
        <w:spacing w:line="600" w:lineRule="exact"/>
        <w:ind w:firstLine="640" w:firstLineChars="200"/>
        <w:jc w:val="left"/>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规范党建阵地建设。学校党组织办公场所规范，有独立的办公室，有党组织标识牌，有办公设施；有发展党员工作流程，有本单位党员名册、入党积极分子名册、入党申请人名册；有年度党建工作计划、发展党员工作计划、党风廉政教育计划；有党费收缴档案、党组织活动档案、先进事迹档案、影像档案；有“三会一课”记录、民主生活会记录、谈心谈话记录、廉政教育记录等。</w:t>
      </w:r>
      <w:r>
        <w:rPr>
          <w:rFonts w:ascii="仿宋" w:hAnsi="仿宋" w:eastAsia="仿宋" w:cs="仿宋"/>
          <w:sz w:val="32"/>
          <w:szCs w:val="32"/>
        </w:rPr>
        <w:br w:type="textWrapping"/>
      </w:r>
      <w:r>
        <w:rPr>
          <w:rFonts w:ascii="仿宋" w:hAnsi="仿宋" w:eastAsia="仿宋" w:cs="仿宋"/>
          <w:sz w:val="32"/>
          <w:szCs w:val="32"/>
        </w:rPr>
        <w:t xml:space="preserve">    4.</w:t>
      </w:r>
      <w:r>
        <w:rPr>
          <w:rFonts w:hint="eastAsia" w:ascii="仿宋" w:hAnsi="仿宋" w:eastAsia="仿宋" w:cs="仿宋"/>
          <w:sz w:val="32"/>
          <w:szCs w:val="32"/>
        </w:rPr>
        <w:t>规范党建制度建设。一是规范学习教育制度。制定年度学习教育计划，党员每周一参加党组织举办的集中性学习活动。建立健全学习培训档案，全面准确记录党员学习培训情况。二是规范“三会一课”、民主评议党员等基本制度。坚持每季度召开</w:t>
      </w:r>
      <w:r>
        <w:rPr>
          <w:rFonts w:ascii="仿宋" w:hAnsi="仿宋" w:eastAsia="仿宋" w:cs="仿宋"/>
          <w:sz w:val="32"/>
          <w:szCs w:val="32"/>
        </w:rPr>
        <w:t>1</w:t>
      </w:r>
      <w:r>
        <w:rPr>
          <w:rFonts w:hint="eastAsia" w:ascii="仿宋" w:hAnsi="仿宋" w:eastAsia="仿宋" w:cs="仿宋"/>
          <w:sz w:val="32"/>
          <w:szCs w:val="32"/>
        </w:rPr>
        <w:t>次支部党员大会，每月召开</w:t>
      </w:r>
      <w:r>
        <w:rPr>
          <w:rFonts w:ascii="仿宋" w:hAnsi="仿宋" w:eastAsia="仿宋" w:cs="仿宋"/>
          <w:sz w:val="32"/>
          <w:szCs w:val="32"/>
        </w:rPr>
        <w:t>1</w:t>
      </w:r>
      <w:r>
        <w:rPr>
          <w:rFonts w:hint="eastAsia" w:ascii="仿宋" w:hAnsi="仿宋" w:eastAsia="仿宋" w:cs="仿宋"/>
          <w:sz w:val="32"/>
          <w:szCs w:val="32"/>
        </w:rPr>
        <w:t>次支部委员会，三是规范发展党员制度。严格贯彻党员发展制度，严把“入口”关，规范入党发展对象、入党积极分子、预备党员保持比例，推进党员后备力量建设。四是党员示范岗制度。党员充分发挥基层党组织的战斗堡垒和党员的先锋模范作用，引领学校正风正气。</w:t>
      </w:r>
    </w:p>
    <w:p w14:paraId="348D1BF7">
      <w:pPr>
        <w:spacing w:line="600" w:lineRule="exact"/>
        <w:ind w:firstLine="640"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狠抓党风廉政建设。查处和纠正损害师生利益、反映强烈的不正之风和腐败问题，时刻绷紧廉洁自律之弦。对易发生问题的教辅征订、校服订购、收费、有偿家教、食堂承包、项目招投标、干部选拔、评选表彰、职称评聘等方面，加强规范性制度建设，落实党务、校务公开制度，完善学校教代会运行机制，保障师生、家长和社会的知情权、参与权和监督权。</w:t>
      </w:r>
    </w:p>
    <w:p w14:paraId="04D8F495">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（三）、深入推进教育改革，全面提高教育质量</w:t>
      </w:r>
    </w:p>
    <w:p w14:paraId="2642CFEE">
      <w:pPr>
        <w:spacing w:line="600" w:lineRule="exact"/>
        <w:ind w:firstLine="640" w:firstLineChars="200"/>
        <w:rPr>
          <w:rFonts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持之以恒抓两支队伍建设。严格队伍管理，加强师德师风建设，强化师资培训，缩小城乡教师的教学水平差距，提高队伍整体素质。</w:t>
      </w:r>
    </w:p>
    <w:p w14:paraId="1C10475B">
      <w:pPr>
        <w:spacing w:line="600" w:lineRule="exact"/>
        <w:ind w:firstLine="640" w:firstLineChars="200"/>
        <w:rPr>
          <w:rFonts w:ascii="仿宋" w:hAnsi="仿宋" w:eastAsia="仿宋" w:cs="仿宋"/>
          <w:sz w:val="32"/>
          <w:szCs w:val="32"/>
        </w:rPr>
      </w:pPr>
      <w:r>
        <w:rPr>
          <w:rFonts w:ascii="仿宋" w:hAnsi="仿宋" w:eastAsia="仿宋" w:cs="仿宋"/>
          <w:sz w:val="32"/>
          <w:szCs w:val="32"/>
        </w:rPr>
        <w:t>7.</w:t>
      </w:r>
      <w:r>
        <w:rPr>
          <w:rFonts w:hint="eastAsia" w:ascii="仿宋" w:hAnsi="仿宋" w:eastAsia="仿宋" w:cs="仿宋"/>
          <w:sz w:val="32"/>
          <w:szCs w:val="32"/>
        </w:rPr>
        <w:t>坚持实施素质教育。从基础教育抓起，全面推行魏书生教育思想和李希贵教学改革。继续抓好教学教研工作，监管教学工作全过程，大力提升教学质量。</w:t>
      </w:r>
    </w:p>
    <w:p w14:paraId="026485DC">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（四）、抓好德育管理和活动育人，贯彻立德树人根本任务</w:t>
      </w:r>
    </w:p>
    <w:p w14:paraId="1A86104A">
      <w:pPr>
        <w:spacing w:line="600" w:lineRule="exact"/>
        <w:ind w:firstLine="640" w:firstLineChars="200"/>
        <w:rPr>
          <w:rFonts w:ascii="仿宋" w:hAnsi="仿宋" w:eastAsia="仿宋" w:cs="仿宋"/>
          <w:sz w:val="32"/>
          <w:szCs w:val="32"/>
        </w:rPr>
      </w:pPr>
      <w:r>
        <w:rPr>
          <w:rFonts w:ascii="仿宋" w:hAnsi="仿宋" w:eastAsia="仿宋" w:cs="仿宋"/>
          <w:sz w:val="32"/>
          <w:szCs w:val="32"/>
        </w:rPr>
        <w:t>8.</w:t>
      </w:r>
      <w:r>
        <w:rPr>
          <w:rFonts w:hint="eastAsia" w:ascii="仿宋" w:hAnsi="仿宋" w:eastAsia="仿宋" w:cs="仿宋"/>
          <w:sz w:val="32"/>
          <w:szCs w:val="32"/>
        </w:rPr>
        <w:t>大力推进文明校园创建。开展“最美少年”“书香校园”主题实践活动，开展德育工作经典案例征集。充分挖掘平乡红色文化、传统文化、自行车文化等时代价值。</w:t>
      </w:r>
    </w:p>
    <w:p w14:paraId="3C198A4F">
      <w:pPr>
        <w:spacing w:line="600" w:lineRule="exact"/>
        <w:ind w:firstLine="640" w:firstLineChars="200"/>
        <w:rPr>
          <w:rFonts w:ascii="仿宋" w:hAnsi="仿宋" w:eastAsia="仿宋" w:cs="仿宋"/>
          <w:sz w:val="32"/>
          <w:szCs w:val="32"/>
        </w:rPr>
      </w:pPr>
      <w:r>
        <w:rPr>
          <w:rFonts w:ascii="仿宋" w:hAnsi="仿宋" w:eastAsia="仿宋" w:cs="仿宋"/>
          <w:sz w:val="32"/>
          <w:szCs w:val="32"/>
        </w:rPr>
        <w:t>9.</w:t>
      </w:r>
      <w:r>
        <w:rPr>
          <w:rFonts w:hint="eastAsia" w:ascii="仿宋" w:hAnsi="仿宋" w:eastAsia="仿宋" w:cs="仿宋"/>
          <w:sz w:val="32"/>
          <w:szCs w:val="32"/>
        </w:rPr>
        <w:t>强化师德师风建设。以习近平新时代中国特色社会主义思想武装教职工头脑，抓实抓好教育系统意识形态工作，建立常态化政治理论学习制度。加强职业理想、心理健康教育，引导教师自觉遵守《中小学教师职业道德规范》，牢固树立“四个意识”，坚定理想信念，争做“四有”好老师。把师德表现作为年度考核、职称评审、岗位聘用、评优奖励的首要标准。加大违反师德行为的查处力度，对监管不力的学校，严格追究相关责任人管理责任。</w:t>
      </w:r>
    </w:p>
    <w:p w14:paraId="2CBB5768">
      <w:pPr>
        <w:spacing w:line="600" w:lineRule="exact"/>
        <w:ind w:firstLine="640" w:firstLineChars="200"/>
        <w:rPr>
          <w:rFonts w:ascii="仿宋" w:hAnsi="仿宋" w:eastAsia="仿宋" w:cs="仿宋"/>
          <w:sz w:val="32"/>
          <w:szCs w:val="32"/>
        </w:rPr>
      </w:pPr>
      <w:r>
        <w:rPr>
          <w:rFonts w:ascii="仿宋" w:hAnsi="仿宋" w:eastAsia="仿宋" w:cs="仿宋"/>
          <w:sz w:val="32"/>
          <w:szCs w:val="32"/>
        </w:rPr>
        <w:t>10.</w:t>
      </w:r>
      <w:r>
        <w:rPr>
          <w:rFonts w:hint="eastAsia" w:ascii="仿宋" w:hAnsi="仿宋" w:eastAsia="仿宋" w:cs="仿宋"/>
          <w:sz w:val="32"/>
          <w:szCs w:val="32"/>
        </w:rPr>
        <w:t>着力减轻学生过重课业负担。落实中央提出的“着力解决中小学生课业负担重，择校热、大班额等突出问题”的要求，督促学校提高课堂质量，针对性地为有需求的学生提高个性化教学内容，坚决遏制极少数教师热衷课外家教，加重学生和家长负担、谋取不当利益的行为。</w:t>
      </w:r>
    </w:p>
    <w:p w14:paraId="26D6ADAD">
      <w:pPr>
        <w:pStyle w:val="19"/>
        <w:ind w:firstLine="643"/>
        <w:rPr>
          <w:rFonts w:ascii="仿宋" w:hAnsi="仿宋" w:eastAsia="仿宋" w:cs="仿宋"/>
          <w:b/>
          <w:sz w:val="32"/>
          <w:szCs w:val="32"/>
        </w:rPr>
      </w:pPr>
      <w:r>
        <w:rPr>
          <w:rFonts w:ascii="仿宋" w:hAnsi="仿宋" w:eastAsia="仿宋" w:cs="仿宋"/>
          <w:b/>
          <w:sz w:val="32"/>
          <w:szCs w:val="32"/>
        </w:rPr>
        <w:t>3</w:t>
      </w:r>
      <w:r>
        <w:rPr>
          <w:rFonts w:hint="eastAsia" w:ascii="仿宋" w:hAnsi="仿宋" w:eastAsia="仿宋" w:cs="仿宋"/>
          <w:b/>
          <w:sz w:val="32"/>
          <w:szCs w:val="32"/>
        </w:rPr>
        <w:t>、预算资金安排及资金支出情况。</w:t>
      </w:r>
    </w:p>
    <w:p w14:paraId="03C74359">
      <w:pPr>
        <w:pStyle w:val="19"/>
        <w:ind w:firstLine="640"/>
        <w:rPr>
          <w:rFonts w:ascii="仿宋" w:hAnsi="仿宋" w:eastAsia="仿宋" w:cs="仿宋"/>
          <w:sz w:val="32"/>
          <w:szCs w:val="32"/>
        </w:rPr>
      </w:pPr>
      <w:r>
        <w:rPr>
          <w:rFonts w:ascii="仿宋" w:hAnsi="仿宋" w:eastAsia="仿宋" w:cs="仿宋"/>
          <w:sz w:val="32"/>
          <w:szCs w:val="32"/>
        </w:rPr>
        <w:t>2020</w:t>
      </w:r>
      <w:r>
        <w:rPr>
          <w:rFonts w:hint="eastAsia" w:ascii="仿宋" w:hAnsi="仿宋" w:eastAsia="仿宋" w:cs="仿宋"/>
          <w:sz w:val="32"/>
          <w:szCs w:val="32"/>
        </w:rPr>
        <w:t>年教育预算资金安排3159.3547万元，其中一、一般公共预算财政拨款3159.3547万元；支出3159.3547万元，其中工资福利支出2118.4101万元，商品和服务支出869.45万元，对个人和家庭的补助支出171.4946万元，基本性支出0万元。</w:t>
      </w:r>
    </w:p>
    <w:p w14:paraId="1B854173">
      <w:pPr>
        <w:ind w:left="643"/>
        <w:rPr>
          <w:rFonts w:ascii="仿宋" w:hAnsi="仿宋" w:eastAsia="仿宋" w:cs="仿宋"/>
          <w:sz w:val="32"/>
          <w:szCs w:val="32"/>
        </w:rPr>
      </w:pPr>
      <w:r>
        <w:rPr>
          <w:rFonts w:hint="eastAsia" w:ascii="仿宋" w:hAnsi="仿宋" w:eastAsia="仿宋" w:cs="仿宋"/>
          <w:b/>
          <w:sz w:val="32"/>
          <w:szCs w:val="32"/>
        </w:rPr>
        <w:t>二、预算绩效管理开展及整体绩效实现情况。</w:t>
      </w:r>
      <w:r>
        <w:rPr>
          <w:rFonts w:ascii="仿宋" w:hAnsi="仿宋" w:eastAsia="仿宋" w:cs="仿宋"/>
          <w:sz w:val="32"/>
          <w:szCs w:val="32"/>
        </w:rPr>
        <w:t xml:space="preserve"> </w:t>
      </w:r>
    </w:p>
    <w:p w14:paraId="15654E4C">
      <w:pPr>
        <w:pStyle w:val="7"/>
        <w:shd w:val="clear" w:color="auto" w:fill="FFFFFF"/>
        <w:spacing w:before="0" w:beforeAutospacing="0" w:after="0" w:afterAutospacing="0" w:line="450" w:lineRule="atLeast"/>
        <w:ind w:firstLine="640" w:firstLineChars="200"/>
        <w:rPr>
          <w:rFonts w:ascii="仿宋" w:hAnsi="仿宋" w:eastAsia="仿宋" w:cs="仿宋"/>
          <w:kern w:val="2"/>
          <w:sz w:val="32"/>
          <w:szCs w:val="32"/>
        </w:rPr>
      </w:pPr>
      <w:r>
        <w:rPr>
          <w:rFonts w:ascii="仿宋" w:hAnsi="仿宋" w:eastAsia="仿宋" w:cs="仿宋"/>
          <w:kern w:val="2"/>
          <w:sz w:val="32"/>
          <w:szCs w:val="32"/>
        </w:rPr>
        <w:t>2020</w:t>
      </w:r>
      <w:r>
        <w:rPr>
          <w:rFonts w:hint="eastAsia" w:ascii="仿宋" w:hAnsi="仿宋" w:eastAsia="仿宋" w:cs="仿宋"/>
          <w:kern w:val="2"/>
          <w:sz w:val="32"/>
          <w:szCs w:val="32"/>
        </w:rPr>
        <w:t>年，我学区按照省市县的考核要求，积极开展预算绩效管理工作，实现预算绩效管理全过程化。县本级一般公共预算资金的绩效目标、绩效监控、绩效自评、整体支出覆盖率分别为</w:t>
      </w:r>
      <w:r>
        <w:rPr>
          <w:rFonts w:ascii="仿宋" w:hAnsi="仿宋" w:eastAsia="仿宋" w:cs="仿宋"/>
          <w:kern w:val="2"/>
          <w:sz w:val="32"/>
          <w:szCs w:val="32"/>
        </w:rPr>
        <w:t>99.12%</w:t>
      </w:r>
      <w:r>
        <w:rPr>
          <w:rFonts w:hint="eastAsia" w:ascii="仿宋" w:hAnsi="仿宋" w:eastAsia="仿宋" w:cs="仿宋"/>
          <w:kern w:val="2"/>
          <w:sz w:val="32"/>
          <w:szCs w:val="32"/>
        </w:rPr>
        <w:t>、</w:t>
      </w:r>
      <w:r>
        <w:rPr>
          <w:rFonts w:ascii="仿宋" w:hAnsi="仿宋" w:eastAsia="仿宋" w:cs="仿宋"/>
          <w:kern w:val="2"/>
          <w:sz w:val="32"/>
          <w:szCs w:val="32"/>
        </w:rPr>
        <w:t>99.12%</w:t>
      </w:r>
      <w:r>
        <w:rPr>
          <w:rFonts w:hint="eastAsia" w:ascii="仿宋" w:hAnsi="仿宋" w:eastAsia="仿宋" w:cs="仿宋"/>
          <w:kern w:val="2"/>
          <w:sz w:val="32"/>
          <w:szCs w:val="32"/>
        </w:rPr>
        <w:t>、</w:t>
      </w:r>
      <w:r>
        <w:rPr>
          <w:rFonts w:ascii="仿宋" w:hAnsi="仿宋" w:eastAsia="仿宋" w:cs="仿宋"/>
          <w:kern w:val="2"/>
          <w:sz w:val="32"/>
          <w:szCs w:val="32"/>
        </w:rPr>
        <w:t>92.45%</w:t>
      </w:r>
      <w:r>
        <w:rPr>
          <w:rFonts w:hint="eastAsia" w:ascii="仿宋" w:hAnsi="仿宋" w:eastAsia="仿宋" w:cs="仿宋"/>
          <w:kern w:val="2"/>
          <w:sz w:val="32"/>
          <w:szCs w:val="32"/>
        </w:rPr>
        <w:t>、</w:t>
      </w:r>
      <w:r>
        <w:rPr>
          <w:rFonts w:ascii="仿宋" w:hAnsi="仿宋" w:eastAsia="仿宋" w:cs="仿宋"/>
          <w:kern w:val="2"/>
          <w:sz w:val="32"/>
          <w:szCs w:val="32"/>
        </w:rPr>
        <w:t>0.6%</w:t>
      </w:r>
      <w:r>
        <w:rPr>
          <w:rFonts w:hint="eastAsia" w:ascii="仿宋" w:hAnsi="仿宋" w:eastAsia="仿宋" w:cs="仿宋"/>
          <w:kern w:val="2"/>
          <w:sz w:val="32"/>
          <w:szCs w:val="32"/>
        </w:rPr>
        <w:t>。乘以各项相应权重，我学区</w:t>
      </w:r>
      <w:r>
        <w:rPr>
          <w:rFonts w:ascii="仿宋" w:hAnsi="仿宋" w:eastAsia="仿宋" w:cs="仿宋"/>
          <w:kern w:val="2"/>
          <w:sz w:val="32"/>
          <w:szCs w:val="32"/>
        </w:rPr>
        <w:t>2020</w:t>
      </w:r>
      <w:r>
        <w:rPr>
          <w:rFonts w:hint="eastAsia" w:ascii="仿宋" w:hAnsi="仿宋" w:eastAsia="仿宋" w:cs="仿宋"/>
          <w:kern w:val="2"/>
          <w:sz w:val="32"/>
          <w:szCs w:val="32"/>
        </w:rPr>
        <w:t>年的财政资金绩效覆盖率为</w:t>
      </w:r>
      <w:r>
        <w:rPr>
          <w:rFonts w:ascii="仿宋" w:hAnsi="仿宋" w:eastAsia="仿宋" w:cs="仿宋"/>
          <w:kern w:val="2"/>
          <w:sz w:val="32"/>
          <w:szCs w:val="32"/>
        </w:rPr>
        <w:t>93%</w:t>
      </w:r>
      <w:r>
        <w:rPr>
          <w:rFonts w:hint="eastAsia" w:ascii="仿宋" w:hAnsi="仿宋" w:eastAsia="仿宋" w:cs="仿宋"/>
          <w:kern w:val="2"/>
          <w:sz w:val="32"/>
          <w:szCs w:val="32"/>
        </w:rPr>
        <w:t>。　</w:t>
      </w:r>
    </w:p>
    <w:p w14:paraId="3FCF975D">
      <w:pPr>
        <w:pStyle w:val="7"/>
        <w:shd w:val="clear" w:color="auto" w:fill="FFFFFF"/>
        <w:spacing w:before="0" w:beforeAutospacing="0" w:after="0" w:afterAutospacing="0" w:line="450" w:lineRule="atLeast"/>
        <w:ind w:firstLine="640" w:firstLineChars="200"/>
        <w:rPr>
          <w:sz w:val="32"/>
          <w:szCs w:val="32"/>
        </w:rPr>
      </w:pPr>
      <w:r>
        <w:rPr>
          <w:rFonts w:hint="eastAsia"/>
          <w:kern w:val="2"/>
          <w:sz w:val="32"/>
          <w:szCs w:val="32"/>
        </w:rPr>
        <w:t>　</w:t>
      </w:r>
      <w:r>
        <w:rPr>
          <w:rFonts w:hint="eastAsia"/>
          <w:b/>
          <w:sz w:val="32"/>
          <w:szCs w:val="32"/>
        </w:rPr>
        <w:t>三、绩效评价的组织实施</w:t>
      </w:r>
      <w:r>
        <w:rPr>
          <w:rFonts w:hint="eastAsia"/>
          <w:sz w:val="32"/>
          <w:szCs w:val="32"/>
        </w:rPr>
        <w:t>情况。</w:t>
      </w:r>
    </w:p>
    <w:p w14:paraId="0004B780">
      <w:pPr>
        <w:ind w:firstLine="640" w:firstLineChars="200"/>
        <w:rPr>
          <w:rFonts w:ascii="仿宋" w:hAnsi="仿宋" w:eastAsia="仿宋" w:cs="仿宋"/>
          <w:sz w:val="32"/>
          <w:szCs w:val="32"/>
        </w:rPr>
      </w:pPr>
      <w:r>
        <w:rPr>
          <w:rFonts w:hint="eastAsia" w:ascii="仿宋" w:hAnsi="仿宋" w:eastAsia="仿宋" w:cs="仿宋"/>
          <w:sz w:val="32"/>
          <w:szCs w:val="32"/>
        </w:rPr>
        <w:t>绩效自评的流程包括制定工作方案，填报项目自评表以及撰写绩效评价报告</w:t>
      </w:r>
    </w:p>
    <w:p w14:paraId="69D37D55">
      <w:pPr>
        <w:ind w:left="640"/>
        <w:rPr>
          <w:rFonts w:ascii="仿宋" w:hAnsi="仿宋" w:eastAsia="仿宋" w:cs="仿宋"/>
          <w:b/>
          <w:sz w:val="32"/>
          <w:szCs w:val="32"/>
        </w:rPr>
      </w:pPr>
      <w:r>
        <w:rPr>
          <w:rFonts w:hint="eastAsia" w:ascii="仿宋" w:hAnsi="仿宋" w:eastAsia="仿宋" w:cs="仿宋"/>
          <w:b/>
          <w:sz w:val="32"/>
          <w:szCs w:val="32"/>
        </w:rPr>
        <w:t>四、各项绩效目标的实现程度及差异性原因分析。</w:t>
      </w:r>
    </w:p>
    <w:p w14:paraId="09308609">
      <w:pPr>
        <w:ind w:firstLine="640" w:firstLineChars="200"/>
        <w:rPr>
          <w:rFonts w:ascii="仿宋" w:hAnsi="仿宋" w:eastAsia="仿宋" w:cs="仿宋"/>
          <w:b/>
          <w:sz w:val="32"/>
          <w:szCs w:val="32"/>
          <w:highlight w:val="yellow"/>
        </w:rPr>
      </w:pPr>
      <w:r>
        <w:rPr>
          <w:rFonts w:hint="eastAsia" w:ascii="仿宋" w:hAnsi="仿宋" w:eastAsia="仿宋" w:cs="仿宋"/>
          <w:sz w:val="32"/>
          <w:szCs w:val="32"/>
        </w:rPr>
        <w:t>加强项目开展进度的跟踪，开展项目绩效评价，确保项目绩效目标的完成。</w:t>
      </w:r>
    </w:p>
    <w:p w14:paraId="07EA59E4">
      <w:pPr>
        <w:ind w:left="643"/>
        <w:rPr>
          <w:rFonts w:ascii="仿宋" w:hAnsi="仿宋" w:eastAsia="仿宋" w:cs="仿宋"/>
          <w:b/>
          <w:sz w:val="32"/>
          <w:szCs w:val="32"/>
        </w:rPr>
      </w:pPr>
      <w:r>
        <w:rPr>
          <w:rFonts w:hint="eastAsia" w:ascii="仿宋" w:hAnsi="仿宋" w:eastAsia="仿宋" w:cs="仿宋"/>
          <w:b/>
          <w:sz w:val="32"/>
          <w:szCs w:val="32"/>
        </w:rPr>
        <w:t>五、存在问题、采取的纠偏措施及改进绩效管理建议。</w:t>
      </w:r>
    </w:p>
    <w:p w14:paraId="5F89817B">
      <w:pPr>
        <w:ind w:firstLine="640" w:firstLineChars="200"/>
        <w:rPr>
          <w:rFonts w:ascii="仿宋" w:hAnsi="仿宋" w:eastAsia="仿宋" w:cs="仿宋"/>
          <w:sz w:val="32"/>
          <w:szCs w:val="32"/>
        </w:rPr>
      </w:pPr>
      <w:r>
        <w:rPr>
          <w:rFonts w:hint="eastAsia" w:ascii="仿宋" w:hAnsi="仿宋" w:eastAsia="仿宋" w:cs="仿宋"/>
          <w:sz w:val="32"/>
          <w:szCs w:val="32"/>
        </w:rPr>
        <w:t>根据本次绩效评价情况，存在预算绩效申报时，编制的项目自评指标体系不够精细，绩效目标不具体，绩效目标未完全细化，分解工作任务不够具体，部分绩效指标不清晰，在经费支出过程中经济功能精确度有待提高。针对上述问题，在今后的预算绩效申报时，需相关业务处室将全年工作任务细化分解为具体的工作目标，并尽量采取定量的方式制定清晰、可衡量的绩效指标，提高项目使用经济功能精确度。</w:t>
      </w:r>
    </w:p>
    <w:p w14:paraId="50EFEA8E">
      <w:pPr>
        <w:ind w:left="643"/>
        <w:rPr>
          <w:rFonts w:ascii="仿宋" w:hAnsi="仿宋" w:eastAsia="仿宋" w:cs="仿宋"/>
          <w:b/>
          <w:sz w:val="32"/>
          <w:szCs w:val="32"/>
        </w:rPr>
      </w:pPr>
      <w:r>
        <w:rPr>
          <w:rFonts w:hint="eastAsia" w:ascii="仿宋" w:hAnsi="仿宋" w:eastAsia="仿宋" w:cs="仿宋"/>
          <w:b/>
          <w:sz w:val="32"/>
          <w:szCs w:val="32"/>
        </w:rPr>
        <w:t>六、其他需要说明的问题。</w:t>
      </w:r>
    </w:p>
    <w:p w14:paraId="2EC7762A">
      <w:pPr>
        <w:ind w:firstLine="640" w:firstLineChars="200"/>
        <w:rPr>
          <w:rFonts w:ascii="仿宋" w:hAnsi="仿宋" w:eastAsia="仿宋" w:cs="仿宋"/>
          <w:sz w:val="32"/>
          <w:szCs w:val="32"/>
        </w:rPr>
      </w:pPr>
      <w:r>
        <w:rPr>
          <w:rFonts w:hint="eastAsia" w:ascii="仿宋" w:hAnsi="仿宋" w:eastAsia="仿宋" w:cs="仿宋"/>
          <w:sz w:val="32"/>
          <w:szCs w:val="32"/>
        </w:rPr>
        <w:t>无</w:t>
      </w:r>
    </w:p>
    <w:p w14:paraId="649D1FE8">
      <w:pPr>
        <w:rPr>
          <w:rFonts w:ascii="仿宋" w:hAnsi="仿宋" w:eastAsia="仿宋" w:cs="仿宋"/>
          <w:sz w:val="32"/>
          <w:szCs w:val="32"/>
        </w:rPr>
      </w:pPr>
    </w:p>
    <w:sectPr>
      <w:footerReference r:id="rId3" w:type="default"/>
      <w:footerReference r:id="rId4" w:type="even"/>
      <w:pgSz w:w="11906" w:h="16838"/>
      <w:pgMar w:top="1985" w:right="1418" w:bottom="1985" w:left="1418" w:header="851" w:footer="1701" w:gutter="0"/>
      <w:cols w:space="425"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F18B8">
    <w:pPr>
      <w:pStyle w:val="5"/>
      <w:framePr w:wrap="around" w:vAnchor="text" w:hAnchor="margin" w:xAlign="outside" w:y="1"/>
      <w:rPr>
        <w:rStyle w:val="11"/>
        <w:rFonts w:ascii="宋体" w:hAnsi="宋体" w:eastAsia="宋体"/>
        <w:sz w:val="28"/>
        <w:szCs w:val="28"/>
      </w:rPr>
    </w:pPr>
    <w:r>
      <w:rPr>
        <w:rStyle w:val="11"/>
        <w:rFonts w:hint="eastAsia" w:ascii="宋体" w:hAnsi="宋体" w:eastAsia="宋体"/>
        <w:sz w:val="28"/>
        <w:szCs w:val="28"/>
      </w:rPr>
      <w:t>-</w:t>
    </w:r>
    <w:r>
      <w:rPr>
        <w:rStyle w:val="11"/>
        <w:rFonts w:ascii="宋体" w:hAnsi="宋体" w:eastAsia="宋体"/>
        <w:sz w:val="28"/>
        <w:szCs w:val="28"/>
      </w:rPr>
      <w:fldChar w:fldCharType="begin"/>
    </w:r>
    <w:r>
      <w:rPr>
        <w:rStyle w:val="11"/>
        <w:rFonts w:ascii="宋体" w:hAnsi="宋体" w:eastAsia="宋体"/>
        <w:sz w:val="28"/>
        <w:szCs w:val="28"/>
      </w:rPr>
      <w:instrText xml:space="preserve">PAGE  </w:instrText>
    </w:r>
    <w:r>
      <w:rPr>
        <w:rStyle w:val="11"/>
        <w:rFonts w:ascii="宋体" w:hAnsi="宋体" w:eastAsia="宋体"/>
        <w:sz w:val="28"/>
        <w:szCs w:val="28"/>
      </w:rPr>
      <w:fldChar w:fldCharType="separate"/>
    </w:r>
    <w:r>
      <w:rPr>
        <w:rStyle w:val="11"/>
        <w:rFonts w:ascii="宋体" w:hAnsi="宋体" w:eastAsia="宋体"/>
        <w:sz w:val="28"/>
        <w:szCs w:val="28"/>
      </w:rPr>
      <w:t>8</w:t>
    </w:r>
    <w:r>
      <w:rPr>
        <w:rStyle w:val="11"/>
        <w:rFonts w:ascii="宋体" w:hAnsi="宋体" w:eastAsia="宋体"/>
        <w:sz w:val="28"/>
        <w:szCs w:val="28"/>
      </w:rPr>
      <w:fldChar w:fldCharType="end"/>
    </w:r>
    <w:r>
      <w:rPr>
        <w:rStyle w:val="11"/>
        <w:rFonts w:hint="eastAsia" w:ascii="宋体" w:hAnsi="宋体" w:eastAsia="宋体"/>
        <w:sz w:val="28"/>
        <w:szCs w:val="28"/>
      </w:rPr>
      <w:t>-</w:t>
    </w:r>
  </w:p>
  <w:p w14:paraId="6FE6463A">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23C5C">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14:paraId="3098CC2A">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HorizontalSpacing w:val="105"/>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42933"/>
    <w:rsid w:val="00002F2C"/>
    <w:rsid w:val="000070A8"/>
    <w:rsid w:val="00016CA4"/>
    <w:rsid w:val="000324AE"/>
    <w:rsid w:val="00042933"/>
    <w:rsid w:val="0008033E"/>
    <w:rsid w:val="0008759D"/>
    <w:rsid w:val="00094F2B"/>
    <w:rsid w:val="000B0A83"/>
    <w:rsid w:val="000B6322"/>
    <w:rsid w:val="000C2CC1"/>
    <w:rsid w:val="000E4A5A"/>
    <w:rsid w:val="00103547"/>
    <w:rsid w:val="0017068B"/>
    <w:rsid w:val="00185A3C"/>
    <w:rsid w:val="00192D5A"/>
    <w:rsid w:val="001C59B3"/>
    <w:rsid w:val="001E0886"/>
    <w:rsid w:val="001F7E31"/>
    <w:rsid w:val="00201973"/>
    <w:rsid w:val="002071BC"/>
    <w:rsid w:val="00225AE6"/>
    <w:rsid w:val="00235F0F"/>
    <w:rsid w:val="00255783"/>
    <w:rsid w:val="00290BA1"/>
    <w:rsid w:val="002A6AEA"/>
    <w:rsid w:val="002F2268"/>
    <w:rsid w:val="003C50C2"/>
    <w:rsid w:val="0041099F"/>
    <w:rsid w:val="00436A1D"/>
    <w:rsid w:val="004379D7"/>
    <w:rsid w:val="004516FC"/>
    <w:rsid w:val="004A68B1"/>
    <w:rsid w:val="004B64F3"/>
    <w:rsid w:val="004E3B64"/>
    <w:rsid w:val="004F7327"/>
    <w:rsid w:val="005020C5"/>
    <w:rsid w:val="00567FE6"/>
    <w:rsid w:val="0058162A"/>
    <w:rsid w:val="005B3616"/>
    <w:rsid w:val="005E12FA"/>
    <w:rsid w:val="00683167"/>
    <w:rsid w:val="006A5056"/>
    <w:rsid w:val="006E64C9"/>
    <w:rsid w:val="007048FF"/>
    <w:rsid w:val="00712100"/>
    <w:rsid w:val="0071700D"/>
    <w:rsid w:val="00742652"/>
    <w:rsid w:val="00772600"/>
    <w:rsid w:val="007D5D41"/>
    <w:rsid w:val="007F01F9"/>
    <w:rsid w:val="00856BA1"/>
    <w:rsid w:val="00867620"/>
    <w:rsid w:val="008709E0"/>
    <w:rsid w:val="008A6A10"/>
    <w:rsid w:val="008A6A31"/>
    <w:rsid w:val="00904AF4"/>
    <w:rsid w:val="00905542"/>
    <w:rsid w:val="00917700"/>
    <w:rsid w:val="00956F74"/>
    <w:rsid w:val="009B0B5F"/>
    <w:rsid w:val="009B7F2F"/>
    <w:rsid w:val="009C04DA"/>
    <w:rsid w:val="009C4C62"/>
    <w:rsid w:val="009E3627"/>
    <w:rsid w:val="009F53E7"/>
    <w:rsid w:val="00A11BF8"/>
    <w:rsid w:val="00A14A33"/>
    <w:rsid w:val="00A6449D"/>
    <w:rsid w:val="00A768DB"/>
    <w:rsid w:val="00AA09C8"/>
    <w:rsid w:val="00AD5F30"/>
    <w:rsid w:val="00B0681D"/>
    <w:rsid w:val="00B25113"/>
    <w:rsid w:val="00B4371D"/>
    <w:rsid w:val="00B9023F"/>
    <w:rsid w:val="00BC1FDC"/>
    <w:rsid w:val="00BD0FD8"/>
    <w:rsid w:val="00C44804"/>
    <w:rsid w:val="00C6362A"/>
    <w:rsid w:val="00C81363"/>
    <w:rsid w:val="00CA0206"/>
    <w:rsid w:val="00CB27A5"/>
    <w:rsid w:val="00CD55ED"/>
    <w:rsid w:val="00CD63C0"/>
    <w:rsid w:val="00CE62A0"/>
    <w:rsid w:val="00D21F0C"/>
    <w:rsid w:val="00D366C1"/>
    <w:rsid w:val="00D4480C"/>
    <w:rsid w:val="00D877F7"/>
    <w:rsid w:val="00DB2D43"/>
    <w:rsid w:val="00E266F1"/>
    <w:rsid w:val="00EB16A8"/>
    <w:rsid w:val="00EC7904"/>
    <w:rsid w:val="00F6481E"/>
    <w:rsid w:val="00F72E93"/>
    <w:rsid w:val="00F87A11"/>
    <w:rsid w:val="00FB7E01"/>
    <w:rsid w:val="00FE5F4C"/>
    <w:rsid w:val="00FF39F6"/>
    <w:rsid w:val="05374814"/>
    <w:rsid w:val="0F8F6BFC"/>
    <w:rsid w:val="30D91D3B"/>
    <w:rsid w:val="3791647A"/>
    <w:rsid w:val="455969D8"/>
    <w:rsid w:val="526A3656"/>
    <w:rsid w:val="5B2F3725"/>
    <w:rsid w:val="5D643D56"/>
    <w:rsid w:val="649D3310"/>
    <w:rsid w:val="69BD0A47"/>
    <w:rsid w:val="71A911C9"/>
    <w:rsid w:val="7CCC21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spacing w:before="100" w:beforeAutospacing="1" w:after="100" w:afterAutospacing="1"/>
      <w:jc w:val="left"/>
      <w:outlineLvl w:val="0"/>
    </w:pPr>
    <w:rPr>
      <w:rFonts w:hint="eastAsia" w:ascii="宋体" w:hAnsi="宋体" w:eastAsia="宋体" w:cs="宋体"/>
      <w:b/>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99"/>
    <w:pPr>
      <w:autoSpaceDE w:val="0"/>
      <w:autoSpaceDN w:val="0"/>
      <w:adjustRightInd w:val="0"/>
      <w:snapToGrid w:val="0"/>
      <w:spacing w:line="588" w:lineRule="atLeast"/>
    </w:pPr>
    <w:rPr>
      <w:rFonts w:ascii="宋体" w:hAnsi="宋体" w:eastAsia="仿宋_GB2312"/>
      <w:spacing w:val="-2"/>
      <w:sz w:val="32"/>
      <w:szCs w:val="24"/>
    </w:rPr>
  </w:style>
  <w:style w:type="paragraph" w:styleId="4">
    <w:name w:val="Plain Text"/>
    <w:basedOn w:val="1"/>
    <w:link w:val="14"/>
    <w:qFormat/>
    <w:uiPriority w:val="0"/>
    <w:rPr>
      <w:rFonts w:ascii="宋体" w:hAnsi="Courier New" w:eastAsia="宋体" w:cs="Courier New"/>
      <w:szCs w:val="21"/>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page number"/>
    <w:basedOn w:val="9"/>
    <w:unhideWhenUsed/>
    <w:qFormat/>
    <w:uiPriority w:val="99"/>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纯文本 字符"/>
    <w:basedOn w:val="9"/>
    <w:link w:val="4"/>
    <w:qFormat/>
    <w:uiPriority w:val="0"/>
    <w:rPr>
      <w:rFonts w:ascii="宋体" w:hAnsi="Courier New" w:eastAsia="宋体" w:cs="Courier New"/>
      <w:szCs w:val="21"/>
    </w:rPr>
  </w:style>
  <w:style w:type="character" w:customStyle="1" w:styleId="15">
    <w:name w:val="标题 1 字符"/>
    <w:basedOn w:val="9"/>
    <w:link w:val="2"/>
    <w:qFormat/>
    <w:uiPriority w:val="9"/>
    <w:rPr>
      <w:rFonts w:ascii="宋体" w:hAnsi="宋体" w:eastAsia="宋体" w:cs="宋体"/>
      <w:b/>
      <w:kern w:val="44"/>
      <w:sz w:val="48"/>
      <w:szCs w:val="48"/>
    </w:rPr>
  </w:style>
  <w:style w:type="character" w:customStyle="1" w:styleId="16">
    <w:name w:val="font31"/>
    <w:basedOn w:val="9"/>
    <w:qFormat/>
    <w:uiPriority w:val="0"/>
    <w:rPr>
      <w:rFonts w:hint="eastAsia" w:ascii="宋体" w:hAnsi="宋体" w:eastAsia="宋体" w:cs="宋体"/>
      <w:b/>
      <w:color w:val="000000"/>
      <w:sz w:val="36"/>
      <w:szCs w:val="36"/>
      <w:u w:val="none"/>
    </w:rPr>
  </w:style>
  <w:style w:type="paragraph" w:customStyle="1" w:styleId="17">
    <w:name w:val="p05"/>
    <w:basedOn w:val="1"/>
    <w:qFormat/>
    <w:uiPriority w:val="0"/>
    <w:pPr>
      <w:widowControl/>
      <w:spacing w:line="408" w:lineRule="auto"/>
      <w:ind w:left="1"/>
    </w:pPr>
    <w:rPr>
      <w:rFonts w:ascii="Times New Roman" w:hAnsi="Times New Roman" w:eastAsia="Times New Roman" w:cs="Times New Roman"/>
      <w:color w:val="000000"/>
      <w:kern w:val="0"/>
      <w:szCs w:val="20"/>
      <w:lang w:eastAsia="en-US"/>
    </w:rPr>
  </w:style>
  <w:style w:type="paragraph" w:customStyle="1" w:styleId="18">
    <w:name w:val="p01"/>
    <w:basedOn w:val="1"/>
    <w:qFormat/>
    <w:uiPriority w:val="0"/>
    <w:pPr>
      <w:widowControl/>
      <w:spacing w:line="408" w:lineRule="auto"/>
      <w:ind w:left="1"/>
    </w:pPr>
    <w:rPr>
      <w:rFonts w:ascii="Times New Roman" w:hAnsi="Times New Roman" w:eastAsia="Times New Roman" w:cs="Times New Roman"/>
      <w:color w:val="000000"/>
      <w:kern w:val="0"/>
      <w:szCs w:val="20"/>
      <w:lang w:eastAsia="en-US"/>
    </w:rPr>
  </w:style>
  <w:style w:type="paragraph" w:customStyle="1" w:styleId="19">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11</Pages>
  <Words>7292</Words>
  <Characters>7695</Characters>
  <Lines>57</Lines>
  <Paragraphs>16</Paragraphs>
  <TotalTime>23</TotalTime>
  <ScaleCrop>false</ScaleCrop>
  <LinksUpToDate>false</LinksUpToDate>
  <CharactersWithSpaces>7737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2016-02-22T07:07:00Z</dcterms:created>
  <dc:creator>Administrator</dc:creator>
  <cp:lastModifiedBy>DODO</cp:lastModifiedBy>
  <cp:lastPrinted>2018-11-29T03:23:00Z</cp:lastPrinted>
  <dcterms:modified xsi:type="dcterms:W3CDTF">2025-05-30T11:47:43Z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eyJoZGlkIjoiZmI3MWQyODliMTk3ZGUxMTVkZGRiYjAxMDBiOTgwNGQiLCJ1c2VySWQiOiIzNjAyMjA0NjQifQ==</vt:lpwstr>
  </property>
  <property fmtid="{D5CDD505-2E9C-101B-9397-08002B2CF9AE}" pid="4" name="ICV">
    <vt:lpwstr>994F2BD9DEF14C60AC0348C7ADE6FECC_12</vt:lpwstr>
  </property>
</Properties>
</file>