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00293">
      <w:pPr>
        <w:spacing w:line="480" w:lineRule="exact"/>
        <w:rPr>
          <w:rFonts w:ascii="仿宋" w:hAnsi="仿宋" w:eastAsia="仿宋" w:cs="仿宋"/>
          <w:sz w:val="32"/>
          <w:szCs w:val="32"/>
          <w:shd w:val="clear" w:color="auto" w:fill="FFFFFF"/>
        </w:rPr>
      </w:pPr>
      <w:bookmarkStart w:id="0" w:name="_GoBack"/>
      <w:bookmarkEnd w:id="0"/>
      <w:r>
        <w:rPr>
          <w:rFonts w:hint="eastAsia" w:ascii="仿宋" w:hAnsi="仿宋" w:eastAsia="仿宋" w:cs="仿宋"/>
          <w:sz w:val="32"/>
          <w:szCs w:val="32"/>
          <w:shd w:val="clear" w:color="auto" w:fill="FFFFFF"/>
        </w:rPr>
        <w:t>附件6：</w:t>
      </w:r>
    </w:p>
    <w:p w14:paraId="2C74EB21">
      <w:pPr>
        <w:spacing w:line="480" w:lineRule="exact"/>
        <w:jc w:val="center"/>
        <w:rPr>
          <w:rFonts w:ascii="宋体" w:hAnsi="宋体" w:eastAsia="宋体" w:cs="宋体"/>
          <w:b/>
          <w:color w:val="000000"/>
          <w:sz w:val="44"/>
          <w:szCs w:val="44"/>
          <w:shd w:val="clear" w:color="auto" w:fill="FFFFFF"/>
        </w:rPr>
      </w:pPr>
      <w:r>
        <w:rPr>
          <w:rFonts w:hint="eastAsia" w:ascii="宋体" w:hAnsi="宋体"/>
          <w:b/>
          <w:sz w:val="44"/>
          <w:szCs w:val="44"/>
        </w:rPr>
        <w:t>郭桥学区部门整体支出绩效评价</w:t>
      </w:r>
      <w:r>
        <w:rPr>
          <w:rFonts w:hint="eastAsia" w:ascii="宋体" w:hAnsi="宋体" w:eastAsia="宋体" w:cs="宋体"/>
          <w:b/>
          <w:color w:val="000000"/>
          <w:sz w:val="44"/>
          <w:szCs w:val="44"/>
          <w:shd w:val="clear" w:color="auto" w:fill="FFFFFF"/>
        </w:rPr>
        <w:t>指标体系评分表</w:t>
      </w:r>
    </w:p>
    <w:p w14:paraId="4EE6354B">
      <w:pPr>
        <w:spacing w:line="480" w:lineRule="exact"/>
        <w:jc w:val="center"/>
        <w:rPr>
          <w:rFonts w:ascii="仿宋" w:hAnsi="仿宋" w:eastAsia="仿宋" w:cs="仿宋"/>
          <w:sz w:val="32"/>
          <w:szCs w:val="32"/>
        </w:rPr>
      </w:pPr>
    </w:p>
    <w:tbl>
      <w:tblPr>
        <w:tblStyle w:val="4"/>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72E16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9F2677F">
            <w:pPr>
              <w:spacing w:line="240" w:lineRule="exact"/>
              <w:ind w:firstLine="482" w:firstLineChars="200"/>
              <w:jc w:val="center"/>
              <w:rPr>
                <w:b/>
              </w:rPr>
            </w:pPr>
            <w:r>
              <w:rPr>
                <w:rFonts w:ascii="仿宋_GB2312" w:hAnsi="新宋体" w:eastAsia="仿宋_GB2312" w:cs="仿宋_GB2312"/>
                <w:b/>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1FF2B19">
            <w:pPr>
              <w:spacing w:line="240" w:lineRule="exact"/>
              <w:ind w:firstLine="482" w:firstLineChars="200"/>
              <w:jc w:val="center"/>
              <w:rPr>
                <w:b/>
              </w:rPr>
            </w:pPr>
            <w:r>
              <w:rPr>
                <w:rFonts w:ascii="仿宋_GB2312" w:hAnsi="新宋体" w:eastAsia="仿宋_GB2312" w:cs="仿宋_GB2312"/>
                <w:b/>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27DF87EB">
            <w:pPr>
              <w:spacing w:line="240" w:lineRule="exact"/>
              <w:ind w:firstLine="482" w:firstLineChars="200"/>
              <w:jc w:val="center"/>
              <w:rPr>
                <w:b/>
              </w:rPr>
            </w:pPr>
            <w:r>
              <w:rPr>
                <w:rFonts w:ascii="仿宋_GB2312" w:hAnsi="新宋体" w:eastAsia="仿宋_GB2312" w:cs="仿宋_GB2312"/>
                <w:b/>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42D16110">
            <w:pPr>
              <w:spacing w:line="240" w:lineRule="exact"/>
              <w:ind w:firstLine="482" w:firstLineChars="200"/>
              <w:jc w:val="center"/>
              <w:rPr>
                <w:b/>
              </w:rPr>
            </w:pPr>
            <w:r>
              <w:rPr>
                <w:rFonts w:ascii="仿宋_GB2312" w:hAnsi="新宋体" w:eastAsia="仿宋_GB2312" w:cs="仿宋_GB2312"/>
                <w:b/>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5406EBA5">
            <w:pPr>
              <w:spacing w:line="240" w:lineRule="exact"/>
              <w:rPr>
                <w:b/>
              </w:rPr>
            </w:pPr>
            <w:r>
              <w:rPr>
                <w:rFonts w:ascii="仿宋_GB2312" w:hAnsi="新宋体" w:eastAsia="仿宋_GB2312" w:cs="仿宋_GB2312"/>
                <w:b/>
                <w:sz w:val="24"/>
                <w:szCs w:val="24"/>
              </w:rPr>
              <w:t>得分</w:t>
            </w:r>
          </w:p>
        </w:tc>
      </w:tr>
      <w:tr w14:paraId="3125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AA493EF">
            <w:pPr>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03395FB">
            <w:pPr>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3064620">
            <w:pPr>
              <w:spacing w:line="240" w:lineRule="exact"/>
              <w:ind w:firstLine="482" w:firstLineChars="200"/>
              <w:jc w:val="center"/>
              <w:rPr>
                <w:b/>
              </w:rPr>
            </w:pPr>
            <w:r>
              <w:rPr>
                <w:rFonts w:ascii="仿宋_GB2312" w:hAnsi="新宋体" w:eastAsia="仿宋_GB2312" w:cs="仿宋_GB2312"/>
                <w:b/>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34408C03">
            <w:pPr>
              <w:spacing w:line="240" w:lineRule="exact"/>
              <w:ind w:firstLine="482" w:firstLineChars="200"/>
              <w:jc w:val="center"/>
              <w:rPr>
                <w:b/>
              </w:rPr>
            </w:pPr>
            <w:r>
              <w:rPr>
                <w:rFonts w:ascii="仿宋_GB2312" w:hAnsi="新宋体" w:eastAsia="仿宋_GB2312" w:cs="仿宋_GB2312"/>
                <w:b/>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4E259CA">
            <w:pPr>
              <w:ind w:firstLine="44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5E0E2E73">
            <w:pPr>
              <w:ind w:firstLine="440" w:firstLineChars="200"/>
              <w:rPr>
                <w:rFonts w:ascii="宋体"/>
                <w:szCs w:val="21"/>
              </w:rPr>
            </w:pPr>
          </w:p>
        </w:tc>
      </w:tr>
      <w:tr w14:paraId="79C6D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04603E2">
            <w:pPr>
              <w:spacing w:line="240" w:lineRule="exact"/>
              <w:ind w:firstLine="440" w:firstLineChars="200"/>
              <w:rPr>
                <w:szCs w:val="21"/>
              </w:rPr>
            </w:pPr>
            <w:r>
              <w:rPr>
                <w:rFonts w:ascii="仿宋_GB2312" w:hAnsi="新宋体" w:eastAsia="仿宋_GB2312" w:cs="仿宋_GB2312"/>
                <w:szCs w:val="21"/>
              </w:rPr>
              <w:t>投入（1</w:t>
            </w:r>
            <w:r>
              <w:rPr>
                <w:rFonts w:hint="eastAsia" w:ascii="仿宋_GB2312" w:hAnsi="新宋体" w:eastAsia="仿宋_GB2312" w:cs="仿宋_GB2312"/>
                <w:szCs w:val="21"/>
              </w:rPr>
              <w:t>0</w:t>
            </w:r>
            <w:r>
              <w:rPr>
                <w:rFonts w:ascii="仿宋_GB2312" w:hAnsi="新宋体" w:eastAsia="仿宋_GB2312" w:cs="仿宋_GB2312"/>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166FD10">
            <w:pPr>
              <w:spacing w:line="240" w:lineRule="exact"/>
              <w:ind w:firstLine="440" w:firstLineChars="200"/>
              <w:rPr>
                <w:szCs w:val="21"/>
              </w:rPr>
            </w:pPr>
            <w:r>
              <w:rPr>
                <w:rFonts w:hint="eastAsia" w:ascii="仿宋_GB2312" w:hAnsi="新宋体" w:eastAsia="仿宋_GB2312" w:cs="仿宋_GB2312"/>
                <w:szCs w:val="21"/>
              </w:rPr>
              <w:t>绩效</w:t>
            </w:r>
            <w:r>
              <w:rPr>
                <w:rFonts w:ascii="仿宋_GB2312" w:hAnsi="新宋体" w:eastAsia="仿宋_GB2312" w:cs="仿宋_GB2312"/>
                <w:szCs w:val="21"/>
              </w:rPr>
              <w:t>目标设定</w:t>
            </w:r>
            <w:r>
              <w:rPr>
                <w:rFonts w:hint="eastAsia" w:ascii="仿宋_GB2312" w:hAnsi="新宋体" w:eastAsia="仿宋_GB2312" w:cs="仿宋_GB2312"/>
                <w:szCs w:val="21"/>
              </w:rPr>
              <w:t>情况</w:t>
            </w:r>
          </w:p>
          <w:p w14:paraId="7C99BE65">
            <w:pPr>
              <w:spacing w:line="240" w:lineRule="exact"/>
              <w:ind w:firstLine="440" w:firstLineChars="200"/>
              <w:rPr>
                <w:color w:val="FF0000"/>
                <w:szCs w:val="21"/>
              </w:rPr>
            </w:pPr>
            <w:r>
              <w:rPr>
                <w:rFonts w:ascii="仿宋_GB2312" w:hAnsi="新宋体" w:eastAsia="仿宋_GB2312" w:cs="仿宋_GB2312"/>
                <w:szCs w:val="21"/>
              </w:rPr>
              <w:t>（5</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0310F93A">
            <w:pPr>
              <w:spacing w:line="240" w:lineRule="exact"/>
              <w:ind w:firstLine="440" w:firstLineChars="200"/>
              <w:rPr>
                <w:szCs w:val="21"/>
              </w:rPr>
            </w:pPr>
            <w:r>
              <w:rPr>
                <w:rFonts w:ascii="仿宋_GB2312" w:hAnsi="新宋体" w:eastAsia="仿宋_GB2312" w:cs="仿宋_GB2312"/>
                <w:szCs w:val="21"/>
              </w:rPr>
              <w:t>职责明确（1</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456C9251">
            <w:pPr>
              <w:spacing w:line="240" w:lineRule="exact"/>
              <w:ind w:firstLine="440" w:firstLineChars="200"/>
              <w:rPr>
                <w:szCs w:val="21"/>
              </w:rPr>
            </w:pPr>
            <w:r>
              <w:rPr>
                <w:rFonts w:ascii="仿宋_GB2312" w:hAnsi="新宋体" w:eastAsia="仿宋_GB2312" w:cs="仿宋_GB2312"/>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29937FFE">
            <w:pPr>
              <w:spacing w:line="240" w:lineRule="exact"/>
              <w:ind w:firstLine="440" w:firstLineChars="200"/>
              <w:rPr>
                <w:szCs w:val="21"/>
              </w:rPr>
            </w:pPr>
            <w:r>
              <w:rPr>
                <w:rFonts w:ascii="仿宋_GB2312" w:hAnsi="新宋体" w:eastAsia="仿宋_GB2312" w:cs="仿宋_GB2312"/>
                <w:szCs w:val="21"/>
              </w:rPr>
              <w:t>符合（1）；</w:t>
            </w:r>
          </w:p>
          <w:p w14:paraId="21B63323">
            <w:pPr>
              <w:spacing w:line="240" w:lineRule="exact"/>
              <w:ind w:firstLine="440" w:firstLineChars="200"/>
              <w:rPr>
                <w:szCs w:val="21"/>
              </w:rPr>
            </w:pPr>
            <w:r>
              <w:rPr>
                <w:rFonts w:ascii="仿宋_GB2312" w:hAnsi="新宋体" w:eastAsia="仿宋_GB2312" w:cs="仿宋_GB2312"/>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E27F432">
            <w:pPr>
              <w:spacing w:line="240" w:lineRule="exact"/>
              <w:ind w:firstLine="440" w:firstLineChars="200"/>
              <w:rPr>
                <w:szCs w:val="21"/>
              </w:rPr>
            </w:pPr>
            <w:r>
              <w:rPr>
                <w:rFonts w:hint="eastAsia"/>
                <w:szCs w:val="21"/>
              </w:rPr>
              <w:t>1</w:t>
            </w:r>
          </w:p>
        </w:tc>
      </w:tr>
      <w:tr w14:paraId="3622B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7AC0D4E">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C5C6E09">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C3945EF">
            <w:pPr>
              <w:spacing w:line="240" w:lineRule="exact"/>
              <w:ind w:firstLine="440" w:firstLineChars="200"/>
              <w:rPr>
                <w:szCs w:val="21"/>
              </w:rPr>
            </w:pPr>
            <w:r>
              <w:rPr>
                <w:rFonts w:ascii="仿宋_GB2312" w:hAnsi="新宋体" w:eastAsia="仿宋_GB2312" w:cs="仿宋_GB2312"/>
                <w:szCs w:val="21"/>
              </w:rPr>
              <w:t>活动合规性（2</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E679184">
            <w:pPr>
              <w:spacing w:line="240" w:lineRule="exact"/>
              <w:ind w:firstLine="440" w:firstLineChars="200"/>
              <w:rPr>
                <w:szCs w:val="21"/>
              </w:rPr>
            </w:pPr>
            <w:r>
              <w:rPr>
                <w:rFonts w:ascii="仿宋_GB2312" w:hAnsi="新宋体" w:eastAsia="仿宋_GB2312" w:cs="仿宋_GB2312"/>
                <w:szCs w:val="21"/>
              </w:rPr>
              <w:t>部门的活动是否在职责范围之内并符合部门中长期规划，用以反映和评价部门活动目标与部门履职、年度工作任务的相符性情况。</w:t>
            </w:r>
          </w:p>
          <w:p w14:paraId="5D3C4557">
            <w:pPr>
              <w:spacing w:line="240" w:lineRule="exact"/>
              <w:ind w:firstLine="440" w:firstLineChars="200"/>
              <w:rPr>
                <w:szCs w:val="21"/>
              </w:rPr>
            </w:pPr>
            <w:r>
              <w:rPr>
                <w:rFonts w:ascii="仿宋_GB2312" w:hAnsi="新宋体" w:eastAsia="仿宋_GB2312" w:cs="仿宋_GB2312"/>
                <w:szCs w:val="21"/>
              </w:rPr>
              <w:t>评价要点：</w:t>
            </w:r>
          </w:p>
          <w:p w14:paraId="58D95279">
            <w:pPr>
              <w:spacing w:line="240" w:lineRule="exact"/>
              <w:ind w:firstLine="440" w:firstLineChars="200"/>
              <w:rPr>
                <w:szCs w:val="21"/>
              </w:rPr>
            </w:pPr>
            <w:r>
              <w:rPr>
                <w:rFonts w:ascii="仿宋_GB2312" w:hAnsi="新宋体" w:eastAsia="仿宋_GB2312" w:cs="仿宋_GB2312"/>
                <w:szCs w:val="21"/>
              </w:rPr>
              <w:t>1.部门活动的设定在部门所确定的职责范围之内；</w:t>
            </w:r>
          </w:p>
          <w:p w14:paraId="389F179C">
            <w:pPr>
              <w:spacing w:line="240" w:lineRule="exact"/>
              <w:ind w:firstLine="440" w:firstLineChars="200"/>
              <w:rPr>
                <w:szCs w:val="21"/>
              </w:rPr>
            </w:pPr>
            <w:r>
              <w:rPr>
                <w:rFonts w:ascii="仿宋_GB2312" w:hAnsi="新宋体" w:eastAsia="仿宋_GB2312" w:cs="仿宋_GB2312"/>
                <w:szCs w:val="21"/>
              </w:rPr>
              <w:t>2.部门活动符合</w:t>
            </w:r>
            <w:r>
              <w:rPr>
                <w:rFonts w:hint="eastAsia" w:ascii="仿宋_GB2312" w:hAnsi="新宋体" w:eastAsia="仿宋_GB2312" w:cs="仿宋_GB2312"/>
                <w:szCs w:val="21"/>
              </w:rPr>
              <w:t>市</w:t>
            </w:r>
            <w:r>
              <w:rPr>
                <w:rFonts w:ascii="仿宋_GB2312" w:hAnsi="新宋体" w:eastAsia="仿宋_GB2312" w:cs="仿宋_GB2312"/>
                <w:szCs w:val="21"/>
              </w:rPr>
              <w:t>委、</w:t>
            </w:r>
            <w:r>
              <w:rPr>
                <w:rFonts w:hint="eastAsia" w:ascii="仿宋_GB2312" w:hAnsi="新宋体" w:eastAsia="仿宋_GB2312" w:cs="仿宋_GB2312"/>
                <w:szCs w:val="21"/>
              </w:rPr>
              <w:t>市</w:t>
            </w:r>
            <w:r>
              <w:rPr>
                <w:rFonts w:ascii="仿宋_GB2312" w:hAnsi="新宋体" w:eastAsia="仿宋_GB2312" w:cs="仿宋_GB2312"/>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66F84C70">
            <w:pPr>
              <w:spacing w:line="240" w:lineRule="exact"/>
              <w:ind w:firstLine="440" w:firstLineChars="200"/>
              <w:rPr>
                <w:szCs w:val="21"/>
              </w:rPr>
            </w:pPr>
            <w:r>
              <w:rPr>
                <w:rFonts w:ascii="仿宋_GB2312" w:hAnsi="新宋体" w:eastAsia="仿宋_GB2312" w:cs="仿宋_GB2312"/>
                <w:szCs w:val="21"/>
              </w:rPr>
              <w:t>全部符合（2）；</w:t>
            </w:r>
          </w:p>
          <w:p w14:paraId="4FB512E7">
            <w:pPr>
              <w:spacing w:line="240" w:lineRule="exact"/>
              <w:ind w:firstLine="440" w:firstLineChars="200"/>
              <w:rPr>
                <w:szCs w:val="21"/>
              </w:rPr>
            </w:pPr>
            <w:r>
              <w:rPr>
                <w:rFonts w:ascii="仿宋_GB2312" w:hAnsi="新宋体" w:eastAsia="仿宋_GB2312" w:cs="仿宋_GB2312"/>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89DCC21">
            <w:pPr>
              <w:spacing w:line="240" w:lineRule="exact"/>
              <w:ind w:firstLine="440" w:firstLineChars="200"/>
              <w:rPr>
                <w:szCs w:val="21"/>
              </w:rPr>
            </w:pPr>
            <w:r>
              <w:rPr>
                <w:rFonts w:hint="eastAsia"/>
                <w:szCs w:val="21"/>
              </w:rPr>
              <w:t>2</w:t>
            </w:r>
          </w:p>
        </w:tc>
      </w:tr>
      <w:tr w14:paraId="1E1B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38BD2AE">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8401CB2">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815FABC">
            <w:pPr>
              <w:spacing w:line="240" w:lineRule="exact"/>
              <w:ind w:firstLine="440" w:firstLineChars="200"/>
              <w:rPr>
                <w:szCs w:val="21"/>
              </w:rPr>
            </w:pPr>
            <w:r>
              <w:rPr>
                <w:rFonts w:ascii="仿宋_GB2312" w:hAnsi="新宋体" w:eastAsia="仿宋_GB2312" w:cs="仿宋_GB2312"/>
                <w:szCs w:val="21"/>
              </w:rPr>
              <w:t>活动合理性（2</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8D526E8">
            <w:pPr>
              <w:spacing w:line="240" w:lineRule="exact"/>
              <w:ind w:firstLine="440" w:firstLineChars="200"/>
              <w:rPr>
                <w:szCs w:val="21"/>
              </w:rPr>
            </w:pPr>
            <w:r>
              <w:rPr>
                <w:rFonts w:ascii="仿宋_GB2312" w:hAnsi="新宋体" w:eastAsia="仿宋_GB2312" w:cs="仿宋_GB2312"/>
                <w:szCs w:val="21"/>
              </w:rPr>
              <w:t>部门所设立的活动是否明确合理、活动的关键性指标设置是否可衡量，用以反映和评价部门活动目标设定的合理性。</w:t>
            </w:r>
          </w:p>
          <w:p w14:paraId="7E963856">
            <w:pPr>
              <w:spacing w:line="240" w:lineRule="exact"/>
              <w:ind w:firstLine="440" w:firstLineChars="200"/>
              <w:rPr>
                <w:szCs w:val="21"/>
              </w:rPr>
            </w:pPr>
            <w:r>
              <w:rPr>
                <w:rFonts w:ascii="仿宋_GB2312" w:hAnsi="新宋体" w:eastAsia="仿宋_GB2312" w:cs="仿宋_GB2312"/>
                <w:szCs w:val="21"/>
              </w:rPr>
              <w:t>评价要点：</w:t>
            </w:r>
          </w:p>
          <w:p w14:paraId="10E2B020">
            <w:pPr>
              <w:spacing w:line="240" w:lineRule="exact"/>
              <w:ind w:firstLine="440" w:firstLineChars="200"/>
              <w:rPr>
                <w:szCs w:val="21"/>
              </w:rPr>
            </w:pPr>
            <w:r>
              <w:rPr>
                <w:rFonts w:ascii="仿宋_GB2312" w:hAnsi="新宋体" w:eastAsia="仿宋_GB2312" w:cs="仿宋_GB2312"/>
                <w:szCs w:val="21"/>
              </w:rPr>
              <w:t>1.活动目标的设定是可量化的，可通过清晰、可衡量的关键指标值予以体现；</w:t>
            </w:r>
          </w:p>
          <w:p w14:paraId="03D2B5B7">
            <w:pPr>
              <w:spacing w:line="240" w:lineRule="exact"/>
              <w:ind w:firstLine="440" w:firstLineChars="200"/>
              <w:rPr>
                <w:szCs w:val="21"/>
              </w:rPr>
            </w:pPr>
            <w:r>
              <w:rPr>
                <w:rFonts w:ascii="仿宋_GB2312" w:hAnsi="新宋体" w:eastAsia="仿宋_GB2312" w:cs="仿宋_GB2312"/>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2932A8B2">
            <w:pPr>
              <w:spacing w:line="240" w:lineRule="exact"/>
              <w:ind w:firstLine="440" w:firstLineChars="200"/>
              <w:rPr>
                <w:szCs w:val="21"/>
              </w:rPr>
            </w:pPr>
            <w:r>
              <w:rPr>
                <w:rFonts w:ascii="仿宋_GB2312" w:hAnsi="新宋体" w:eastAsia="仿宋_GB2312" w:cs="仿宋_GB2312"/>
                <w:szCs w:val="21"/>
              </w:rPr>
              <w:t>全部符合（2）；</w:t>
            </w:r>
          </w:p>
          <w:p w14:paraId="39B1A8FE">
            <w:pPr>
              <w:spacing w:line="240" w:lineRule="exact"/>
              <w:ind w:firstLine="440" w:firstLineChars="200"/>
              <w:rPr>
                <w:szCs w:val="21"/>
              </w:rPr>
            </w:pPr>
            <w:r>
              <w:rPr>
                <w:rFonts w:ascii="仿宋_GB2312" w:hAnsi="新宋体" w:eastAsia="仿宋_GB2312" w:cs="仿宋_GB2312"/>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75D17CD">
            <w:pPr>
              <w:spacing w:line="240" w:lineRule="exact"/>
              <w:ind w:firstLine="440" w:firstLineChars="200"/>
              <w:rPr>
                <w:szCs w:val="21"/>
              </w:rPr>
            </w:pPr>
            <w:r>
              <w:rPr>
                <w:rFonts w:hint="eastAsia"/>
                <w:szCs w:val="21"/>
              </w:rPr>
              <w:t>2</w:t>
            </w:r>
          </w:p>
        </w:tc>
      </w:tr>
      <w:tr w14:paraId="26766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04315D">
            <w:pPr>
              <w:spacing w:line="240" w:lineRule="exact"/>
              <w:ind w:firstLine="44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38BEF811">
            <w:pPr>
              <w:spacing w:line="240" w:lineRule="exact"/>
              <w:ind w:firstLine="440" w:firstLineChars="200"/>
              <w:rPr>
                <w:szCs w:val="21"/>
              </w:rPr>
            </w:pPr>
            <w:r>
              <w:rPr>
                <w:rFonts w:ascii="仿宋_GB2312" w:hAnsi="新宋体" w:eastAsia="仿宋_GB2312" w:cs="仿宋_GB2312"/>
                <w:szCs w:val="21"/>
              </w:rPr>
              <w:t>预算配置</w:t>
            </w:r>
            <w:r>
              <w:rPr>
                <w:rFonts w:hint="eastAsia" w:ascii="仿宋_GB2312" w:hAnsi="新宋体" w:eastAsia="仿宋_GB2312" w:cs="仿宋_GB2312"/>
                <w:szCs w:val="21"/>
              </w:rPr>
              <w:t>情况</w:t>
            </w:r>
            <w:r>
              <w:rPr>
                <w:rFonts w:ascii="仿宋_GB2312" w:hAnsi="新宋体" w:eastAsia="仿宋_GB2312" w:cs="仿宋_GB2312"/>
                <w:szCs w:val="21"/>
              </w:rPr>
              <w:t>(</w:t>
            </w:r>
            <w:r>
              <w:rPr>
                <w:rFonts w:hint="eastAsia" w:ascii="仿宋_GB2312" w:hAnsi="新宋体" w:eastAsia="仿宋_GB2312" w:cs="仿宋_GB2312"/>
                <w:szCs w:val="21"/>
              </w:rPr>
              <w:t>5分</w:t>
            </w:r>
            <w:r>
              <w:rPr>
                <w:rFonts w:ascii="仿宋_GB2312" w:hAnsi="新宋体" w:eastAsia="仿宋_GB2312" w:cs="仿宋_GB2312"/>
                <w:szCs w:val="21"/>
              </w:rPr>
              <w:t>)</w:t>
            </w:r>
          </w:p>
        </w:tc>
        <w:tc>
          <w:tcPr>
            <w:tcW w:w="1275" w:type="dxa"/>
            <w:tcBorders>
              <w:top w:val="single" w:color="auto" w:sz="4" w:space="0"/>
              <w:left w:val="single" w:color="000000" w:sz="4" w:space="0"/>
              <w:right w:val="single" w:color="auto" w:sz="4" w:space="0"/>
            </w:tcBorders>
            <w:vAlign w:val="center"/>
          </w:tcPr>
          <w:p w14:paraId="6A9B5963">
            <w:pPr>
              <w:spacing w:line="240" w:lineRule="exact"/>
              <w:ind w:firstLine="440" w:firstLineChars="200"/>
              <w:rPr>
                <w:szCs w:val="21"/>
              </w:rPr>
            </w:pPr>
            <w:r>
              <w:rPr>
                <w:rFonts w:ascii="仿宋_GB2312" w:hAnsi="新宋体" w:eastAsia="仿宋_GB2312" w:cs="仿宋_GB2312"/>
                <w:szCs w:val="21"/>
              </w:rPr>
              <w:t>在职人员控制率（</w:t>
            </w:r>
            <w:r>
              <w:rPr>
                <w:rFonts w:hint="eastAsia" w:ascii="仿宋_GB2312" w:hAnsi="新宋体" w:eastAsia="仿宋_GB2312" w:cs="仿宋_GB2312"/>
                <w:szCs w:val="21"/>
              </w:rPr>
              <w:t>1分</w:t>
            </w:r>
            <w:r>
              <w:rPr>
                <w:rFonts w:ascii="仿宋_GB2312" w:hAnsi="新宋体" w:eastAsia="仿宋_GB2312" w:cs="仿宋_GB2312"/>
                <w:szCs w:val="21"/>
              </w:rPr>
              <w:t>）</w:t>
            </w:r>
          </w:p>
        </w:tc>
        <w:tc>
          <w:tcPr>
            <w:tcW w:w="3436" w:type="dxa"/>
            <w:tcBorders>
              <w:top w:val="single" w:color="auto" w:sz="4" w:space="0"/>
              <w:left w:val="single" w:color="auto" w:sz="4" w:space="0"/>
              <w:right w:val="single" w:color="auto" w:sz="4" w:space="0"/>
            </w:tcBorders>
            <w:vAlign w:val="center"/>
          </w:tcPr>
          <w:p w14:paraId="01BC6A67">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部门本年度实际在职人员数与编制数的比率，用以反映和评价部门对人员成本的控制程度。</w:t>
            </w:r>
          </w:p>
          <w:p w14:paraId="679150B4">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在职人员控制率=（在职人员数/编制数）×100%。</w:t>
            </w:r>
          </w:p>
          <w:p w14:paraId="2E615C01">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在职人员数：部门实际在职人数，以财政部确定的部门决算编制口径为准，由编制部门和人劳部门批复同意的临聘人员除外。</w:t>
            </w:r>
          </w:p>
          <w:p w14:paraId="148EAE57">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09025092">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1.在职人员控制率小于或等于100%的，得满分；</w:t>
            </w:r>
          </w:p>
          <w:p w14:paraId="42728A24">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2.在职人员控制率大于或等于115%的，得0分；</w:t>
            </w:r>
          </w:p>
          <w:p w14:paraId="1FA2F16F">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3.在职人员控制率在100%-115%之间的，在0分和满分之间计算确定：</w:t>
            </w:r>
          </w:p>
          <w:p w14:paraId="0F14FA91">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C8E9D00">
            <w:pPr>
              <w:spacing w:line="240" w:lineRule="exact"/>
              <w:ind w:firstLine="440" w:firstLineChars="200"/>
              <w:rPr>
                <w:szCs w:val="21"/>
              </w:rPr>
            </w:pPr>
            <w:r>
              <w:rPr>
                <w:rFonts w:hint="eastAsia"/>
                <w:szCs w:val="21"/>
              </w:rPr>
              <w:t>1</w:t>
            </w:r>
          </w:p>
        </w:tc>
      </w:tr>
      <w:tr w14:paraId="260A4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1B44ECBC">
            <w:pPr>
              <w:spacing w:line="240" w:lineRule="exact"/>
              <w:ind w:firstLine="440" w:firstLineChars="200"/>
              <w:rPr>
                <w:rFonts w:ascii="宋体"/>
                <w:szCs w:val="21"/>
              </w:rPr>
            </w:pPr>
          </w:p>
        </w:tc>
        <w:tc>
          <w:tcPr>
            <w:tcW w:w="743" w:type="dxa"/>
            <w:vMerge w:val="continue"/>
            <w:tcBorders>
              <w:left w:val="single" w:color="000000" w:sz="4" w:space="0"/>
              <w:right w:val="single" w:color="000000" w:sz="4" w:space="0"/>
            </w:tcBorders>
            <w:vAlign w:val="center"/>
          </w:tcPr>
          <w:p w14:paraId="20C7C715">
            <w:pPr>
              <w:spacing w:line="240" w:lineRule="exact"/>
              <w:ind w:firstLine="440" w:firstLineChars="200"/>
              <w:rPr>
                <w:rFonts w:ascii="仿宋_GB2312" w:hAnsi="新宋体" w:eastAsia="仿宋_GB2312" w:cs="仿宋_GB2312"/>
                <w:szCs w:val="21"/>
              </w:rPr>
            </w:pPr>
          </w:p>
        </w:tc>
        <w:tc>
          <w:tcPr>
            <w:tcW w:w="1275" w:type="dxa"/>
            <w:tcBorders>
              <w:top w:val="single" w:color="auto" w:sz="4" w:space="0"/>
              <w:left w:val="single" w:color="000000" w:sz="4" w:space="0"/>
              <w:right w:val="single" w:color="auto" w:sz="4" w:space="0"/>
            </w:tcBorders>
            <w:vAlign w:val="center"/>
          </w:tcPr>
          <w:p w14:paraId="752A2157">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“三公经费”变动率（2分）</w:t>
            </w:r>
          </w:p>
        </w:tc>
        <w:tc>
          <w:tcPr>
            <w:tcW w:w="3436" w:type="dxa"/>
            <w:tcBorders>
              <w:top w:val="single" w:color="auto" w:sz="4" w:space="0"/>
              <w:left w:val="single" w:color="auto" w:sz="4" w:space="0"/>
              <w:right w:val="single" w:color="auto" w:sz="4" w:space="0"/>
            </w:tcBorders>
            <w:vAlign w:val="center"/>
          </w:tcPr>
          <w:p w14:paraId="3458B2C4">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szCs w:val="21"/>
              </w:rPr>
              <w:br w:type="textWrapping"/>
            </w:r>
            <w:r>
              <w:rPr>
                <w:rFonts w:hint="eastAsia" w:ascii="仿宋" w:hAnsi="仿宋" w:eastAsia="仿宋" w:cs="仿宋"/>
                <w:color w:val="00000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5BDD6D44">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w:t>
            </w:r>
            <w:r>
              <w:rPr>
                <w:rFonts w:hint="eastAsia" w:ascii="仿宋" w:hAnsi="仿宋" w:eastAsia="仿宋" w:cs="仿宋"/>
                <w:color w:val="000000"/>
                <w:szCs w:val="21"/>
              </w:rPr>
              <w:t>“三公经费”变动率</w:t>
            </w:r>
            <w:r>
              <w:rPr>
                <w:rFonts w:ascii="仿宋_GB2312" w:hAnsi="新宋体" w:eastAsia="仿宋_GB2312" w:cs="仿宋_GB2312"/>
                <w:szCs w:val="21"/>
              </w:rPr>
              <w:t>小于或等于</w:t>
            </w:r>
            <w:r>
              <w:rPr>
                <w:rFonts w:hint="eastAsia" w:ascii="仿宋_GB2312" w:hAnsi="新宋体" w:eastAsia="仿宋_GB2312" w:cs="仿宋_GB2312"/>
                <w:szCs w:val="21"/>
              </w:rPr>
              <w:t>-5</w:t>
            </w:r>
            <w:r>
              <w:rPr>
                <w:rFonts w:ascii="仿宋_GB2312" w:hAnsi="新宋体" w:eastAsia="仿宋_GB2312" w:cs="仿宋_GB2312"/>
                <w:szCs w:val="21"/>
              </w:rPr>
              <w:t>%的，得满分；</w:t>
            </w:r>
          </w:p>
          <w:p w14:paraId="6983DF78">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w:t>
            </w:r>
            <w:r>
              <w:rPr>
                <w:rFonts w:hint="eastAsia" w:ascii="仿宋" w:hAnsi="仿宋" w:eastAsia="仿宋" w:cs="仿宋"/>
                <w:color w:val="000000"/>
                <w:szCs w:val="21"/>
              </w:rPr>
              <w:t>“三公经费”变动率</w:t>
            </w:r>
            <w:r>
              <w:rPr>
                <w:rFonts w:ascii="仿宋_GB2312" w:hAnsi="新宋体" w:eastAsia="仿宋_GB2312" w:cs="仿宋_GB2312"/>
                <w:szCs w:val="21"/>
              </w:rPr>
              <w:t>大于或等于1</w:t>
            </w:r>
            <w:r>
              <w:rPr>
                <w:rFonts w:hint="eastAsia" w:ascii="仿宋_GB2312" w:hAnsi="新宋体" w:eastAsia="仿宋_GB2312" w:cs="仿宋_GB2312"/>
                <w:szCs w:val="21"/>
              </w:rPr>
              <w:t>0</w:t>
            </w:r>
            <w:r>
              <w:rPr>
                <w:rFonts w:ascii="仿宋_GB2312" w:hAnsi="新宋体" w:eastAsia="仿宋_GB2312" w:cs="仿宋_GB2312"/>
                <w:szCs w:val="21"/>
              </w:rPr>
              <w:t>%的，得0分；</w:t>
            </w:r>
          </w:p>
          <w:p w14:paraId="0CB21A89">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3.在职人员控制率在</w:t>
            </w:r>
            <w:r>
              <w:rPr>
                <w:rFonts w:hint="eastAsia" w:ascii="仿宋_GB2312" w:hAnsi="新宋体" w:eastAsia="仿宋_GB2312" w:cs="仿宋_GB2312"/>
                <w:szCs w:val="21"/>
              </w:rPr>
              <w:t>-5</w:t>
            </w:r>
            <w:r>
              <w:rPr>
                <w:rFonts w:ascii="仿宋_GB2312" w:hAnsi="新宋体" w:eastAsia="仿宋_GB2312" w:cs="仿宋_GB2312"/>
                <w:szCs w:val="21"/>
              </w:rPr>
              <w:t>%-</w:t>
            </w:r>
            <w:r>
              <w:rPr>
                <w:rFonts w:hint="eastAsia" w:ascii="仿宋_GB2312" w:hAnsi="新宋体" w:eastAsia="仿宋_GB2312" w:cs="仿宋_GB2312"/>
                <w:szCs w:val="21"/>
              </w:rPr>
              <w:t>10</w:t>
            </w:r>
            <w:r>
              <w:rPr>
                <w:rFonts w:ascii="仿宋_GB2312" w:hAnsi="新宋体" w:eastAsia="仿宋_GB2312" w:cs="仿宋_GB2312"/>
                <w:szCs w:val="21"/>
              </w:rPr>
              <w:t>%之间的，在0分和满分之间计算确定：</w:t>
            </w:r>
          </w:p>
          <w:p w14:paraId="38C26CA7">
            <w:pPr>
              <w:spacing w:line="240" w:lineRule="exact"/>
              <w:ind w:firstLine="440" w:firstLineChars="200"/>
              <w:textAlignment w:val="center"/>
              <w:rPr>
                <w:rFonts w:ascii="仿宋" w:hAnsi="仿宋" w:eastAsia="仿宋" w:cs="仿宋"/>
                <w:szCs w:val="21"/>
              </w:rPr>
            </w:pPr>
            <w:r>
              <w:rPr>
                <w:rFonts w:ascii="仿宋_GB2312" w:hAnsi="新宋体" w:eastAsia="仿宋_GB2312" w:cs="仿宋_GB2312"/>
                <w:szCs w:val="21"/>
              </w:rPr>
              <w:t>得分=[max（</w:t>
            </w:r>
            <w:r>
              <w:rPr>
                <w:rFonts w:hint="eastAsia" w:ascii="仿宋" w:hAnsi="仿宋" w:eastAsia="仿宋" w:cs="仿宋"/>
                <w:color w:val="000000"/>
                <w:szCs w:val="21"/>
              </w:rPr>
              <w:t>“三公经费”变动率</w:t>
            </w:r>
            <w:r>
              <w:rPr>
                <w:rFonts w:ascii="仿宋_GB2312" w:hAnsi="新宋体" w:eastAsia="仿宋_GB2312" w:cs="仿宋_GB2312"/>
                <w:szCs w:val="21"/>
              </w:rPr>
              <w:t>）－</w:t>
            </w:r>
            <w:r>
              <w:rPr>
                <w:rFonts w:hint="eastAsia" w:ascii="仿宋" w:hAnsi="仿宋" w:eastAsia="仿宋" w:cs="仿宋"/>
                <w:color w:val="000000"/>
                <w:szCs w:val="21"/>
              </w:rPr>
              <w:t>“三公经费”变动率</w:t>
            </w:r>
            <w:r>
              <w:rPr>
                <w:rFonts w:ascii="仿宋_GB2312" w:hAnsi="新宋体" w:eastAsia="仿宋_GB2312" w:cs="仿宋_GB2312"/>
                <w:szCs w:val="21"/>
              </w:rPr>
              <w:t>]/[max（</w:t>
            </w:r>
            <w:r>
              <w:rPr>
                <w:rFonts w:hint="eastAsia" w:ascii="仿宋" w:hAnsi="仿宋" w:eastAsia="仿宋" w:cs="仿宋"/>
                <w:color w:val="000000"/>
                <w:szCs w:val="21"/>
              </w:rPr>
              <w:t>“三公经费”变动率</w:t>
            </w:r>
            <w:r>
              <w:rPr>
                <w:rFonts w:ascii="仿宋_GB2312" w:hAnsi="新宋体" w:eastAsia="仿宋_GB2312" w:cs="仿宋_GB2312"/>
                <w:szCs w:val="21"/>
              </w:rPr>
              <w:t>）－min（</w:t>
            </w:r>
            <w:r>
              <w:rPr>
                <w:rFonts w:hint="eastAsia" w:ascii="仿宋" w:hAnsi="仿宋" w:eastAsia="仿宋" w:cs="仿宋"/>
                <w:color w:val="000000"/>
                <w:szCs w:val="21"/>
              </w:rPr>
              <w:t>“三公经费”变动率</w:t>
            </w:r>
            <w:r>
              <w:rPr>
                <w:rFonts w:ascii="仿宋_GB2312" w:hAnsi="新宋体" w:eastAsia="仿宋_GB2312" w:cs="仿宋_GB2312"/>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CB19A07">
            <w:pPr>
              <w:spacing w:line="240" w:lineRule="exact"/>
              <w:ind w:firstLine="440" w:firstLineChars="200"/>
              <w:rPr>
                <w:szCs w:val="21"/>
              </w:rPr>
            </w:pPr>
            <w:r>
              <w:rPr>
                <w:rFonts w:hint="eastAsia"/>
                <w:szCs w:val="21"/>
              </w:rPr>
              <w:t>2</w:t>
            </w:r>
          </w:p>
        </w:tc>
      </w:tr>
      <w:tr w14:paraId="21D2B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20B78EBB">
            <w:pPr>
              <w:spacing w:line="240" w:lineRule="exact"/>
              <w:ind w:firstLine="44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3A8F3CD7">
            <w:pPr>
              <w:spacing w:line="240" w:lineRule="exact"/>
              <w:ind w:firstLine="440" w:firstLineChars="200"/>
              <w:rPr>
                <w:rFonts w:ascii="仿宋_GB2312" w:hAnsi="新宋体" w:eastAsia="仿宋_GB2312" w:cs="仿宋_GB2312"/>
                <w:szCs w:val="21"/>
              </w:rPr>
            </w:pPr>
          </w:p>
        </w:tc>
        <w:tc>
          <w:tcPr>
            <w:tcW w:w="1275" w:type="dxa"/>
            <w:tcBorders>
              <w:top w:val="single" w:color="auto" w:sz="4" w:space="0"/>
              <w:left w:val="single" w:color="000000" w:sz="4" w:space="0"/>
              <w:right w:val="single" w:color="auto" w:sz="4" w:space="0"/>
            </w:tcBorders>
            <w:vAlign w:val="center"/>
          </w:tcPr>
          <w:p w14:paraId="026690F2">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重点支出安排率（2分）</w:t>
            </w:r>
          </w:p>
        </w:tc>
        <w:tc>
          <w:tcPr>
            <w:tcW w:w="3436" w:type="dxa"/>
            <w:tcBorders>
              <w:top w:val="single" w:color="auto" w:sz="4" w:space="0"/>
              <w:left w:val="single" w:color="auto" w:sz="4" w:space="0"/>
              <w:right w:val="single" w:color="auto" w:sz="4" w:space="0"/>
            </w:tcBorders>
            <w:vAlign w:val="center"/>
          </w:tcPr>
          <w:p w14:paraId="13DFCA54">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szCs w:val="21"/>
              </w:rPr>
              <w:br w:type="textWrapping"/>
            </w:r>
            <w:r>
              <w:rPr>
                <w:rFonts w:hint="eastAsia" w:ascii="仿宋" w:hAnsi="仿宋" w:eastAsia="仿宋" w:cs="仿宋"/>
                <w:color w:val="00000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szCs w:val="21"/>
              </w:rPr>
              <w:br w:type="textWrapping"/>
            </w:r>
            <w:r>
              <w:rPr>
                <w:rFonts w:hint="eastAsia" w:ascii="仿宋" w:hAnsi="仿宋" w:eastAsia="仿宋" w:cs="仿宋"/>
                <w:color w:val="00000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237779D1">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w:t>
            </w:r>
            <w:r>
              <w:rPr>
                <w:rFonts w:hint="eastAsia" w:ascii="仿宋" w:hAnsi="仿宋" w:eastAsia="仿宋" w:cs="仿宋"/>
                <w:color w:val="000000"/>
                <w:szCs w:val="21"/>
              </w:rPr>
              <w:t>重点支出安排率</w:t>
            </w:r>
            <w:r>
              <w:rPr>
                <w:rFonts w:ascii="仿宋_GB2312" w:hAnsi="新宋体" w:eastAsia="仿宋_GB2312" w:cs="仿宋_GB2312"/>
                <w:szCs w:val="21"/>
              </w:rPr>
              <w:t>大于或等于95%的，得满分；</w:t>
            </w:r>
          </w:p>
          <w:p w14:paraId="6ADFB499">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w:t>
            </w:r>
            <w:r>
              <w:rPr>
                <w:rFonts w:hint="eastAsia" w:ascii="仿宋" w:hAnsi="仿宋" w:eastAsia="仿宋" w:cs="仿宋"/>
                <w:color w:val="000000"/>
                <w:szCs w:val="21"/>
              </w:rPr>
              <w:t>重点支出安排率</w:t>
            </w:r>
            <w:r>
              <w:rPr>
                <w:rFonts w:ascii="仿宋_GB2312" w:hAnsi="新宋体" w:eastAsia="仿宋_GB2312" w:cs="仿宋_GB2312"/>
                <w:szCs w:val="21"/>
              </w:rPr>
              <w:t>小于或等于85%的，得0分；</w:t>
            </w:r>
          </w:p>
          <w:p w14:paraId="61E5E46D">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w:t>
            </w:r>
            <w:r>
              <w:rPr>
                <w:rFonts w:hint="eastAsia" w:ascii="仿宋" w:hAnsi="仿宋" w:eastAsia="仿宋" w:cs="仿宋"/>
                <w:color w:val="000000"/>
                <w:szCs w:val="21"/>
              </w:rPr>
              <w:t>重点支出安排率</w:t>
            </w:r>
            <w:r>
              <w:rPr>
                <w:rFonts w:ascii="仿宋_GB2312" w:hAnsi="新宋体" w:eastAsia="仿宋_GB2312" w:cs="仿宋_GB2312"/>
                <w:szCs w:val="21"/>
              </w:rPr>
              <w:t>在85%-95%之间的，在0分和满分之间计算确定：</w:t>
            </w:r>
          </w:p>
          <w:p w14:paraId="4CF9288C">
            <w:pPr>
              <w:spacing w:line="240" w:lineRule="exact"/>
              <w:ind w:firstLine="440" w:firstLineChars="200"/>
              <w:textAlignment w:val="center"/>
              <w:rPr>
                <w:rFonts w:ascii="仿宋" w:hAnsi="仿宋" w:eastAsia="仿宋" w:cs="仿宋"/>
                <w:szCs w:val="21"/>
              </w:rPr>
            </w:pPr>
            <w:r>
              <w:rPr>
                <w:rFonts w:ascii="仿宋_GB2312" w:hAnsi="新宋体" w:eastAsia="仿宋_GB2312" w:cs="仿宋_GB2312"/>
                <w:szCs w:val="21"/>
              </w:rPr>
              <w:t>得分=[某部门</w:t>
            </w:r>
            <w:r>
              <w:rPr>
                <w:rFonts w:hint="eastAsia" w:ascii="仿宋" w:hAnsi="仿宋" w:eastAsia="仿宋" w:cs="仿宋"/>
                <w:color w:val="000000"/>
                <w:szCs w:val="21"/>
              </w:rPr>
              <w:t>重点支出安排率</w:t>
            </w:r>
            <w:r>
              <w:rPr>
                <w:rFonts w:ascii="仿宋_GB2312" w:hAnsi="新宋体" w:eastAsia="仿宋_GB2312" w:cs="仿宋_GB2312"/>
                <w:szCs w:val="21"/>
              </w:rPr>
              <w:t>-min（</w:t>
            </w:r>
            <w:r>
              <w:rPr>
                <w:rFonts w:hint="eastAsia" w:ascii="仿宋" w:hAnsi="仿宋" w:eastAsia="仿宋" w:cs="仿宋"/>
                <w:color w:val="000000"/>
                <w:szCs w:val="21"/>
              </w:rPr>
              <w:t>重点支出安排率</w:t>
            </w:r>
            <w:r>
              <w:rPr>
                <w:rFonts w:ascii="仿宋_GB2312" w:hAnsi="新宋体" w:eastAsia="仿宋_GB2312" w:cs="仿宋_GB2312"/>
                <w:szCs w:val="21"/>
              </w:rPr>
              <w:t>）]/[max（</w:t>
            </w:r>
            <w:r>
              <w:rPr>
                <w:rFonts w:hint="eastAsia" w:ascii="仿宋" w:hAnsi="仿宋" w:eastAsia="仿宋" w:cs="仿宋"/>
                <w:color w:val="000000"/>
                <w:szCs w:val="21"/>
              </w:rPr>
              <w:t>重点支出安排率</w:t>
            </w:r>
            <w:r>
              <w:rPr>
                <w:rFonts w:ascii="仿宋_GB2312" w:hAnsi="新宋体" w:eastAsia="仿宋_GB2312" w:cs="仿宋_GB2312"/>
                <w:szCs w:val="21"/>
              </w:rPr>
              <w:t>）－min（</w:t>
            </w:r>
            <w:r>
              <w:rPr>
                <w:rFonts w:hint="eastAsia" w:ascii="仿宋" w:hAnsi="仿宋" w:eastAsia="仿宋" w:cs="仿宋"/>
                <w:color w:val="000000"/>
                <w:szCs w:val="21"/>
              </w:rPr>
              <w:t>重点支出安排率</w:t>
            </w:r>
            <w:r>
              <w:rPr>
                <w:rFonts w:ascii="仿宋_GB2312" w:hAnsi="新宋体" w:eastAsia="仿宋_GB2312" w:cs="仿宋_GB2312"/>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30722F2">
            <w:pPr>
              <w:spacing w:line="240" w:lineRule="exact"/>
              <w:ind w:firstLine="440" w:firstLineChars="200"/>
              <w:rPr>
                <w:szCs w:val="21"/>
              </w:rPr>
            </w:pPr>
            <w:r>
              <w:rPr>
                <w:rFonts w:hint="eastAsia"/>
                <w:szCs w:val="21"/>
              </w:rPr>
              <w:t>2</w:t>
            </w:r>
          </w:p>
        </w:tc>
      </w:tr>
      <w:tr w14:paraId="1960D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288E67D">
            <w:pPr>
              <w:spacing w:line="240" w:lineRule="exact"/>
              <w:ind w:firstLine="440" w:firstLineChars="200"/>
              <w:rPr>
                <w:szCs w:val="21"/>
              </w:rPr>
            </w:pPr>
            <w:r>
              <w:rPr>
                <w:rFonts w:ascii="仿宋_GB2312" w:hAnsi="新宋体" w:eastAsia="仿宋_GB2312" w:cs="仿宋_GB2312"/>
                <w:szCs w:val="21"/>
              </w:rPr>
              <w:t>过程(</w:t>
            </w:r>
            <w:r>
              <w:rPr>
                <w:rFonts w:hint="eastAsia" w:ascii="仿宋_GB2312" w:hAnsi="新宋体" w:eastAsia="仿宋_GB2312" w:cs="仿宋_GB2312"/>
                <w:szCs w:val="21"/>
              </w:rPr>
              <w:t>45分</w:t>
            </w:r>
            <w:r>
              <w:rPr>
                <w:rFonts w:ascii="仿宋_GB2312" w:hAnsi="新宋体" w:eastAsia="仿宋_GB2312" w:cs="仿宋_GB2312"/>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3A1D712">
            <w:pPr>
              <w:spacing w:line="240" w:lineRule="exact"/>
              <w:ind w:firstLine="440" w:firstLineChars="200"/>
              <w:rPr>
                <w:szCs w:val="21"/>
              </w:rPr>
            </w:pPr>
            <w:r>
              <w:rPr>
                <w:rFonts w:ascii="仿宋_GB2312" w:hAnsi="新宋体" w:eastAsia="仿宋_GB2312" w:cs="仿宋_GB2312"/>
                <w:szCs w:val="21"/>
              </w:rPr>
              <w:t>预算执行</w:t>
            </w:r>
            <w:r>
              <w:rPr>
                <w:rFonts w:hint="eastAsia" w:ascii="仿宋_GB2312" w:hAnsi="新宋体" w:eastAsia="仿宋_GB2312" w:cs="仿宋_GB2312"/>
                <w:szCs w:val="21"/>
              </w:rPr>
              <w:t>情况</w:t>
            </w:r>
            <w:r>
              <w:rPr>
                <w:rFonts w:ascii="仿宋_GB2312" w:hAnsi="新宋体" w:eastAsia="仿宋_GB2312" w:cs="仿宋_GB2312"/>
                <w:szCs w:val="21"/>
              </w:rPr>
              <w:t>(</w:t>
            </w:r>
            <w:r>
              <w:rPr>
                <w:rFonts w:hint="eastAsia" w:ascii="仿宋_GB2312" w:hAnsi="新宋体" w:eastAsia="仿宋_GB2312" w:cs="仿宋_GB2312"/>
                <w:szCs w:val="21"/>
              </w:rPr>
              <w:t>25分</w:t>
            </w:r>
            <w:r>
              <w:rPr>
                <w:rFonts w:ascii="仿宋_GB2312" w:hAnsi="新宋体" w:eastAsia="仿宋_GB2312" w:cs="仿宋_GB2312"/>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D3B912D">
            <w:pPr>
              <w:spacing w:line="240" w:lineRule="exact"/>
              <w:ind w:firstLine="440" w:firstLineChars="200"/>
              <w:rPr>
                <w:szCs w:val="21"/>
              </w:rPr>
            </w:pPr>
            <w:r>
              <w:rPr>
                <w:rFonts w:ascii="仿宋_GB2312" w:hAnsi="新宋体" w:eastAsia="仿宋_GB2312" w:cs="仿宋_GB2312"/>
                <w:szCs w:val="21"/>
              </w:rPr>
              <w:t>预算完成率（5</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5955C62">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通过对部门本年度预算完成数与预算数的比较，反映和评价部门预算的完成程度。</w:t>
            </w:r>
          </w:p>
          <w:p w14:paraId="6F21CD49">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87B0572">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1.预算完成率大于或等于95%的，得满分；</w:t>
            </w:r>
          </w:p>
          <w:p w14:paraId="12FE2801">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2.预算完成率小于或等于85%的，得0分；</w:t>
            </w:r>
          </w:p>
          <w:p w14:paraId="072D46E9">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3.预算完成率在85%-95%之间的，在0分和满分之间计算确定：</w:t>
            </w:r>
          </w:p>
          <w:p w14:paraId="047A6714">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717C845">
            <w:pPr>
              <w:spacing w:line="240" w:lineRule="exact"/>
              <w:ind w:firstLine="440" w:firstLineChars="200"/>
              <w:rPr>
                <w:szCs w:val="21"/>
              </w:rPr>
            </w:pPr>
            <w:r>
              <w:rPr>
                <w:rFonts w:hint="eastAsia"/>
                <w:szCs w:val="21"/>
              </w:rPr>
              <w:t>5</w:t>
            </w:r>
          </w:p>
        </w:tc>
      </w:tr>
      <w:tr w14:paraId="6C2C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BDD6D4D">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473A763">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10E4A81">
            <w:pPr>
              <w:spacing w:line="240" w:lineRule="exact"/>
              <w:ind w:firstLine="440" w:firstLineChars="200"/>
              <w:rPr>
                <w:szCs w:val="21"/>
              </w:rPr>
            </w:pPr>
            <w:r>
              <w:rPr>
                <w:rFonts w:ascii="仿宋_GB2312" w:hAnsi="新宋体" w:eastAsia="仿宋_GB2312" w:cs="仿宋_GB2312"/>
                <w:szCs w:val="21"/>
              </w:rPr>
              <w:t>预算调整率（</w:t>
            </w:r>
            <w:r>
              <w:rPr>
                <w:rFonts w:hint="eastAsia" w:ascii="仿宋_GB2312" w:hAnsi="新宋体" w:eastAsia="仿宋_GB2312" w:cs="仿宋_GB2312"/>
                <w:szCs w:val="21"/>
              </w:rPr>
              <w:t>3分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8A7AA2F">
            <w:pPr>
              <w:spacing w:line="240" w:lineRule="exact"/>
              <w:ind w:firstLine="440" w:firstLineChars="200"/>
              <w:rPr>
                <w:szCs w:val="21"/>
              </w:rPr>
            </w:pPr>
            <w:r>
              <w:rPr>
                <w:rFonts w:ascii="仿宋_GB2312" w:hAnsi="新宋体" w:eastAsia="仿宋_GB2312" w:cs="仿宋_GB2312"/>
                <w:szCs w:val="21"/>
              </w:rPr>
              <w:t>部门本年度预算调整数与预算数的比率，用以反映和评价部门预算的调整程度。</w:t>
            </w:r>
          </w:p>
          <w:p w14:paraId="78A98B17">
            <w:pPr>
              <w:spacing w:line="240" w:lineRule="exact"/>
              <w:ind w:firstLine="440" w:firstLineChars="200"/>
              <w:rPr>
                <w:szCs w:val="21"/>
              </w:rPr>
            </w:pPr>
            <w:r>
              <w:rPr>
                <w:rFonts w:ascii="仿宋_GB2312" w:hAnsi="新宋体" w:eastAsia="仿宋_GB2312" w:cs="仿宋_GB2312"/>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086293F">
            <w:pPr>
              <w:spacing w:line="240" w:lineRule="exact"/>
              <w:ind w:firstLine="440" w:firstLineChars="200"/>
              <w:rPr>
                <w:szCs w:val="21"/>
              </w:rPr>
            </w:pPr>
            <w:r>
              <w:rPr>
                <w:rFonts w:ascii="仿宋_GB2312" w:hAnsi="新宋体" w:eastAsia="仿宋_GB2312" w:cs="仿宋_GB2312"/>
                <w:szCs w:val="21"/>
              </w:rPr>
              <w:t>1.预算调整率等于0的，得满分；</w:t>
            </w:r>
          </w:p>
          <w:p w14:paraId="3F6FE1DF">
            <w:pPr>
              <w:spacing w:line="240" w:lineRule="exact"/>
              <w:ind w:firstLine="440" w:firstLineChars="200"/>
              <w:rPr>
                <w:szCs w:val="21"/>
              </w:rPr>
            </w:pPr>
            <w:r>
              <w:rPr>
                <w:rFonts w:ascii="仿宋_GB2312" w:hAnsi="新宋体" w:eastAsia="仿宋_GB2312" w:cs="仿宋_GB2312"/>
                <w:szCs w:val="21"/>
              </w:rPr>
              <w:t>2.预算调整率大于或等于10%的，得0分；</w:t>
            </w:r>
          </w:p>
          <w:p w14:paraId="0A062786">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3.预算调整率在0-10%之间的，在0分和满分之间确定：</w:t>
            </w:r>
          </w:p>
          <w:p w14:paraId="2CA6F1A3">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364806F">
            <w:pPr>
              <w:spacing w:line="240" w:lineRule="exact"/>
              <w:ind w:firstLine="440" w:firstLineChars="200"/>
              <w:rPr>
                <w:szCs w:val="21"/>
              </w:rPr>
            </w:pPr>
            <w:r>
              <w:rPr>
                <w:rFonts w:hint="eastAsia"/>
                <w:szCs w:val="21"/>
              </w:rPr>
              <w:t>3</w:t>
            </w:r>
          </w:p>
        </w:tc>
      </w:tr>
      <w:tr w14:paraId="32821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6B94869">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B540C4B">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BA381E8">
            <w:pPr>
              <w:spacing w:line="240" w:lineRule="exact"/>
              <w:ind w:firstLine="440" w:firstLineChars="200"/>
              <w:rPr>
                <w:szCs w:val="21"/>
              </w:rPr>
            </w:pPr>
            <w:r>
              <w:rPr>
                <w:rFonts w:ascii="仿宋_GB2312" w:hAnsi="新宋体" w:eastAsia="仿宋_GB2312" w:cs="仿宋_GB2312"/>
                <w:color w:val="000000"/>
                <w:szCs w:val="21"/>
              </w:rPr>
              <w:t>支付进度率</w:t>
            </w:r>
            <w:r>
              <w:rPr>
                <w:rFonts w:ascii="仿宋_GB2312" w:hAnsi="新宋体" w:eastAsia="仿宋_GB2312" w:cs="仿宋_GB2312"/>
                <w:szCs w:val="21"/>
              </w:rPr>
              <w:t>（</w:t>
            </w:r>
            <w:r>
              <w:rPr>
                <w:rFonts w:hint="eastAsia" w:ascii="仿宋_GB2312" w:hAnsi="新宋体" w:eastAsia="仿宋_GB2312" w:cs="仿宋_GB2312"/>
                <w:szCs w:val="21"/>
              </w:rPr>
              <w:t>5分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940D1EF">
            <w:pPr>
              <w:spacing w:line="240" w:lineRule="exact"/>
              <w:ind w:firstLine="440" w:firstLineChars="200"/>
              <w:rPr>
                <w:szCs w:val="21"/>
              </w:rPr>
            </w:pPr>
            <w:r>
              <w:rPr>
                <w:rFonts w:ascii="仿宋_GB2312" w:hAnsi="新宋体" w:eastAsia="仿宋_GB2312" w:cs="仿宋_GB2312"/>
                <w:szCs w:val="21"/>
              </w:rPr>
              <w:t>部门</w:t>
            </w:r>
            <w:r>
              <w:rPr>
                <w:rFonts w:hint="eastAsia" w:ascii="仿宋_GB2312" w:hAnsi="新宋体" w:eastAsia="仿宋_GB2312" w:cs="仿宋_GB2312"/>
                <w:szCs w:val="21"/>
              </w:rPr>
              <w:t>年</w:t>
            </w:r>
            <w:r>
              <w:rPr>
                <w:rFonts w:ascii="仿宋_GB2312" w:hAnsi="新宋体" w:eastAsia="仿宋_GB2312" w:cs="仿宋_GB2312"/>
                <w:szCs w:val="21"/>
              </w:rPr>
              <w:t>度支付数与</w:t>
            </w:r>
            <w:r>
              <w:rPr>
                <w:rFonts w:hint="eastAsia" w:ascii="仿宋_GB2312" w:hAnsi="新宋体" w:eastAsia="仿宋_GB2312" w:cs="仿宋_GB2312"/>
                <w:szCs w:val="21"/>
              </w:rPr>
              <w:t>年</w:t>
            </w:r>
            <w:r>
              <w:rPr>
                <w:rFonts w:ascii="仿宋_GB2312" w:hAnsi="新宋体" w:eastAsia="仿宋_GB2312" w:cs="仿宋_GB2312"/>
                <w:szCs w:val="21"/>
              </w:rPr>
              <w:t>度任务数的比率，用以反映和评价部门预算执行的及时和均衡程度。</w:t>
            </w:r>
          </w:p>
          <w:p w14:paraId="1E43F532">
            <w:pPr>
              <w:spacing w:line="240" w:lineRule="exact"/>
              <w:ind w:firstLine="440" w:firstLineChars="200"/>
              <w:rPr>
                <w:szCs w:val="21"/>
              </w:rPr>
            </w:pPr>
            <w:r>
              <w:rPr>
                <w:rFonts w:ascii="仿宋_GB2312" w:hAnsi="新宋体" w:eastAsia="仿宋_GB2312" w:cs="仿宋_GB2312"/>
                <w:szCs w:val="21"/>
              </w:rPr>
              <w:t>支付进度率=（</w:t>
            </w:r>
            <w:r>
              <w:rPr>
                <w:rFonts w:hint="eastAsia" w:ascii="仿宋_GB2312" w:hAnsi="新宋体" w:eastAsia="仿宋_GB2312" w:cs="仿宋_GB2312"/>
                <w:szCs w:val="21"/>
              </w:rPr>
              <w:t>年</w:t>
            </w:r>
            <w:r>
              <w:rPr>
                <w:rFonts w:ascii="仿宋_GB2312" w:hAnsi="新宋体" w:eastAsia="仿宋_GB2312" w:cs="仿宋_GB2312"/>
                <w:szCs w:val="21"/>
              </w:rPr>
              <w:t>度支付数/</w:t>
            </w:r>
            <w:r>
              <w:rPr>
                <w:rFonts w:hint="eastAsia" w:ascii="仿宋_GB2312" w:hAnsi="新宋体" w:eastAsia="仿宋_GB2312" w:cs="仿宋_GB2312"/>
                <w:szCs w:val="21"/>
              </w:rPr>
              <w:t>年</w:t>
            </w:r>
            <w:r>
              <w:rPr>
                <w:rFonts w:ascii="仿宋_GB2312" w:hAnsi="新宋体" w:eastAsia="仿宋_GB2312" w:cs="仿宋_GB2312"/>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FC8DFB9">
            <w:pPr>
              <w:spacing w:line="240" w:lineRule="exact"/>
              <w:ind w:firstLine="440" w:firstLineChars="200"/>
              <w:rPr>
                <w:szCs w:val="21"/>
              </w:rPr>
            </w:pPr>
            <w:r>
              <w:rPr>
                <w:rFonts w:ascii="仿宋_GB2312" w:hAnsi="新宋体" w:eastAsia="仿宋_GB2312" w:cs="仿宋_GB2312"/>
                <w:szCs w:val="21"/>
              </w:rPr>
              <w:t>按</w:t>
            </w:r>
            <w:r>
              <w:rPr>
                <w:rFonts w:hint="eastAsia" w:ascii="仿宋_GB2312" w:hAnsi="新宋体" w:eastAsia="仿宋_GB2312" w:cs="仿宋_GB2312"/>
                <w:szCs w:val="21"/>
              </w:rPr>
              <w:t>年</w:t>
            </w:r>
            <w:r>
              <w:rPr>
                <w:rFonts w:ascii="仿宋_GB2312" w:hAnsi="新宋体" w:eastAsia="仿宋_GB2312" w:cs="仿宋_GB2312"/>
                <w:szCs w:val="21"/>
              </w:rPr>
              <w:t>度的执行情况进行打分</w:t>
            </w:r>
            <w:r>
              <w:rPr>
                <w:rFonts w:hint="eastAsia" w:ascii="仿宋_GB2312" w:hAnsi="新宋体" w:eastAsia="仿宋_GB2312" w:cs="仿宋_GB2312"/>
                <w:szCs w:val="21"/>
              </w:rPr>
              <w:t>。</w:t>
            </w:r>
            <w:r>
              <w:rPr>
                <w:rFonts w:ascii="仿宋_GB2312" w:hAnsi="新宋体" w:eastAsia="仿宋_GB2312" w:cs="仿宋_GB2312"/>
                <w:szCs w:val="21"/>
              </w:rPr>
              <w:t>得分=</w:t>
            </w:r>
            <w:r>
              <w:rPr>
                <w:rFonts w:hint="eastAsia" w:ascii="仿宋_GB2312" w:hAnsi="新宋体" w:eastAsia="仿宋_GB2312" w:cs="仿宋_GB2312"/>
                <w:szCs w:val="21"/>
              </w:rPr>
              <w:t>年</w:t>
            </w:r>
            <w:r>
              <w:rPr>
                <w:rFonts w:ascii="仿宋_GB2312" w:hAnsi="新宋体" w:eastAsia="仿宋_GB2312" w:cs="仿宋_GB2312"/>
                <w:szCs w:val="21"/>
              </w:rPr>
              <w:t>度支付数/</w:t>
            </w:r>
            <w:r>
              <w:rPr>
                <w:rFonts w:hint="eastAsia" w:ascii="仿宋_GB2312" w:hAnsi="新宋体" w:eastAsia="仿宋_GB2312" w:cs="仿宋_GB2312"/>
                <w:szCs w:val="21"/>
              </w:rPr>
              <w:t>年</w:t>
            </w:r>
            <w:r>
              <w:rPr>
                <w:rFonts w:ascii="仿宋_GB2312" w:hAnsi="新宋体" w:eastAsia="仿宋_GB2312" w:cs="仿宋_GB2312"/>
                <w:szCs w:val="21"/>
              </w:rPr>
              <w:t>度任务数×该指标分值。</w:t>
            </w:r>
          </w:p>
          <w:p w14:paraId="5BFAC813">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1A5507CA">
            <w:pPr>
              <w:spacing w:line="240" w:lineRule="exact"/>
              <w:ind w:firstLine="440" w:firstLineChars="200"/>
              <w:rPr>
                <w:szCs w:val="21"/>
              </w:rPr>
            </w:pPr>
            <w:r>
              <w:rPr>
                <w:rFonts w:hint="eastAsia"/>
                <w:szCs w:val="21"/>
              </w:rPr>
              <w:t>5</w:t>
            </w:r>
          </w:p>
        </w:tc>
      </w:tr>
      <w:tr w14:paraId="1D8E5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1B88DCD">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43B0B11">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73A6F9D">
            <w:pPr>
              <w:spacing w:line="240" w:lineRule="exact"/>
              <w:ind w:firstLine="440" w:firstLineChars="200"/>
              <w:rPr>
                <w:szCs w:val="21"/>
              </w:rPr>
            </w:pPr>
            <w:r>
              <w:rPr>
                <w:rFonts w:ascii="仿宋_GB2312" w:hAnsi="新宋体" w:eastAsia="仿宋_GB2312" w:cs="仿宋_GB2312"/>
                <w:szCs w:val="21"/>
              </w:rPr>
              <w:t>结转结余率（4</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9DFC900">
            <w:pPr>
              <w:spacing w:line="240" w:lineRule="exact"/>
              <w:ind w:firstLine="440" w:firstLineChars="200"/>
              <w:rPr>
                <w:szCs w:val="21"/>
              </w:rPr>
            </w:pPr>
            <w:r>
              <w:rPr>
                <w:rFonts w:ascii="仿宋_GB2312" w:hAnsi="新宋体" w:eastAsia="仿宋_GB2312" w:cs="仿宋_GB2312"/>
                <w:szCs w:val="21"/>
              </w:rPr>
              <w:t>通过对部门本年度结转结余总额与支出预算数的比较，反映和评价部门对本年度结转结余资金的实际控制程度。</w:t>
            </w:r>
          </w:p>
          <w:p w14:paraId="3FA65E6B">
            <w:pPr>
              <w:spacing w:line="240" w:lineRule="exact"/>
              <w:ind w:firstLine="440" w:firstLineChars="200"/>
              <w:rPr>
                <w:szCs w:val="21"/>
              </w:rPr>
            </w:pPr>
            <w:r>
              <w:rPr>
                <w:rFonts w:ascii="仿宋_GB2312" w:hAnsi="新宋体" w:eastAsia="仿宋_GB2312" w:cs="仿宋_GB2312"/>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6ED3602">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1.结转结余率等于0的，得满分；</w:t>
            </w:r>
          </w:p>
          <w:p w14:paraId="43B7D234">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2.结转结余率大于或等于50%的，得0分；</w:t>
            </w:r>
          </w:p>
          <w:p w14:paraId="338F1627">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3.结转结余率在0-50%之间的，在0和满分之间计算确定：</w:t>
            </w:r>
          </w:p>
          <w:p w14:paraId="5EBF9C6F">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DB45BA8">
            <w:pPr>
              <w:spacing w:line="240" w:lineRule="exact"/>
              <w:ind w:firstLine="440" w:firstLineChars="200"/>
              <w:rPr>
                <w:szCs w:val="21"/>
              </w:rPr>
            </w:pPr>
            <w:r>
              <w:rPr>
                <w:rFonts w:hint="eastAsia"/>
                <w:szCs w:val="21"/>
              </w:rPr>
              <w:t>4</w:t>
            </w:r>
          </w:p>
        </w:tc>
      </w:tr>
      <w:tr w14:paraId="0EA5D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EEA1F5">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4C776E4">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1B85446">
            <w:pPr>
              <w:spacing w:line="240" w:lineRule="exact"/>
              <w:ind w:firstLine="440" w:firstLineChars="200"/>
              <w:rPr>
                <w:szCs w:val="21"/>
              </w:rPr>
            </w:pPr>
            <w:r>
              <w:rPr>
                <w:rFonts w:ascii="仿宋_GB2312" w:hAnsi="新宋体" w:eastAsia="仿宋_GB2312" w:cs="仿宋_GB2312"/>
                <w:szCs w:val="21"/>
              </w:rPr>
              <w:t>公用经费控制率（</w:t>
            </w:r>
            <w:r>
              <w:rPr>
                <w:rFonts w:hint="eastAsia" w:ascii="仿宋_GB2312" w:hAnsi="新宋体" w:eastAsia="仿宋_GB2312" w:cs="仿宋_GB2312"/>
                <w:szCs w:val="21"/>
              </w:rPr>
              <w:t>4分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5818E1C">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通过对部门本年度实际支出的公用经费总额与预算安排的公用经费总额的比率，反映和评价部门对机构运转成本的实际控制程度。</w:t>
            </w:r>
          </w:p>
          <w:p w14:paraId="27EE1B5B">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45B59EC3">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1.公用经费控制率小于或等于100%的，得满分；</w:t>
            </w:r>
          </w:p>
          <w:p w14:paraId="10D72D39">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2.公用经费控制率大于或等于105%的，得0分；</w:t>
            </w:r>
          </w:p>
          <w:p w14:paraId="02B6DFE2">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3.公用经费控制率在100%-105%之间的，在0和满分之间计算确定：</w:t>
            </w:r>
          </w:p>
          <w:p w14:paraId="05FBCD69">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70E4B1D">
            <w:pPr>
              <w:spacing w:line="240" w:lineRule="exact"/>
              <w:ind w:firstLine="440" w:firstLineChars="200"/>
              <w:rPr>
                <w:szCs w:val="21"/>
              </w:rPr>
            </w:pPr>
            <w:r>
              <w:rPr>
                <w:rFonts w:hint="eastAsia"/>
                <w:szCs w:val="21"/>
              </w:rPr>
              <w:t>4</w:t>
            </w:r>
          </w:p>
        </w:tc>
      </w:tr>
      <w:tr w14:paraId="4E452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2D6A88E">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73DA444">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44A865D">
            <w:pPr>
              <w:spacing w:line="240" w:lineRule="exact"/>
              <w:ind w:firstLine="440" w:firstLineChars="200"/>
              <w:rPr>
                <w:szCs w:val="21"/>
              </w:rPr>
            </w:pPr>
            <w:r>
              <w:rPr>
                <w:rFonts w:ascii="仿宋_GB2312" w:hAnsi="新宋体" w:eastAsia="仿宋_GB2312" w:cs="仿宋_GB2312"/>
                <w:szCs w:val="21"/>
              </w:rPr>
              <w:t>政府采购执行率（</w:t>
            </w:r>
            <w:r>
              <w:rPr>
                <w:rFonts w:hint="eastAsia" w:ascii="仿宋_GB2312" w:hAnsi="新宋体" w:eastAsia="仿宋_GB2312" w:cs="仿宋_GB2312"/>
                <w:szCs w:val="21"/>
              </w:rPr>
              <w:t>4分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54AE8FA">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通过对部门本年度实际政府采购预算项目个数与政府采购预算项目个数的比较，反映和评价部门政府采购预算执行情况。</w:t>
            </w:r>
          </w:p>
          <w:p w14:paraId="5E56F098">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政府采购执行率=（实际政府采购预算项目个数/政府采购预算项目个数）×100%。</w:t>
            </w:r>
          </w:p>
          <w:p w14:paraId="6641CCD7">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EF4DDB6">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1.政府采购执行率等于100%的，得满分；</w:t>
            </w:r>
          </w:p>
          <w:p w14:paraId="65AC6294">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2.政府采购执行率小于或等于90%的，0分；</w:t>
            </w:r>
          </w:p>
          <w:p w14:paraId="48509785">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3.政府采购执行率在90%-100%之间的，在0和满分之间计算确定：</w:t>
            </w:r>
          </w:p>
          <w:p w14:paraId="647AA840">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35870C6">
            <w:pPr>
              <w:spacing w:line="240" w:lineRule="exact"/>
              <w:ind w:firstLine="440" w:firstLineChars="200"/>
              <w:rPr>
                <w:szCs w:val="21"/>
              </w:rPr>
            </w:pPr>
            <w:r>
              <w:rPr>
                <w:rFonts w:hint="eastAsia"/>
                <w:szCs w:val="21"/>
              </w:rPr>
              <w:t>4</w:t>
            </w:r>
          </w:p>
        </w:tc>
      </w:tr>
      <w:tr w14:paraId="0E60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AB96F82">
            <w:pPr>
              <w:spacing w:line="240" w:lineRule="exact"/>
              <w:ind w:firstLine="44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BC01E44">
            <w:pPr>
              <w:spacing w:line="240" w:lineRule="exact"/>
              <w:ind w:firstLine="440" w:firstLineChars="200"/>
              <w:rPr>
                <w:szCs w:val="21"/>
              </w:rPr>
            </w:pPr>
            <w:r>
              <w:rPr>
                <w:rFonts w:ascii="仿宋_GB2312" w:hAnsi="新宋体" w:eastAsia="仿宋_GB2312" w:cs="仿宋_GB2312"/>
                <w:szCs w:val="21"/>
              </w:rPr>
              <w:t>预算管理</w:t>
            </w:r>
            <w:r>
              <w:rPr>
                <w:rFonts w:hint="eastAsia" w:ascii="仿宋_GB2312" w:hAnsi="新宋体" w:eastAsia="仿宋_GB2312" w:cs="仿宋_GB2312"/>
                <w:szCs w:val="21"/>
              </w:rPr>
              <w:t>情况</w:t>
            </w:r>
          </w:p>
          <w:p w14:paraId="16DED6C9">
            <w:pPr>
              <w:spacing w:line="240" w:lineRule="exact"/>
              <w:ind w:firstLine="440" w:firstLineChars="200"/>
              <w:rPr>
                <w:szCs w:val="21"/>
              </w:rPr>
            </w:pPr>
            <w:r>
              <w:rPr>
                <w:rFonts w:ascii="仿宋_GB2312" w:hAnsi="新宋体" w:eastAsia="仿宋_GB2312" w:cs="仿宋_GB2312"/>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283671F1">
            <w:pPr>
              <w:spacing w:line="240" w:lineRule="exact"/>
              <w:ind w:firstLine="440" w:firstLineChars="200"/>
              <w:rPr>
                <w:szCs w:val="21"/>
              </w:rPr>
            </w:pPr>
            <w:r>
              <w:rPr>
                <w:rFonts w:ascii="仿宋_GB2312" w:hAnsi="新宋体" w:eastAsia="仿宋_GB2312" w:cs="仿宋_GB2312"/>
                <w:szCs w:val="21"/>
              </w:rPr>
              <w:t>资金使用合规性（8</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7F09C07">
            <w:pPr>
              <w:spacing w:line="240" w:lineRule="exact"/>
              <w:ind w:firstLine="440" w:firstLineChars="200"/>
              <w:rPr>
                <w:szCs w:val="21"/>
              </w:rPr>
            </w:pPr>
            <w:r>
              <w:rPr>
                <w:rFonts w:ascii="仿宋_GB2312" w:hAnsi="新宋体" w:eastAsia="仿宋_GB2312" w:cs="仿宋_GB2312"/>
                <w:szCs w:val="21"/>
              </w:rPr>
              <w:t>部门使用预算资金是否符合相关的预算财务管理制度的规定，反映和评价部门预算资金的规范运行情况。</w:t>
            </w:r>
          </w:p>
          <w:p w14:paraId="043CC41E">
            <w:pPr>
              <w:spacing w:line="240" w:lineRule="exact"/>
              <w:ind w:firstLine="440" w:firstLineChars="200"/>
              <w:rPr>
                <w:szCs w:val="21"/>
              </w:rPr>
            </w:pPr>
            <w:r>
              <w:rPr>
                <w:rFonts w:ascii="仿宋_GB2312" w:hAnsi="新宋体" w:eastAsia="仿宋_GB2312" w:cs="仿宋_GB2312"/>
                <w:szCs w:val="21"/>
              </w:rPr>
              <w:t>评价要点：</w:t>
            </w:r>
          </w:p>
          <w:p w14:paraId="7821B1A8">
            <w:pPr>
              <w:spacing w:line="240" w:lineRule="exact"/>
              <w:ind w:firstLine="440" w:firstLineChars="200"/>
              <w:rPr>
                <w:szCs w:val="21"/>
              </w:rPr>
            </w:pPr>
            <w:r>
              <w:rPr>
                <w:rFonts w:ascii="仿宋_GB2312" w:hAnsi="新宋体" w:eastAsia="仿宋_GB2312" w:cs="仿宋_GB2312"/>
                <w:szCs w:val="21"/>
              </w:rPr>
              <w:t>1.符合国家财经法规和财务管理制度规定以及有关部门资金管理办法的规定；</w:t>
            </w:r>
          </w:p>
          <w:p w14:paraId="0CD1954C">
            <w:pPr>
              <w:spacing w:line="240" w:lineRule="exact"/>
              <w:ind w:firstLine="440" w:firstLineChars="200"/>
              <w:rPr>
                <w:szCs w:val="21"/>
              </w:rPr>
            </w:pPr>
            <w:r>
              <w:rPr>
                <w:rFonts w:ascii="仿宋_GB2312" w:hAnsi="新宋体" w:eastAsia="仿宋_GB2312" w:cs="仿宋_GB2312"/>
                <w:szCs w:val="21"/>
              </w:rPr>
              <w:t>2.资金的拨付有完整的审批过程和手续；</w:t>
            </w:r>
          </w:p>
          <w:p w14:paraId="74706FD8">
            <w:pPr>
              <w:spacing w:line="240" w:lineRule="exact"/>
              <w:ind w:firstLine="440" w:firstLineChars="200"/>
              <w:rPr>
                <w:szCs w:val="21"/>
              </w:rPr>
            </w:pPr>
            <w:r>
              <w:rPr>
                <w:rFonts w:ascii="仿宋_GB2312" w:hAnsi="新宋体" w:eastAsia="仿宋_GB2312" w:cs="仿宋_GB2312"/>
                <w:szCs w:val="21"/>
              </w:rPr>
              <w:t>3.项目的重大开支经过评估论证；</w:t>
            </w:r>
          </w:p>
          <w:p w14:paraId="2643DBDB">
            <w:pPr>
              <w:spacing w:line="240" w:lineRule="exact"/>
              <w:ind w:firstLine="440" w:firstLineChars="200"/>
              <w:rPr>
                <w:szCs w:val="21"/>
              </w:rPr>
            </w:pPr>
            <w:r>
              <w:rPr>
                <w:rFonts w:ascii="仿宋_GB2312" w:hAnsi="新宋体" w:eastAsia="仿宋_GB2312" w:cs="仿宋_GB2312"/>
                <w:szCs w:val="21"/>
              </w:rPr>
              <w:t>4.符合部门预算批复的用途；</w:t>
            </w:r>
          </w:p>
          <w:p w14:paraId="0E184FB2">
            <w:pPr>
              <w:spacing w:line="240" w:lineRule="exact"/>
              <w:ind w:firstLine="440" w:firstLineChars="200"/>
              <w:rPr>
                <w:szCs w:val="21"/>
              </w:rPr>
            </w:pPr>
            <w:r>
              <w:rPr>
                <w:rFonts w:ascii="仿宋_GB2312" w:hAnsi="新宋体" w:eastAsia="仿宋_GB2312" w:cs="仿宋_GB2312"/>
                <w:szCs w:val="21"/>
              </w:rPr>
              <w:t>5.不存在截留情况；</w:t>
            </w:r>
          </w:p>
          <w:p w14:paraId="15243FF4">
            <w:pPr>
              <w:spacing w:line="240" w:lineRule="exact"/>
              <w:ind w:firstLine="440" w:firstLineChars="200"/>
              <w:rPr>
                <w:szCs w:val="21"/>
              </w:rPr>
            </w:pPr>
            <w:r>
              <w:rPr>
                <w:rFonts w:ascii="仿宋_GB2312" w:hAnsi="新宋体" w:eastAsia="仿宋_GB2312" w:cs="仿宋_GB2312"/>
                <w:szCs w:val="21"/>
              </w:rPr>
              <w:t>6.不存在挤占情况；</w:t>
            </w:r>
          </w:p>
          <w:p w14:paraId="6DC64418">
            <w:pPr>
              <w:spacing w:line="240" w:lineRule="exact"/>
              <w:ind w:firstLine="440" w:firstLineChars="200"/>
              <w:rPr>
                <w:szCs w:val="21"/>
              </w:rPr>
            </w:pPr>
            <w:r>
              <w:rPr>
                <w:rFonts w:ascii="仿宋_GB2312" w:hAnsi="新宋体" w:eastAsia="仿宋_GB2312" w:cs="仿宋_GB2312"/>
                <w:szCs w:val="21"/>
              </w:rPr>
              <w:t>7.不存在挪用情况；</w:t>
            </w:r>
          </w:p>
          <w:p w14:paraId="1E724ADE">
            <w:pPr>
              <w:spacing w:line="240" w:lineRule="exact"/>
              <w:ind w:firstLine="440" w:firstLineChars="200"/>
              <w:rPr>
                <w:szCs w:val="21"/>
              </w:rPr>
            </w:pPr>
            <w:r>
              <w:rPr>
                <w:rFonts w:ascii="仿宋_GB2312" w:hAnsi="新宋体" w:eastAsia="仿宋_GB2312" w:cs="仿宋_GB2312"/>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1932F87F">
            <w:pPr>
              <w:spacing w:line="240" w:lineRule="exact"/>
              <w:ind w:firstLine="440" w:firstLineChars="200"/>
              <w:rPr>
                <w:szCs w:val="21"/>
              </w:rPr>
            </w:pPr>
            <w:r>
              <w:rPr>
                <w:rFonts w:ascii="仿宋_GB2312" w:hAnsi="新宋体" w:eastAsia="仿宋_GB2312" w:cs="仿宋_GB2312"/>
                <w:szCs w:val="21"/>
              </w:rPr>
              <w:t>全部符合（8）；</w:t>
            </w:r>
          </w:p>
          <w:p w14:paraId="00B6388C">
            <w:pPr>
              <w:spacing w:line="240" w:lineRule="exact"/>
              <w:ind w:firstLine="440" w:firstLineChars="200"/>
              <w:rPr>
                <w:szCs w:val="21"/>
              </w:rPr>
            </w:pPr>
            <w:r>
              <w:rPr>
                <w:rFonts w:ascii="仿宋_GB2312" w:hAnsi="新宋体" w:eastAsia="仿宋_GB2312" w:cs="仿宋_GB2312"/>
                <w:szCs w:val="21"/>
              </w:rPr>
              <w:t>符合其中七项（6）；</w:t>
            </w:r>
          </w:p>
          <w:p w14:paraId="1B806615">
            <w:pPr>
              <w:spacing w:line="240" w:lineRule="exact"/>
              <w:ind w:firstLine="440" w:firstLineChars="200"/>
              <w:rPr>
                <w:szCs w:val="21"/>
              </w:rPr>
            </w:pPr>
            <w:r>
              <w:rPr>
                <w:rFonts w:ascii="仿宋_GB2312" w:hAnsi="新宋体" w:eastAsia="仿宋_GB2312" w:cs="仿宋_GB2312"/>
                <w:szCs w:val="21"/>
              </w:rPr>
              <w:t>符合其中六项（4）；</w:t>
            </w:r>
          </w:p>
          <w:p w14:paraId="2805F40F">
            <w:pPr>
              <w:spacing w:line="240" w:lineRule="exact"/>
              <w:ind w:firstLine="440" w:firstLineChars="200"/>
              <w:rPr>
                <w:szCs w:val="21"/>
              </w:rPr>
            </w:pPr>
            <w:r>
              <w:rPr>
                <w:rFonts w:ascii="仿宋_GB2312" w:hAnsi="新宋体" w:eastAsia="仿宋_GB2312" w:cs="仿宋_GB2312"/>
                <w:szCs w:val="21"/>
              </w:rPr>
              <w:t>符合其中五项（2）；</w:t>
            </w:r>
          </w:p>
          <w:p w14:paraId="15903A82">
            <w:pPr>
              <w:spacing w:line="240" w:lineRule="exact"/>
              <w:ind w:firstLine="440" w:firstLineChars="200"/>
              <w:rPr>
                <w:szCs w:val="21"/>
              </w:rPr>
            </w:pPr>
            <w:r>
              <w:rPr>
                <w:rFonts w:ascii="仿宋_GB2312" w:hAnsi="新宋体" w:eastAsia="仿宋_GB2312" w:cs="仿宋_GB2312"/>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4035FBF">
            <w:pPr>
              <w:spacing w:line="240" w:lineRule="exact"/>
              <w:ind w:firstLine="440" w:firstLineChars="200"/>
              <w:rPr>
                <w:szCs w:val="21"/>
              </w:rPr>
            </w:pPr>
            <w:r>
              <w:rPr>
                <w:rFonts w:hint="eastAsia"/>
                <w:szCs w:val="21"/>
              </w:rPr>
              <w:t>8</w:t>
            </w:r>
          </w:p>
        </w:tc>
      </w:tr>
      <w:tr w14:paraId="66C6A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4709F80">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7678058">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776C98C">
            <w:pPr>
              <w:spacing w:line="240" w:lineRule="exact"/>
              <w:ind w:firstLine="440" w:firstLineChars="200"/>
              <w:rPr>
                <w:szCs w:val="21"/>
              </w:rPr>
            </w:pPr>
            <w:r>
              <w:rPr>
                <w:rFonts w:ascii="仿宋_GB2312" w:hAnsi="新宋体" w:eastAsia="仿宋_GB2312" w:cs="仿宋_GB2312"/>
                <w:szCs w:val="21"/>
              </w:rPr>
              <w:t>预决算信息公开性（3</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3897783">
            <w:pPr>
              <w:spacing w:line="240" w:lineRule="exact"/>
              <w:ind w:firstLine="440" w:firstLineChars="200"/>
              <w:rPr>
                <w:szCs w:val="21"/>
              </w:rPr>
            </w:pPr>
            <w:r>
              <w:rPr>
                <w:rFonts w:ascii="仿宋_GB2312" w:hAnsi="新宋体" w:eastAsia="仿宋_GB2312" w:cs="仿宋_GB2312"/>
                <w:szCs w:val="21"/>
              </w:rPr>
              <w:t>部门是否按照政府信息公开有关规定公开相关预决算信息，用以反映和评价部门预决算管理的公开透明情况。</w:t>
            </w:r>
          </w:p>
          <w:p w14:paraId="3F5C2265">
            <w:pPr>
              <w:spacing w:line="240" w:lineRule="exact"/>
              <w:ind w:firstLine="440" w:firstLineChars="200"/>
              <w:rPr>
                <w:szCs w:val="21"/>
              </w:rPr>
            </w:pPr>
            <w:r>
              <w:rPr>
                <w:rFonts w:ascii="仿宋_GB2312" w:hAnsi="新宋体" w:eastAsia="仿宋_GB2312" w:cs="仿宋_GB2312"/>
                <w:szCs w:val="21"/>
              </w:rPr>
              <w:t>预决算信息是指与部门预算、执行、决算、监督、绩效等管理相关的信息。</w:t>
            </w:r>
          </w:p>
          <w:p w14:paraId="5546E2D5">
            <w:pPr>
              <w:spacing w:line="240" w:lineRule="exact"/>
              <w:ind w:firstLine="440" w:firstLineChars="200"/>
              <w:rPr>
                <w:szCs w:val="21"/>
              </w:rPr>
            </w:pPr>
            <w:r>
              <w:rPr>
                <w:rFonts w:ascii="仿宋_GB2312" w:hAnsi="新宋体" w:eastAsia="仿宋_GB2312" w:cs="仿宋_GB2312"/>
                <w:szCs w:val="21"/>
              </w:rPr>
              <w:t>评价要点：</w:t>
            </w:r>
          </w:p>
          <w:p w14:paraId="26880EF1">
            <w:pPr>
              <w:spacing w:line="240" w:lineRule="exact"/>
              <w:ind w:firstLine="440" w:firstLineChars="200"/>
              <w:rPr>
                <w:szCs w:val="21"/>
              </w:rPr>
            </w:pPr>
            <w:r>
              <w:rPr>
                <w:rFonts w:ascii="仿宋_GB2312" w:hAnsi="新宋体" w:eastAsia="仿宋_GB2312" w:cs="仿宋_GB2312"/>
                <w:szCs w:val="21"/>
              </w:rPr>
              <w:t>1.公开预决算信息；</w:t>
            </w:r>
          </w:p>
          <w:p w14:paraId="22A4D5EB">
            <w:pPr>
              <w:spacing w:line="240" w:lineRule="exact"/>
              <w:ind w:firstLine="440" w:firstLineChars="200"/>
              <w:rPr>
                <w:szCs w:val="21"/>
              </w:rPr>
            </w:pPr>
            <w:r>
              <w:rPr>
                <w:rFonts w:ascii="仿宋_GB2312" w:hAnsi="新宋体" w:eastAsia="仿宋_GB2312" w:cs="仿宋_GB2312"/>
                <w:szCs w:val="21"/>
              </w:rPr>
              <w:t>2.按规定内容公开预决算信息；</w:t>
            </w:r>
          </w:p>
          <w:p w14:paraId="7642B520">
            <w:pPr>
              <w:spacing w:line="240" w:lineRule="exact"/>
              <w:ind w:firstLine="440" w:firstLineChars="200"/>
              <w:rPr>
                <w:szCs w:val="21"/>
              </w:rPr>
            </w:pPr>
            <w:r>
              <w:rPr>
                <w:rFonts w:ascii="仿宋_GB2312" w:hAnsi="新宋体" w:eastAsia="仿宋_GB2312" w:cs="仿宋_GB2312"/>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3FB7965C">
            <w:pPr>
              <w:spacing w:line="240" w:lineRule="exact"/>
              <w:ind w:firstLine="440" w:firstLineChars="200"/>
              <w:rPr>
                <w:szCs w:val="21"/>
              </w:rPr>
            </w:pPr>
            <w:r>
              <w:rPr>
                <w:rFonts w:ascii="仿宋_GB2312" w:hAnsi="新宋体" w:eastAsia="仿宋_GB2312" w:cs="仿宋_GB2312"/>
                <w:szCs w:val="21"/>
              </w:rPr>
              <w:t>全部符合（3）；</w:t>
            </w:r>
          </w:p>
          <w:p w14:paraId="54C7BF4E">
            <w:pPr>
              <w:spacing w:line="240" w:lineRule="exact"/>
              <w:ind w:firstLine="440" w:firstLineChars="200"/>
              <w:rPr>
                <w:szCs w:val="21"/>
              </w:rPr>
            </w:pPr>
            <w:r>
              <w:rPr>
                <w:rFonts w:ascii="仿宋_GB2312" w:hAnsi="新宋体" w:eastAsia="仿宋_GB2312" w:cs="仿宋_GB2312"/>
                <w:szCs w:val="21"/>
              </w:rPr>
              <w:t>符合其中两项（2）</w:t>
            </w:r>
          </w:p>
          <w:p w14:paraId="684703EC">
            <w:pPr>
              <w:spacing w:line="240" w:lineRule="exact"/>
              <w:ind w:firstLine="440" w:firstLineChars="200"/>
              <w:rPr>
                <w:szCs w:val="21"/>
              </w:rPr>
            </w:pPr>
            <w:r>
              <w:rPr>
                <w:rFonts w:ascii="仿宋_GB2312" w:hAnsi="新宋体" w:eastAsia="仿宋_GB2312" w:cs="仿宋_GB2312"/>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A9F8B92">
            <w:pPr>
              <w:spacing w:line="240" w:lineRule="exact"/>
              <w:ind w:firstLine="440" w:firstLineChars="200"/>
              <w:rPr>
                <w:szCs w:val="21"/>
              </w:rPr>
            </w:pPr>
            <w:r>
              <w:rPr>
                <w:rFonts w:hint="eastAsia"/>
                <w:szCs w:val="21"/>
              </w:rPr>
              <w:t>3</w:t>
            </w:r>
          </w:p>
        </w:tc>
      </w:tr>
      <w:tr w14:paraId="6A216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B936BF4">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54FDEAC">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B395073">
            <w:pPr>
              <w:spacing w:line="240" w:lineRule="exact"/>
              <w:ind w:firstLine="440" w:firstLineChars="200"/>
              <w:rPr>
                <w:szCs w:val="21"/>
              </w:rPr>
            </w:pPr>
            <w:r>
              <w:rPr>
                <w:rFonts w:ascii="仿宋_GB2312" w:hAnsi="新宋体" w:eastAsia="仿宋_GB2312" w:cs="仿宋_GB2312"/>
                <w:color w:val="000000"/>
                <w:szCs w:val="21"/>
              </w:rPr>
              <w:t>基础信息完善性</w:t>
            </w:r>
            <w:r>
              <w:rPr>
                <w:rFonts w:ascii="仿宋_GB2312" w:hAnsi="新宋体" w:eastAsia="仿宋_GB2312" w:cs="仿宋_GB2312"/>
                <w:szCs w:val="21"/>
              </w:rPr>
              <w:t>（4</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9ECBCCB">
            <w:pPr>
              <w:spacing w:line="240" w:lineRule="exact"/>
              <w:ind w:firstLine="440" w:firstLineChars="200"/>
              <w:rPr>
                <w:szCs w:val="21"/>
              </w:rPr>
            </w:pPr>
            <w:r>
              <w:rPr>
                <w:rFonts w:ascii="仿宋_GB2312" w:hAnsi="新宋体" w:eastAsia="仿宋_GB2312" w:cs="仿宋_GB2312"/>
                <w:szCs w:val="21"/>
              </w:rPr>
              <w:t>部门基础信息是否完善，用以反映和评价基础信息对预算管理工作的支撑情况。</w:t>
            </w:r>
          </w:p>
          <w:p w14:paraId="61D1CB6D">
            <w:pPr>
              <w:spacing w:line="240" w:lineRule="exact"/>
              <w:ind w:firstLine="440" w:firstLineChars="200"/>
              <w:rPr>
                <w:szCs w:val="21"/>
              </w:rPr>
            </w:pPr>
            <w:r>
              <w:rPr>
                <w:rFonts w:ascii="仿宋_GB2312" w:hAnsi="新宋体" w:eastAsia="仿宋_GB2312" w:cs="仿宋_GB2312"/>
                <w:szCs w:val="21"/>
              </w:rPr>
              <w:t>评价要点：</w:t>
            </w:r>
          </w:p>
          <w:p w14:paraId="3E2330F0">
            <w:pPr>
              <w:spacing w:line="240" w:lineRule="exact"/>
              <w:ind w:firstLine="440" w:firstLineChars="200"/>
              <w:rPr>
                <w:szCs w:val="21"/>
              </w:rPr>
            </w:pPr>
            <w:r>
              <w:rPr>
                <w:rFonts w:ascii="仿宋_GB2312" w:hAnsi="新宋体" w:eastAsia="仿宋_GB2312" w:cs="仿宋_GB2312"/>
                <w:szCs w:val="21"/>
              </w:rPr>
              <w:t>1.基本财务管理制度健全；</w:t>
            </w:r>
          </w:p>
          <w:p w14:paraId="0596E76F">
            <w:pPr>
              <w:spacing w:line="240" w:lineRule="exact"/>
              <w:ind w:firstLine="440" w:firstLineChars="200"/>
              <w:rPr>
                <w:szCs w:val="21"/>
              </w:rPr>
            </w:pPr>
            <w:r>
              <w:rPr>
                <w:rFonts w:ascii="仿宋_GB2312" w:hAnsi="新宋体" w:eastAsia="仿宋_GB2312" w:cs="仿宋_GB2312"/>
                <w:szCs w:val="21"/>
              </w:rPr>
              <w:t>2.基础数据信息和会计信息资料真实；</w:t>
            </w:r>
          </w:p>
          <w:p w14:paraId="7B4394E9">
            <w:pPr>
              <w:spacing w:line="240" w:lineRule="exact"/>
              <w:ind w:firstLine="440" w:firstLineChars="200"/>
              <w:rPr>
                <w:szCs w:val="21"/>
              </w:rPr>
            </w:pPr>
            <w:r>
              <w:rPr>
                <w:rFonts w:ascii="仿宋_GB2312" w:hAnsi="新宋体" w:eastAsia="仿宋_GB2312" w:cs="仿宋_GB2312"/>
                <w:szCs w:val="21"/>
              </w:rPr>
              <w:t>3.基础数据信息和会计信息资料完整；</w:t>
            </w:r>
          </w:p>
          <w:p w14:paraId="6516288C">
            <w:pPr>
              <w:spacing w:line="240" w:lineRule="exact"/>
              <w:ind w:firstLine="440" w:firstLineChars="200"/>
              <w:rPr>
                <w:szCs w:val="21"/>
              </w:rPr>
            </w:pPr>
            <w:r>
              <w:rPr>
                <w:rFonts w:ascii="仿宋_GB2312" w:hAnsi="新宋体" w:eastAsia="仿宋_GB2312" w:cs="仿宋_GB2312"/>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6C7608FF">
            <w:pPr>
              <w:spacing w:line="240" w:lineRule="exact"/>
              <w:ind w:firstLine="440" w:firstLineChars="200"/>
              <w:rPr>
                <w:szCs w:val="21"/>
              </w:rPr>
            </w:pPr>
            <w:r>
              <w:rPr>
                <w:rFonts w:ascii="仿宋_GB2312" w:hAnsi="新宋体" w:eastAsia="仿宋_GB2312" w:cs="仿宋_GB2312"/>
                <w:szCs w:val="21"/>
              </w:rPr>
              <w:t>符合全部四项（4）；</w:t>
            </w:r>
          </w:p>
          <w:p w14:paraId="20F2DD6F">
            <w:pPr>
              <w:spacing w:line="240" w:lineRule="exact"/>
              <w:ind w:firstLine="440" w:firstLineChars="200"/>
              <w:rPr>
                <w:szCs w:val="21"/>
              </w:rPr>
            </w:pPr>
            <w:r>
              <w:rPr>
                <w:rFonts w:ascii="仿宋_GB2312" w:hAnsi="新宋体" w:eastAsia="仿宋_GB2312" w:cs="仿宋_GB2312"/>
                <w:szCs w:val="21"/>
              </w:rPr>
              <w:t>符合其中三项（2）；</w:t>
            </w:r>
          </w:p>
          <w:p w14:paraId="023A7088">
            <w:pPr>
              <w:spacing w:line="240" w:lineRule="exact"/>
              <w:ind w:firstLine="440" w:firstLineChars="200"/>
              <w:rPr>
                <w:szCs w:val="21"/>
              </w:rPr>
            </w:pPr>
            <w:r>
              <w:rPr>
                <w:rFonts w:ascii="仿宋_GB2312" w:hAnsi="新宋体" w:eastAsia="仿宋_GB2312" w:cs="仿宋_GB2312"/>
                <w:szCs w:val="21"/>
              </w:rPr>
              <w:t>符合其中两项（1）；</w:t>
            </w:r>
          </w:p>
          <w:p w14:paraId="79D7D90E">
            <w:pPr>
              <w:spacing w:line="240" w:lineRule="exact"/>
              <w:ind w:firstLine="440" w:firstLineChars="200"/>
              <w:rPr>
                <w:szCs w:val="21"/>
              </w:rPr>
            </w:pPr>
            <w:r>
              <w:rPr>
                <w:rFonts w:ascii="仿宋_GB2312" w:hAnsi="新宋体" w:eastAsia="仿宋_GB2312" w:cs="仿宋_GB2312"/>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6E164479">
            <w:pPr>
              <w:spacing w:line="240" w:lineRule="exact"/>
              <w:ind w:firstLine="440" w:firstLineChars="200"/>
              <w:rPr>
                <w:szCs w:val="21"/>
              </w:rPr>
            </w:pPr>
            <w:r>
              <w:rPr>
                <w:rFonts w:hint="eastAsia"/>
                <w:szCs w:val="21"/>
              </w:rPr>
              <w:t>4</w:t>
            </w:r>
          </w:p>
        </w:tc>
      </w:tr>
      <w:tr w14:paraId="2D6E5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16F8BBD">
            <w:pPr>
              <w:spacing w:line="240" w:lineRule="exact"/>
              <w:ind w:firstLine="44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C75A655">
            <w:pPr>
              <w:spacing w:line="240" w:lineRule="exact"/>
              <w:ind w:firstLine="440" w:firstLineChars="200"/>
              <w:rPr>
                <w:szCs w:val="21"/>
              </w:rPr>
            </w:pPr>
            <w:r>
              <w:rPr>
                <w:rFonts w:ascii="仿宋_GB2312" w:hAnsi="新宋体" w:eastAsia="仿宋_GB2312" w:cs="仿宋_GB2312"/>
                <w:szCs w:val="21"/>
              </w:rPr>
              <w:t>资产管理</w:t>
            </w:r>
            <w:r>
              <w:rPr>
                <w:rFonts w:hint="eastAsia" w:ascii="仿宋_GB2312" w:hAnsi="新宋体" w:eastAsia="仿宋_GB2312" w:cs="仿宋_GB2312"/>
                <w:szCs w:val="21"/>
              </w:rPr>
              <w:t>情况</w:t>
            </w:r>
            <w:r>
              <w:rPr>
                <w:rFonts w:ascii="仿宋_GB2312" w:hAnsi="新宋体" w:eastAsia="仿宋_GB2312" w:cs="仿宋_GB2312"/>
                <w:szCs w:val="21"/>
              </w:rPr>
              <w:t>（</w:t>
            </w:r>
            <w:r>
              <w:rPr>
                <w:rFonts w:hint="eastAsia" w:ascii="仿宋_GB2312" w:hAnsi="新宋体" w:eastAsia="仿宋_GB2312" w:cs="仿宋_GB2312"/>
                <w:szCs w:val="21"/>
              </w:rPr>
              <w:t>5分</w:t>
            </w:r>
            <w:r>
              <w:rPr>
                <w:rFonts w:ascii="仿宋_GB2312" w:hAnsi="新宋体" w:eastAsia="仿宋_GB2312" w:cs="仿宋_GB2312"/>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7F729BED">
            <w:pPr>
              <w:spacing w:line="240" w:lineRule="exact"/>
              <w:ind w:firstLine="440" w:firstLineChars="200"/>
              <w:rPr>
                <w:szCs w:val="21"/>
              </w:rPr>
            </w:pPr>
            <w:r>
              <w:rPr>
                <w:rFonts w:ascii="仿宋_GB2312" w:hAnsi="新宋体" w:eastAsia="仿宋_GB2312" w:cs="仿宋_GB2312"/>
                <w:szCs w:val="21"/>
              </w:rPr>
              <w:t>资产管理完整性（</w:t>
            </w:r>
            <w:r>
              <w:rPr>
                <w:rFonts w:hint="eastAsia" w:ascii="仿宋_GB2312" w:hAnsi="新宋体" w:eastAsia="仿宋_GB2312" w:cs="仿宋_GB2312"/>
                <w:szCs w:val="21"/>
              </w:rPr>
              <w:t>2分</w:t>
            </w:r>
            <w:r>
              <w:rPr>
                <w:rFonts w:ascii="仿宋_GB2312" w:hAnsi="新宋体" w:eastAsia="仿宋_GB2312" w:cs="仿宋_GB2312"/>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6E07CA8E">
            <w:pPr>
              <w:spacing w:line="240" w:lineRule="exact"/>
              <w:ind w:firstLine="440" w:firstLineChars="200"/>
              <w:rPr>
                <w:szCs w:val="21"/>
              </w:rPr>
            </w:pPr>
            <w:r>
              <w:rPr>
                <w:rFonts w:ascii="仿宋_GB2312" w:hAnsi="新宋体" w:eastAsia="仿宋_GB2312" w:cs="仿宋_GB2312"/>
                <w:szCs w:val="21"/>
              </w:rPr>
              <w:t>部门的资产是否保存完整、使用合规、收入及时足额上缴，用以反映和评价部门资产运行情况。</w:t>
            </w:r>
          </w:p>
          <w:p w14:paraId="0522A10A">
            <w:pPr>
              <w:spacing w:line="240" w:lineRule="exact"/>
              <w:ind w:firstLine="440" w:firstLineChars="200"/>
              <w:rPr>
                <w:szCs w:val="21"/>
              </w:rPr>
            </w:pPr>
            <w:r>
              <w:rPr>
                <w:rFonts w:ascii="仿宋_GB2312" w:hAnsi="新宋体" w:eastAsia="仿宋_GB2312" w:cs="仿宋_GB2312"/>
                <w:szCs w:val="21"/>
              </w:rPr>
              <w:t>评价要点：</w:t>
            </w:r>
          </w:p>
          <w:p w14:paraId="66597B86">
            <w:pPr>
              <w:spacing w:line="240" w:lineRule="exact"/>
              <w:ind w:firstLine="440" w:firstLineChars="200"/>
              <w:rPr>
                <w:szCs w:val="21"/>
              </w:rPr>
            </w:pPr>
            <w:r>
              <w:rPr>
                <w:rFonts w:ascii="仿宋_GB2312" w:hAnsi="新宋体" w:eastAsia="仿宋_GB2312" w:cs="仿宋_GB2312"/>
                <w:szCs w:val="21"/>
              </w:rPr>
              <w:t>1.资产保存完整；</w:t>
            </w:r>
          </w:p>
          <w:p w14:paraId="284B3589">
            <w:pPr>
              <w:spacing w:line="240" w:lineRule="exact"/>
              <w:ind w:firstLine="440" w:firstLineChars="200"/>
              <w:rPr>
                <w:szCs w:val="21"/>
              </w:rPr>
            </w:pPr>
            <w:r>
              <w:rPr>
                <w:rFonts w:ascii="仿宋_GB2312" w:hAnsi="新宋体" w:eastAsia="仿宋_GB2312" w:cs="仿宋_GB2312"/>
                <w:szCs w:val="21"/>
              </w:rPr>
              <w:t>2.资产账务管理是否合规，帐实相符；</w:t>
            </w:r>
          </w:p>
          <w:p w14:paraId="2C51CF65">
            <w:pPr>
              <w:spacing w:line="240" w:lineRule="exact"/>
              <w:ind w:firstLine="440" w:firstLineChars="200"/>
              <w:rPr>
                <w:szCs w:val="21"/>
              </w:rPr>
            </w:pPr>
            <w:r>
              <w:rPr>
                <w:rFonts w:ascii="仿宋_GB2312" w:hAnsi="新宋体" w:eastAsia="仿宋_GB2312" w:cs="仿宋_GB2312"/>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29ADEDCF">
            <w:pPr>
              <w:spacing w:line="240" w:lineRule="exact"/>
              <w:ind w:firstLine="440" w:firstLineChars="200"/>
              <w:rPr>
                <w:szCs w:val="21"/>
              </w:rPr>
            </w:pPr>
            <w:r>
              <w:rPr>
                <w:rFonts w:ascii="仿宋_GB2312" w:hAnsi="新宋体" w:eastAsia="仿宋_GB2312" w:cs="仿宋_GB2312"/>
                <w:szCs w:val="21"/>
              </w:rPr>
              <w:t>符合全部三项（3）；</w:t>
            </w:r>
          </w:p>
          <w:p w14:paraId="127D65E4">
            <w:pPr>
              <w:spacing w:line="240" w:lineRule="exact"/>
              <w:ind w:firstLine="440" w:firstLineChars="200"/>
              <w:rPr>
                <w:szCs w:val="21"/>
              </w:rPr>
            </w:pPr>
            <w:r>
              <w:rPr>
                <w:rFonts w:ascii="仿宋_GB2312" w:hAnsi="新宋体" w:eastAsia="仿宋_GB2312" w:cs="仿宋_GB2312"/>
                <w:szCs w:val="21"/>
              </w:rPr>
              <w:t>符合其中两项（2）；</w:t>
            </w:r>
          </w:p>
          <w:p w14:paraId="36B3B2BC">
            <w:pPr>
              <w:spacing w:line="240" w:lineRule="exact"/>
              <w:ind w:firstLine="440" w:firstLineChars="200"/>
              <w:rPr>
                <w:szCs w:val="21"/>
              </w:rPr>
            </w:pPr>
            <w:r>
              <w:rPr>
                <w:rFonts w:ascii="仿宋_GB2312" w:hAnsi="新宋体" w:eastAsia="仿宋_GB2312" w:cs="仿宋_GB2312"/>
                <w:szCs w:val="21"/>
              </w:rPr>
              <w:t>符合其中一项（1）；</w:t>
            </w:r>
          </w:p>
          <w:p w14:paraId="588DC64C">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184AFA6F">
            <w:pPr>
              <w:spacing w:line="240" w:lineRule="exact"/>
              <w:ind w:firstLine="440" w:firstLineChars="200"/>
              <w:rPr>
                <w:szCs w:val="21"/>
              </w:rPr>
            </w:pPr>
            <w:r>
              <w:rPr>
                <w:rFonts w:hint="eastAsia"/>
                <w:szCs w:val="21"/>
              </w:rPr>
              <w:t>2</w:t>
            </w:r>
          </w:p>
        </w:tc>
      </w:tr>
      <w:tr w14:paraId="40761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841E85">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F3F107A">
            <w:pPr>
              <w:spacing w:line="240" w:lineRule="exact"/>
              <w:ind w:firstLine="44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7EE0822F">
            <w:pPr>
              <w:spacing w:line="240" w:lineRule="exact"/>
              <w:ind w:firstLine="440" w:firstLineChars="200"/>
              <w:rPr>
                <w:szCs w:val="21"/>
              </w:rPr>
            </w:pPr>
            <w:r>
              <w:rPr>
                <w:rFonts w:ascii="仿宋_GB2312" w:hAnsi="新宋体" w:eastAsia="仿宋_GB2312" w:cs="仿宋_GB2312"/>
                <w:szCs w:val="21"/>
              </w:rPr>
              <w:t>固定资产利用率（</w:t>
            </w:r>
            <w:r>
              <w:rPr>
                <w:rFonts w:hint="eastAsia" w:ascii="仿宋_GB2312" w:hAnsi="新宋体" w:eastAsia="仿宋_GB2312" w:cs="仿宋_GB2312"/>
                <w:szCs w:val="21"/>
              </w:rPr>
              <w:t>3分</w:t>
            </w:r>
            <w:r>
              <w:rPr>
                <w:rFonts w:ascii="仿宋_GB2312" w:hAnsi="新宋体" w:eastAsia="仿宋_GB2312" w:cs="仿宋_GB2312"/>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BA167C4">
            <w:pPr>
              <w:spacing w:line="240" w:lineRule="exact"/>
              <w:ind w:firstLine="440" w:firstLineChars="200"/>
              <w:rPr>
                <w:szCs w:val="21"/>
              </w:rPr>
            </w:pPr>
            <w:r>
              <w:rPr>
                <w:rFonts w:ascii="仿宋_GB2312" w:hAnsi="新宋体" w:eastAsia="仿宋_GB2312" w:cs="仿宋_GB2312"/>
                <w:szCs w:val="21"/>
              </w:rPr>
              <w:t>部门实际在用固定资产总额与所有固定资产总额的比率，用以反映和评价部门固定资产使用效率。</w:t>
            </w:r>
          </w:p>
          <w:p w14:paraId="32227185">
            <w:pPr>
              <w:spacing w:line="240" w:lineRule="exact"/>
              <w:ind w:firstLine="440" w:firstLineChars="200"/>
              <w:rPr>
                <w:szCs w:val="21"/>
              </w:rPr>
            </w:pPr>
            <w:r>
              <w:rPr>
                <w:rFonts w:ascii="仿宋_GB2312" w:hAnsi="新宋体" w:eastAsia="仿宋_GB2312" w:cs="仿宋_GB2312"/>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75894169">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1.固定资产利用率大于或等于95%的，得满分；</w:t>
            </w:r>
          </w:p>
          <w:p w14:paraId="47536063">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2.固定资产利用率小于或等于85%的，得0分；</w:t>
            </w:r>
          </w:p>
          <w:p w14:paraId="3C2DC241">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3.固定资产利用率在85%-95%之间的，在0和满分之间计算确定：</w:t>
            </w:r>
          </w:p>
          <w:p w14:paraId="3D25E07F">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EC0F21F">
            <w:pPr>
              <w:spacing w:line="240" w:lineRule="exact"/>
              <w:ind w:firstLine="440" w:firstLineChars="200"/>
              <w:rPr>
                <w:szCs w:val="21"/>
              </w:rPr>
            </w:pPr>
            <w:r>
              <w:rPr>
                <w:rFonts w:hint="eastAsia"/>
                <w:szCs w:val="21"/>
              </w:rPr>
              <w:t>3</w:t>
            </w:r>
          </w:p>
        </w:tc>
      </w:tr>
      <w:tr w14:paraId="53EBC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6DD6700">
            <w:pPr>
              <w:spacing w:line="240" w:lineRule="exact"/>
              <w:ind w:firstLine="440" w:firstLineChars="200"/>
              <w:rPr>
                <w:szCs w:val="21"/>
              </w:rPr>
            </w:pPr>
            <w:r>
              <w:rPr>
                <w:rFonts w:ascii="仿宋_GB2312" w:hAnsi="新宋体" w:eastAsia="仿宋_GB2312" w:cs="仿宋_GB2312"/>
                <w:szCs w:val="21"/>
              </w:rPr>
              <w:t>产出(2</w:t>
            </w:r>
            <w:r>
              <w:rPr>
                <w:rFonts w:hint="eastAsia" w:ascii="仿宋_GB2312" w:hAnsi="新宋体" w:eastAsia="仿宋_GB2312" w:cs="仿宋_GB2312"/>
                <w:szCs w:val="21"/>
              </w:rPr>
              <w:t>5分</w:t>
            </w:r>
            <w:r>
              <w:rPr>
                <w:rFonts w:ascii="仿宋_GB2312" w:hAnsi="新宋体" w:eastAsia="仿宋_GB2312" w:cs="仿宋_GB2312"/>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65459E8">
            <w:pPr>
              <w:spacing w:line="240" w:lineRule="exact"/>
              <w:ind w:firstLine="440" w:firstLineChars="200"/>
              <w:rPr>
                <w:szCs w:val="21"/>
              </w:rPr>
            </w:pPr>
            <w:r>
              <w:rPr>
                <w:rFonts w:ascii="仿宋_GB2312" w:hAnsi="新宋体" w:eastAsia="仿宋_GB2312" w:cs="仿宋_GB2312"/>
                <w:szCs w:val="21"/>
              </w:rPr>
              <w:t>职责履行</w:t>
            </w:r>
            <w:r>
              <w:rPr>
                <w:rFonts w:hint="eastAsia" w:ascii="仿宋_GB2312" w:hAnsi="新宋体" w:eastAsia="仿宋_GB2312" w:cs="仿宋_GB2312"/>
                <w:szCs w:val="21"/>
              </w:rPr>
              <w:t>情况</w:t>
            </w:r>
            <w:r>
              <w:rPr>
                <w:rFonts w:ascii="仿宋_GB2312" w:hAnsi="新宋体" w:eastAsia="仿宋_GB2312" w:cs="仿宋_GB2312"/>
                <w:szCs w:val="21"/>
              </w:rPr>
              <w:t>（2</w:t>
            </w:r>
            <w:r>
              <w:rPr>
                <w:rFonts w:hint="eastAsia" w:ascii="仿宋_GB2312" w:hAnsi="新宋体" w:eastAsia="仿宋_GB2312" w:cs="仿宋_GB2312"/>
                <w:szCs w:val="21"/>
              </w:rPr>
              <w:t>5</w:t>
            </w:r>
            <w:r>
              <w:rPr>
                <w:rFonts w:ascii="仿宋_GB2312" w:hAnsi="新宋体" w:eastAsia="仿宋_GB2312" w:cs="仿宋_GB2312"/>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7D89AB7A">
            <w:pPr>
              <w:spacing w:line="240" w:lineRule="exact"/>
              <w:ind w:firstLine="440" w:firstLineChars="200"/>
              <w:rPr>
                <w:szCs w:val="21"/>
              </w:rPr>
            </w:pPr>
            <w:r>
              <w:rPr>
                <w:rFonts w:hint="eastAsia" w:ascii="仿宋_GB2312" w:hAnsi="新宋体" w:eastAsia="仿宋_GB2312" w:cs="仿宋_GB2312"/>
                <w:szCs w:val="21"/>
              </w:rPr>
              <w:t>履职完成情况</w:t>
            </w:r>
            <w:r>
              <w:rPr>
                <w:rFonts w:ascii="仿宋_GB2312" w:hAnsi="新宋体" w:eastAsia="仿宋_GB2312" w:cs="仿宋_GB2312"/>
                <w:szCs w:val="21"/>
              </w:rPr>
              <w:t>（</w:t>
            </w:r>
            <w:r>
              <w:rPr>
                <w:rFonts w:hint="eastAsia" w:ascii="仿宋_GB2312" w:hAnsi="新宋体" w:eastAsia="仿宋_GB2312" w:cs="仿宋_GB2312"/>
                <w:szCs w:val="21"/>
              </w:rPr>
              <w:t>10分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E9BBB0C">
            <w:pPr>
              <w:spacing w:line="240" w:lineRule="exact"/>
              <w:ind w:firstLine="440" w:firstLineChars="200"/>
              <w:textAlignment w:val="center"/>
              <w:rPr>
                <w:szCs w:val="21"/>
              </w:rPr>
            </w:pPr>
            <w:r>
              <w:rPr>
                <w:rFonts w:hint="eastAsia" w:ascii="仿宋" w:hAnsi="仿宋" w:eastAsia="仿宋" w:cs="仿宋"/>
                <w:color w:val="000000"/>
                <w:szCs w:val="21"/>
              </w:rPr>
              <w:t>根据年度主要任务分解表</w:t>
            </w:r>
            <w:r>
              <w:rPr>
                <w:rFonts w:hint="eastAsia" w:ascii="仿宋" w:hAnsi="仿宋" w:eastAsia="仿宋" w:cs="仿宋"/>
                <w:color w:val="000000"/>
                <w:szCs w:val="21"/>
                <w:lang w:eastAsia="zh-CN"/>
              </w:rPr>
              <w:t>的</w:t>
            </w:r>
            <w:r>
              <w:rPr>
                <w:rFonts w:hint="eastAsia" w:ascii="仿宋" w:hAnsi="仿宋" w:eastAsia="仿宋" w:cs="仿宋"/>
                <w:color w:val="00000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szCs w:val="21"/>
              </w:rPr>
              <w:br w:type="textWrapping"/>
            </w:r>
            <w:r>
              <w:rPr>
                <w:rFonts w:hint="eastAsia" w:ascii="仿宋" w:hAnsi="仿宋" w:eastAsia="仿宋" w:cs="仿宋"/>
                <w:color w:val="000000"/>
                <w:szCs w:val="21"/>
              </w:rPr>
              <w:t>1.每项任务是否已制定了明确、具体、可量化、可衡量的绩效指标；</w:t>
            </w:r>
            <w:r>
              <w:rPr>
                <w:rFonts w:hint="eastAsia" w:ascii="仿宋" w:hAnsi="仿宋" w:eastAsia="仿宋" w:cs="仿宋"/>
                <w:color w:val="000000"/>
                <w:szCs w:val="21"/>
              </w:rPr>
              <w:br w:type="textWrapping"/>
            </w:r>
            <w:r>
              <w:rPr>
                <w:rFonts w:hint="eastAsia" w:ascii="仿宋" w:hAnsi="仿宋" w:eastAsia="仿宋" w:cs="仿宋"/>
                <w:color w:val="000000"/>
                <w:szCs w:val="21"/>
              </w:rPr>
              <w:t>2.每项任务绩效指标的完成情况，是全部完成、基本完成、未完成，还是未实施；</w:t>
            </w:r>
            <w:r>
              <w:rPr>
                <w:rFonts w:hint="eastAsia" w:ascii="仿宋" w:hAnsi="仿宋" w:eastAsia="仿宋" w:cs="仿宋"/>
                <w:color w:val="000000"/>
                <w:szCs w:val="21"/>
              </w:rPr>
              <w:br w:type="textWrapping"/>
            </w:r>
            <w:r>
              <w:rPr>
                <w:rFonts w:hint="eastAsia" w:ascii="仿宋" w:hAnsi="仿宋" w:eastAsia="仿宋" w:cs="仿宋"/>
                <w:color w:val="000000"/>
                <w:szCs w:val="21"/>
              </w:rPr>
              <w:t>3.每项任务实施效果情况，是优秀、良好、一般，还是无效果；</w:t>
            </w:r>
            <w:r>
              <w:rPr>
                <w:rFonts w:hint="eastAsia" w:ascii="仿宋" w:hAnsi="仿宋" w:eastAsia="仿宋" w:cs="仿宋"/>
                <w:color w:val="000000"/>
                <w:szCs w:val="21"/>
              </w:rPr>
              <w:br w:type="textWrapping"/>
            </w:r>
            <w:r>
              <w:rPr>
                <w:rFonts w:hint="eastAsia" w:ascii="仿宋" w:hAnsi="仿宋" w:eastAsia="仿宋" w:cs="仿宋"/>
                <w:color w:val="00000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5A62CB9D">
            <w:pPr>
              <w:spacing w:line="240" w:lineRule="exact"/>
              <w:ind w:firstLine="440" w:firstLineChars="200"/>
              <w:textAlignment w:val="center"/>
              <w:rPr>
                <w:szCs w:val="21"/>
              </w:rPr>
            </w:pPr>
            <w:r>
              <w:rPr>
                <w:rFonts w:hint="eastAsia" w:ascii="仿宋" w:hAnsi="仿宋" w:eastAsia="仿宋" w:cs="仿宋"/>
                <w:color w:val="00000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7C572595">
            <w:pPr>
              <w:spacing w:line="240" w:lineRule="exact"/>
              <w:rPr>
                <w:szCs w:val="21"/>
              </w:rPr>
            </w:pPr>
            <w:r>
              <w:rPr>
                <w:rFonts w:hint="eastAsia"/>
                <w:szCs w:val="21"/>
              </w:rPr>
              <w:t>10</w:t>
            </w:r>
          </w:p>
        </w:tc>
      </w:tr>
      <w:tr w14:paraId="690E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FC3AC78">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FA66C0A">
            <w:pPr>
              <w:spacing w:line="240" w:lineRule="exact"/>
              <w:ind w:firstLine="44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14:paraId="074CD804">
            <w:pPr>
              <w:spacing w:line="240" w:lineRule="exact"/>
              <w:ind w:firstLine="440" w:firstLineChars="200"/>
              <w:rPr>
                <w:szCs w:val="21"/>
              </w:rPr>
            </w:pPr>
            <w:r>
              <w:rPr>
                <w:rFonts w:ascii="仿宋_GB2312" w:hAnsi="新宋体" w:eastAsia="仿宋_GB2312" w:cs="仿宋_GB2312"/>
                <w:szCs w:val="21"/>
              </w:rPr>
              <w:t>项目</w:t>
            </w:r>
            <w:r>
              <w:rPr>
                <w:rFonts w:hint="eastAsia" w:ascii="仿宋_GB2312" w:hAnsi="新宋体" w:eastAsia="仿宋_GB2312" w:cs="仿宋_GB2312"/>
                <w:szCs w:val="21"/>
              </w:rPr>
              <w:t>完成</w:t>
            </w:r>
            <w:r>
              <w:rPr>
                <w:rFonts w:ascii="仿宋_GB2312" w:hAnsi="新宋体" w:eastAsia="仿宋_GB2312" w:cs="仿宋_GB2312"/>
                <w:szCs w:val="21"/>
              </w:rPr>
              <w:t>质量达标率（</w:t>
            </w:r>
            <w:r>
              <w:rPr>
                <w:rFonts w:hint="eastAsia" w:ascii="仿宋_GB2312" w:hAnsi="新宋体" w:eastAsia="仿宋_GB2312" w:cs="仿宋_GB2312"/>
                <w:szCs w:val="21"/>
              </w:rPr>
              <w:t>15</w:t>
            </w:r>
            <w:r>
              <w:rPr>
                <w:rFonts w:ascii="仿宋_GB2312" w:hAnsi="新宋体" w:eastAsia="仿宋_GB2312" w:cs="仿宋_GB2312"/>
                <w:szCs w:val="21"/>
              </w:rPr>
              <w:t>）</w:t>
            </w:r>
          </w:p>
        </w:tc>
        <w:tc>
          <w:tcPr>
            <w:tcW w:w="3436" w:type="dxa"/>
            <w:tcBorders>
              <w:top w:val="single" w:color="000000" w:sz="4" w:space="0"/>
              <w:left w:val="single" w:color="auto" w:sz="4" w:space="0"/>
              <w:right w:val="single" w:color="auto" w:sz="4" w:space="0"/>
            </w:tcBorders>
            <w:vAlign w:val="center"/>
          </w:tcPr>
          <w:p w14:paraId="20934B8E">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部门已完成项目中质量达标项目个数占已完成项目个数的比率,用以反映和评价部门履职质量目标的实现程度。</w:t>
            </w:r>
          </w:p>
          <w:p w14:paraId="60BD9008">
            <w:pPr>
              <w:spacing w:line="240" w:lineRule="exact"/>
              <w:ind w:firstLine="440" w:firstLineChars="200"/>
              <w:rPr>
                <w:szCs w:val="21"/>
              </w:rPr>
            </w:pPr>
            <w:r>
              <w:rPr>
                <w:rFonts w:ascii="仿宋_GB2312" w:hAnsi="新宋体" w:eastAsia="仿宋_GB2312" w:cs="仿宋_GB2312"/>
                <w:szCs w:val="21"/>
              </w:rPr>
              <w:t>项目质量达标率=（已完成项目中质量达标项目个数/已完成项目个数）×100%。</w:t>
            </w:r>
          </w:p>
          <w:p w14:paraId="14E1F58F">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716558D1">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1.项目质量达标率等于100%的，得满分；</w:t>
            </w:r>
          </w:p>
          <w:p w14:paraId="7C38377D">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2.项目质量达标率小于或等于99%的，得0分；</w:t>
            </w:r>
          </w:p>
          <w:p w14:paraId="16E292C0">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3.项目质量达标率在99%-100%之间的，在0和满分之间计算确定：</w:t>
            </w:r>
          </w:p>
          <w:p w14:paraId="697704B0">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62342263">
            <w:pPr>
              <w:spacing w:line="240" w:lineRule="exact"/>
              <w:rPr>
                <w:szCs w:val="21"/>
              </w:rPr>
            </w:pPr>
            <w:r>
              <w:rPr>
                <w:rFonts w:hint="eastAsia"/>
                <w:szCs w:val="21"/>
              </w:rPr>
              <w:t>15</w:t>
            </w:r>
          </w:p>
        </w:tc>
      </w:tr>
      <w:tr w14:paraId="4EED7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530D8FB">
            <w:pPr>
              <w:spacing w:line="240" w:lineRule="exact"/>
              <w:ind w:firstLine="440" w:firstLineChars="200"/>
              <w:rPr>
                <w:szCs w:val="21"/>
              </w:rPr>
            </w:pPr>
            <w:r>
              <w:rPr>
                <w:rFonts w:ascii="仿宋_GB2312" w:hAnsi="新宋体" w:eastAsia="仿宋_GB2312" w:cs="仿宋_GB2312"/>
                <w:szCs w:val="21"/>
              </w:rPr>
              <w:t>效果（</w:t>
            </w:r>
            <w:r>
              <w:rPr>
                <w:rFonts w:hint="eastAsia" w:ascii="仿宋_GB2312" w:hAnsi="新宋体" w:eastAsia="仿宋_GB2312" w:cs="仿宋_GB2312"/>
                <w:szCs w:val="21"/>
              </w:rPr>
              <w:t>2</w:t>
            </w:r>
            <w:r>
              <w:rPr>
                <w:rFonts w:ascii="仿宋_GB2312" w:hAnsi="新宋体" w:eastAsia="仿宋_GB2312" w:cs="仿宋_GB2312"/>
                <w:szCs w:val="21"/>
              </w:rPr>
              <w:t>0</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743" w:type="dxa"/>
            <w:vMerge w:val="restart"/>
            <w:tcBorders>
              <w:top w:val="single" w:color="auto" w:sz="4" w:space="0"/>
              <w:left w:val="single" w:color="000000" w:sz="4" w:space="0"/>
              <w:right w:val="single" w:color="000000" w:sz="4" w:space="0"/>
            </w:tcBorders>
            <w:vAlign w:val="center"/>
          </w:tcPr>
          <w:p w14:paraId="4F537676">
            <w:pPr>
              <w:spacing w:line="240" w:lineRule="exact"/>
              <w:ind w:firstLine="440" w:firstLineChars="200"/>
              <w:rPr>
                <w:rFonts w:ascii="仿宋_GB2312" w:hAnsi="新宋体" w:eastAsia="仿宋_GB2312" w:cs="仿宋_GB2312"/>
                <w:szCs w:val="21"/>
              </w:rPr>
            </w:pPr>
          </w:p>
          <w:p w14:paraId="78D2C3C6">
            <w:pPr>
              <w:spacing w:line="240" w:lineRule="exact"/>
              <w:ind w:firstLine="440" w:firstLineChars="200"/>
              <w:rPr>
                <w:rFonts w:ascii="仿宋_GB2312" w:hAnsi="新宋体" w:eastAsia="仿宋_GB2312" w:cs="仿宋_GB2312"/>
                <w:szCs w:val="21"/>
              </w:rPr>
            </w:pPr>
            <w:r>
              <w:rPr>
                <w:rFonts w:hint="eastAsia" w:ascii="仿宋_GB2312" w:hAnsi="新宋体" w:eastAsia="仿宋_GB2312" w:cs="仿宋_GB2312"/>
                <w:szCs w:val="21"/>
              </w:rPr>
              <w:t>履职效益情况</w:t>
            </w:r>
          </w:p>
          <w:p w14:paraId="71424EC3">
            <w:pPr>
              <w:spacing w:line="240" w:lineRule="exact"/>
              <w:ind w:firstLine="440" w:firstLineChars="200"/>
              <w:rPr>
                <w:rFonts w:ascii="仿宋_GB2312" w:hAnsi="新宋体" w:eastAsia="仿宋_GB2312" w:cs="仿宋_GB2312"/>
                <w:szCs w:val="21"/>
              </w:rPr>
            </w:pPr>
            <w:r>
              <w:rPr>
                <w:rFonts w:ascii="仿宋_GB2312" w:hAnsi="新宋体" w:eastAsia="仿宋_GB2312" w:cs="仿宋_GB2312"/>
                <w:szCs w:val="21"/>
              </w:rPr>
              <w:t>（</w:t>
            </w:r>
            <w:r>
              <w:rPr>
                <w:rFonts w:hint="eastAsia" w:ascii="仿宋_GB2312" w:hAnsi="新宋体" w:eastAsia="仿宋_GB2312" w:cs="仿宋_GB2312"/>
                <w:szCs w:val="21"/>
              </w:rPr>
              <w:t>2</w:t>
            </w:r>
            <w:r>
              <w:rPr>
                <w:rFonts w:ascii="仿宋_GB2312" w:hAnsi="新宋体" w:eastAsia="仿宋_GB2312" w:cs="仿宋_GB2312"/>
                <w:szCs w:val="21"/>
              </w:rPr>
              <w:t>0</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91233E7">
            <w:pPr>
              <w:spacing w:line="240" w:lineRule="exact"/>
              <w:ind w:firstLine="440" w:firstLineChars="200"/>
              <w:rPr>
                <w:szCs w:val="21"/>
              </w:rPr>
            </w:pPr>
            <w:r>
              <w:rPr>
                <w:rFonts w:hint="eastAsia" w:ascii="仿宋_GB2312" w:hAnsi="新宋体" w:eastAsia="仿宋_GB2312" w:cs="仿宋_GB2312"/>
                <w:color w:val="000000"/>
                <w:szCs w:val="21"/>
              </w:rPr>
              <w:t>经济效益</w:t>
            </w:r>
            <w:r>
              <w:rPr>
                <w:rFonts w:ascii="仿宋_GB2312" w:hAnsi="新宋体" w:eastAsia="仿宋_GB2312" w:cs="仿宋_GB2312"/>
                <w:szCs w:val="21"/>
              </w:rPr>
              <w:t>（5</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97C2A95">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部门及所属二级单位通过履行职责和预算安排支出项目的实施，对我市带来的经济影响。</w:t>
            </w:r>
          </w:p>
          <w:p w14:paraId="158B84DB">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评价要点：</w:t>
            </w:r>
            <w:r>
              <w:rPr>
                <w:rFonts w:hint="eastAsia" w:ascii="仿宋" w:hAnsi="仿宋" w:eastAsia="仿宋" w:cs="仿宋"/>
                <w:color w:val="000000"/>
                <w:szCs w:val="21"/>
              </w:rPr>
              <w:br w:type="textWrapping"/>
            </w:r>
            <w:r>
              <w:rPr>
                <w:rFonts w:hint="eastAsia" w:ascii="仿宋" w:hAnsi="仿宋" w:eastAsia="仿宋" w:cs="仿宋"/>
                <w:color w:val="000000"/>
                <w:szCs w:val="21"/>
              </w:rPr>
              <w:t>1.通过部门所属企事业单位改革，促进了企事业单位效益增长情况；</w:t>
            </w:r>
            <w:r>
              <w:rPr>
                <w:rFonts w:hint="eastAsia" w:ascii="仿宋" w:hAnsi="仿宋" w:eastAsia="仿宋" w:cs="仿宋"/>
                <w:color w:val="000000"/>
                <w:szCs w:val="21"/>
              </w:rPr>
              <w:br w:type="textWrapping"/>
            </w:r>
            <w:r>
              <w:rPr>
                <w:rFonts w:hint="eastAsia" w:ascii="仿宋" w:hAnsi="仿宋" w:eastAsia="仿宋" w:cs="仿宋"/>
                <w:color w:val="000000"/>
                <w:szCs w:val="21"/>
              </w:rPr>
              <w:t>2.通过预算支出项目的实施，促进了行业生产能力增长，从而带动行业经济效益增长；</w:t>
            </w:r>
            <w:r>
              <w:rPr>
                <w:rFonts w:hint="eastAsia" w:ascii="仿宋" w:hAnsi="仿宋" w:eastAsia="仿宋" w:cs="仿宋"/>
                <w:color w:val="000000"/>
                <w:szCs w:val="21"/>
              </w:rPr>
              <w:br w:type="textWrapping"/>
            </w:r>
            <w:r>
              <w:rPr>
                <w:rFonts w:hint="eastAsia" w:ascii="仿宋" w:hAnsi="仿宋" w:eastAsia="仿宋" w:cs="仿宋"/>
                <w:color w:val="000000"/>
                <w:szCs w:val="21"/>
              </w:rPr>
              <w:t>3.通过预算支出项目的实施，有效提高劳动效率，节约成本费用；</w:t>
            </w:r>
            <w:r>
              <w:rPr>
                <w:rFonts w:hint="eastAsia" w:ascii="仿宋" w:hAnsi="仿宋" w:eastAsia="仿宋" w:cs="仿宋"/>
                <w:color w:val="000000"/>
                <w:szCs w:val="21"/>
              </w:rPr>
              <w:br w:type="textWrapping"/>
            </w:r>
            <w:r>
              <w:rPr>
                <w:rFonts w:hint="eastAsia" w:ascii="仿宋" w:hAnsi="仿宋" w:eastAsia="仿宋" w:cs="仿宋"/>
                <w:color w:val="000000"/>
                <w:szCs w:val="21"/>
              </w:rPr>
              <w:t>4.通过预算支出项目的实施，降低了损耗，从而提高了生产效益；</w:t>
            </w:r>
            <w:r>
              <w:rPr>
                <w:rFonts w:hint="eastAsia" w:ascii="仿宋" w:hAnsi="仿宋" w:eastAsia="仿宋" w:cs="仿宋"/>
                <w:color w:val="000000"/>
                <w:szCs w:val="21"/>
              </w:rPr>
              <w:br w:type="textWrapping"/>
            </w:r>
            <w:r>
              <w:rPr>
                <w:rFonts w:hint="eastAsia" w:ascii="仿宋" w:hAnsi="仿宋" w:eastAsia="仿宋" w:cs="仿宋"/>
                <w:color w:val="00000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6ACCB92E">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BCC8AD0">
            <w:pPr>
              <w:spacing w:line="240" w:lineRule="exact"/>
              <w:ind w:firstLine="440" w:firstLineChars="200"/>
              <w:rPr>
                <w:szCs w:val="21"/>
              </w:rPr>
            </w:pPr>
            <w:r>
              <w:rPr>
                <w:rFonts w:hint="eastAsia"/>
                <w:szCs w:val="21"/>
              </w:rPr>
              <w:t>5</w:t>
            </w:r>
          </w:p>
        </w:tc>
      </w:tr>
      <w:tr w14:paraId="0A55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369EF11">
            <w:pPr>
              <w:spacing w:line="240" w:lineRule="exact"/>
              <w:ind w:firstLine="440" w:firstLineChars="200"/>
              <w:rPr>
                <w:rFonts w:ascii="仿宋_GB2312" w:hAnsi="新宋体" w:eastAsia="仿宋_GB2312" w:cs="仿宋_GB2312"/>
                <w:szCs w:val="21"/>
              </w:rPr>
            </w:pPr>
          </w:p>
        </w:tc>
        <w:tc>
          <w:tcPr>
            <w:tcW w:w="743" w:type="dxa"/>
            <w:vMerge w:val="continue"/>
            <w:tcBorders>
              <w:left w:val="single" w:color="000000" w:sz="4" w:space="0"/>
              <w:right w:val="single" w:color="000000" w:sz="4" w:space="0"/>
            </w:tcBorders>
            <w:vAlign w:val="center"/>
          </w:tcPr>
          <w:p w14:paraId="21263758">
            <w:pPr>
              <w:spacing w:line="240" w:lineRule="exact"/>
              <w:ind w:firstLine="440" w:firstLineChars="200"/>
              <w:rPr>
                <w:rFonts w:ascii="仿宋_GB2312" w:hAnsi="新宋体" w:eastAsia="仿宋_GB2312" w:cs="仿宋_GB2312"/>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465A1DE">
            <w:pPr>
              <w:spacing w:line="240" w:lineRule="exact"/>
              <w:ind w:firstLine="440" w:firstLineChars="200"/>
              <w:rPr>
                <w:rFonts w:ascii="仿宋_GB2312" w:hAnsi="新宋体" w:eastAsia="仿宋_GB2312" w:cs="仿宋_GB2312"/>
                <w:color w:val="000000"/>
                <w:szCs w:val="21"/>
              </w:rPr>
            </w:pPr>
            <w:r>
              <w:rPr>
                <w:rFonts w:hint="eastAsia" w:ascii="仿宋_GB2312" w:hAnsi="新宋体" w:eastAsia="仿宋_GB2312" w:cs="仿宋_GB2312"/>
                <w:color w:val="00000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52B46E4">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部门及所属二级单位履行职责对社会发展所带来的直接或间接影响。</w:t>
            </w:r>
          </w:p>
          <w:p w14:paraId="755CDBED">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评价要点：</w:t>
            </w:r>
            <w:r>
              <w:rPr>
                <w:rFonts w:hint="eastAsia" w:ascii="仿宋" w:hAnsi="仿宋" w:eastAsia="仿宋" w:cs="仿宋"/>
                <w:color w:val="000000"/>
                <w:szCs w:val="21"/>
              </w:rPr>
              <w:br w:type="textWrapping"/>
            </w:r>
            <w:r>
              <w:rPr>
                <w:rFonts w:hint="eastAsia" w:ascii="仿宋" w:hAnsi="仿宋" w:eastAsia="仿宋" w:cs="仿宋"/>
                <w:color w:val="000000"/>
                <w:szCs w:val="21"/>
              </w:rPr>
              <w:t>1.通过部门所属企事业单位的改革，促进了企事业单位可持续发展，带动就业增长情况；</w:t>
            </w:r>
            <w:r>
              <w:rPr>
                <w:rFonts w:hint="eastAsia" w:ascii="仿宋" w:hAnsi="仿宋" w:eastAsia="仿宋" w:cs="仿宋"/>
                <w:color w:val="000000"/>
                <w:szCs w:val="21"/>
              </w:rPr>
              <w:br w:type="textWrapping"/>
            </w:r>
            <w:r>
              <w:rPr>
                <w:rFonts w:hint="eastAsia" w:ascii="仿宋" w:hAnsi="仿宋" w:eastAsia="仿宋" w:cs="仿宋"/>
                <w:color w:val="000000"/>
                <w:szCs w:val="21"/>
              </w:rPr>
              <w:t>2.通过预算支出项目的实施，是否明显促进了行业精神文明建设；</w:t>
            </w:r>
            <w:r>
              <w:rPr>
                <w:rFonts w:hint="eastAsia" w:ascii="仿宋" w:hAnsi="仿宋" w:eastAsia="仿宋" w:cs="仿宋"/>
                <w:color w:val="000000"/>
                <w:szCs w:val="21"/>
              </w:rPr>
              <w:br w:type="textWrapping"/>
            </w:r>
            <w:r>
              <w:rPr>
                <w:rFonts w:hint="eastAsia" w:ascii="仿宋" w:hAnsi="仿宋" w:eastAsia="仿宋" w:cs="仿宋"/>
                <w:color w:val="000000"/>
                <w:szCs w:val="21"/>
              </w:rPr>
              <w:t>3.通过部门履职是否明显提高城乡居民生活水平，满足了人们日益增长的物质与文化生活需求；</w:t>
            </w:r>
            <w:r>
              <w:rPr>
                <w:rFonts w:hint="eastAsia" w:ascii="仿宋" w:hAnsi="仿宋" w:eastAsia="仿宋" w:cs="仿宋"/>
                <w:color w:val="000000"/>
                <w:szCs w:val="21"/>
              </w:rPr>
              <w:br w:type="textWrapping"/>
            </w:r>
            <w:r>
              <w:rPr>
                <w:rFonts w:hint="eastAsia" w:ascii="仿宋" w:hAnsi="仿宋" w:eastAsia="仿宋" w:cs="仿宋"/>
                <w:color w:val="000000"/>
                <w:szCs w:val="21"/>
              </w:rPr>
              <w:t>4.通过预算项目的实施，是否提高了劳动生产率，降低了劳动强度，促进了劳动人民的身心健康；</w:t>
            </w:r>
            <w:r>
              <w:rPr>
                <w:rFonts w:hint="eastAsia" w:ascii="仿宋" w:hAnsi="仿宋" w:eastAsia="仿宋" w:cs="仿宋"/>
                <w:color w:val="000000"/>
                <w:szCs w:val="21"/>
              </w:rPr>
              <w:br w:type="textWrapping"/>
            </w:r>
            <w:r>
              <w:rPr>
                <w:rFonts w:hint="eastAsia" w:ascii="仿宋" w:hAnsi="仿宋" w:eastAsia="仿宋" w:cs="仿宋"/>
                <w:color w:val="00000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67218CC9">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3BFD3B2">
            <w:pPr>
              <w:spacing w:line="240" w:lineRule="exact"/>
              <w:ind w:firstLine="440" w:firstLineChars="200"/>
              <w:rPr>
                <w:szCs w:val="21"/>
              </w:rPr>
            </w:pPr>
            <w:r>
              <w:rPr>
                <w:rFonts w:hint="eastAsia"/>
                <w:szCs w:val="21"/>
              </w:rPr>
              <w:t>5</w:t>
            </w:r>
          </w:p>
        </w:tc>
      </w:tr>
      <w:tr w14:paraId="5B3F5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8F86EB3">
            <w:pPr>
              <w:spacing w:line="240" w:lineRule="exact"/>
              <w:ind w:firstLine="440" w:firstLineChars="200"/>
              <w:rPr>
                <w:rFonts w:ascii="仿宋_GB2312" w:hAnsi="新宋体" w:eastAsia="仿宋_GB2312" w:cs="仿宋_GB2312"/>
                <w:szCs w:val="21"/>
              </w:rPr>
            </w:pPr>
          </w:p>
        </w:tc>
        <w:tc>
          <w:tcPr>
            <w:tcW w:w="743" w:type="dxa"/>
            <w:vMerge w:val="continue"/>
            <w:tcBorders>
              <w:left w:val="single" w:color="000000" w:sz="4" w:space="0"/>
              <w:right w:val="single" w:color="000000" w:sz="4" w:space="0"/>
            </w:tcBorders>
            <w:vAlign w:val="center"/>
          </w:tcPr>
          <w:p w14:paraId="0E7030B4">
            <w:pPr>
              <w:spacing w:line="240" w:lineRule="exact"/>
              <w:ind w:firstLine="440" w:firstLineChars="200"/>
              <w:rPr>
                <w:rFonts w:ascii="仿宋_GB2312" w:hAnsi="新宋体" w:eastAsia="仿宋_GB2312" w:cs="仿宋_GB2312"/>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1640FAF">
            <w:pPr>
              <w:spacing w:line="240" w:lineRule="exact"/>
              <w:ind w:firstLine="440" w:firstLineChars="200"/>
              <w:rPr>
                <w:rFonts w:ascii="仿宋_GB2312" w:hAnsi="新宋体" w:eastAsia="仿宋_GB2312" w:cs="仿宋_GB2312"/>
                <w:color w:val="000000"/>
                <w:szCs w:val="21"/>
              </w:rPr>
            </w:pPr>
            <w:r>
              <w:rPr>
                <w:rFonts w:hint="eastAsia" w:ascii="仿宋_GB2312" w:hAnsi="新宋体" w:eastAsia="仿宋_GB2312" w:cs="仿宋_GB2312"/>
                <w:color w:val="00000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38FFA3A">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部门及所属二级单位履行职责对生态环境所带来的直接或间接影响。</w:t>
            </w:r>
          </w:p>
          <w:p w14:paraId="4A9A852E">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评价要点：</w:t>
            </w:r>
            <w:r>
              <w:rPr>
                <w:rFonts w:hint="eastAsia" w:ascii="仿宋" w:hAnsi="仿宋" w:eastAsia="仿宋" w:cs="仿宋"/>
                <w:color w:val="000000"/>
                <w:szCs w:val="21"/>
              </w:rPr>
              <w:br w:type="textWrapping"/>
            </w:r>
            <w:r>
              <w:rPr>
                <w:rFonts w:hint="eastAsia" w:ascii="仿宋" w:hAnsi="仿宋" w:eastAsia="仿宋" w:cs="仿宋"/>
                <w:color w:val="000000"/>
                <w:szCs w:val="21"/>
              </w:rPr>
              <w:t>1.通过预算支出项目的实施，绿色、节能环保新技术的应用和推广，明显带动各环节的节能减排，也具有一定的环境效益；</w:t>
            </w:r>
            <w:r>
              <w:rPr>
                <w:rFonts w:hint="eastAsia" w:ascii="仿宋" w:hAnsi="仿宋" w:eastAsia="仿宋" w:cs="仿宋"/>
                <w:color w:val="000000"/>
                <w:szCs w:val="21"/>
              </w:rPr>
              <w:br w:type="textWrapping"/>
            </w:r>
            <w:r>
              <w:rPr>
                <w:rFonts w:hint="eastAsia" w:ascii="仿宋" w:hAnsi="仿宋" w:eastAsia="仿宋" w:cs="仿宋"/>
                <w:color w:val="000000"/>
                <w:szCs w:val="21"/>
              </w:rPr>
              <w:t>2.通过履职有效地控制虚假、伪劣、霉变等劣质产品进入市场，影响了人民生活质量，净化地市场环境；</w:t>
            </w:r>
            <w:r>
              <w:rPr>
                <w:rFonts w:hint="eastAsia" w:ascii="仿宋" w:hAnsi="仿宋" w:eastAsia="仿宋" w:cs="仿宋"/>
                <w:color w:val="000000"/>
                <w:szCs w:val="21"/>
              </w:rPr>
              <w:br w:type="textWrapping"/>
            </w:r>
            <w:r>
              <w:rPr>
                <w:rFonts w:hint="eastAsia" w:ascii="仿宋" w:hAnsi="仿宋" w:eastAsia="仿宋" w:cs="仿宋"/>
                <w:color w:val="000000"/>
                <w:szCs w:val="21"/>
              </w:rPr>
              <w:t>3.通过预算支出项目的实施，是否达到减少污染物排放；</w:t>
            </w:r>
            <w:r>
              <w:rPr>
                <w:rFonts w:hint="eastAsia" w:ascii="仿宋" w:hAnsi="仿宋" w:eastAsia="仿宋" w:cs="仿宋"/>
                <w:color w:val="000000"/>
                <w:szCs w:val="21"/>
              </w:rPr>
              <w:br w:type="textWrapping"/>
            </w:r>
            <w:r>
              <w:rPr>
                <w:rFonts w:hint="eastAsia" w:ascii="仿宋" w:hAnsi="仿宋" w:eastAsia="仿宋" w:cs="仿宋"/>
                <w:color w:val="00000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3A27E382">
            <w:pPr>
              <w:spacing w:line="240" w:lineRule="exact"/>
              <w:ind w:firstLine="440" w:firstLineChars="200"/>
              <w:textAlignment w:val="center"/>
              <w:rPr>
                <w:szCs w:val="21"/>
              </w:rPr>
            </w:pPr>
            <w:r>
              <w:rPr>
                <w:rFonts w:hint="eastAsia" w:ascii="仿宋" w:hAnsi="仿宋" w:eastAsia="仿宋" w:cs="仿宋"/>
                <w:color w:val="00000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164E2395">
            <w:pPr>
              <w:spacing w:line="240" w:lineRule="exact"/>
              <w:ind w:firstLine="440" w:firstLineChars="200"/>
              <w:rPr>
                <w:szCs w:val="21"/>
              </w:rPr>
            </w:pPr>
            <w:r>
              <w:rPr>
                <w:rFonts w:hint="eastAsia"/>
                <w:szCs w:val="21"/>
              </w:rPr>
              <w:t>5</w:t>
            </w:r>
          </w:p>
        </w:tc>
      </w:tr>
      <w:tr w14:paraId="5260B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F9643A1">
            <w:pPr>
              <w:spacing w:line="240" w:lineRule="exact"/>
              <w:ind w:firstLine="44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2C3E7C4B">
            <w:pPr>
              <w:spacing w:line="240" w:lineRule="exact"/>
              <w:ind w:firstLine="440" w:firstLineChars="200"/>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6403AF0">
            <w:pPr>
              <w:spacing w:line="240" w:lineRule="exact"/>
              <w:ind w:firstLine="440" w:firstLineChars="200"/>
              <w:rPr>
                <w:szCs w:val="21"/>
              </w:rPr>
            </w:pPr>
            <w:r>
              <w:rPr>
                <w:rFonts w:hint="eastAsia" w:ascii="仿宋_GB2312" w:hAnsi="新宋体" w:eastAsia="仿宋_GB2312" w:cs="仿宋_GB2312"/>
                <w:szCs w:val="21"/>
              </w:rPr>
              <w:t>服务对象</w:t>
            </w:r>
            <w:r>
              <w:rPr>
                <w:rFonts w:ascii="仿宋_GB2312" w:hAnsi="新宋体" w:eastAsia="仿宋_GB2312" w:cs="仿宋_GB2312"/>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291FD4E5">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hint="eastAsia" w:ascii="仿宋_GB2312" w:hAnsi="新宋体" w:eastAsia="仿宋_GB2312" w:cs="仿宋_GB2312"/>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2E9FBABC">
            <w:pPr>
              <w:spacing w:line="240" w:lineRule="exact"/>
              <w:ind w:firstLine="440" w:firstLineChars="200"/>
              <w:rPr>
                <w:rFonts w:ascii="仿宋" w:hAnsi="仿宋" w:eastAsia="仿宋" w:cs="宋体"/>
                <w:szCs w:val="21"/>
              </w:rPr>
            </w:pPr>
            <w:r>
              <w:rPr>
                <w:rFonts w:ascii="仿宋" w:hAnsi="仿宋" w:eastAsia="仿宋" w:cs="Arial"/>
                <w:szCs w:val="21"/>
              </w:rPr>
              <w:t>按照满意度调查的优秀、良好、合格、不合格给予该项指标打分：</w:t>
            </w:r>
          </w:p>
          <w:p w14:paraId="66529888">
            <w:pPr>
              <w:spacing w:line="240" w:lineRule="exact"/>
              <w:ind w:firstLine="440" w:firstLineChars="200"/>
              <w:rPr>
                <w:szCs w:val="21"/>
              </w:rPr>
            </w:pPr>
            <w:r>
              <w:rPr>
                <w:rFonts w:ascii="仿宋" w:hAnsi="仿宋" w:eastAsia="仿宋" w:cs="Arial"/>
                <w:szCs w:val="21"/>
              </w:rPr>
              <w:t>优秀（</w:t>
            </w:r>
            <w:r>
              <w:rPr>
                <w:rFonts w:hint="eastAsia" w:ascii="仿宋" w:hAnsi="仿宋" w:eastAsia="仿宋" w:cs="Arial"/>
                <w:szCs w:val="21"/>
              </w:rPr>
              <w:t>5</w:t>
            </w:r>
            <w:r>
              <w:rPr>
                <w:rFonts w:ascii="仿宋" w:hAnsi="仿宋" w:eastAsia="仿宋" w:cs="Arial"/>
                <w:szCs w:val="21"/>
              </w:rPr>
              <w:t>）；良好（</w:t>
            </w:r>
            <w:r>
              <w:rPr>
                <w:rFonts w:hint="eastAsia" w:ascii="仿宋" w:hAnsi="仿宋" w:eastAsia="仿宋" w:cs="Arial"/>
                <w:szCs w:val="21"/>
              </w:rPr>
              <w:t>3</w:t>
            </w:r>
            <w:r>
              <w:rPr>
                <w:rFonts w:ascii="仿宋" w:hAnsi="仿宋" w:eastAsia="仿宋" w:cs="Arial"/>
                <w:szCs w:val="21"/>
              </w:rPr>
              <w:t>）；合格（</w:t>
            </w:r>
            <w:r>
              <w:rPr>
                <w:rFonts w:hint="eastAsia" w:ascii="仿宋" w:hAnsi="仿宋" w:eastAsia="仿宋" w:cs="Arial"/>
                <w:szCs w:val="21"/>
              </w:rPr>
              <w:t>1</w:t>
            </w:r>
            <w:r>
              <w:rPr>
                <w:rFonts w:ascii="仿宋" w:hAnsi="仿宋" w:eastAsia="仿宋" w:cs="Arial"/>
                <w:szCs w:val="21"/>
              </w:rPr>
              <w:t>）；不合格（</w:t>
            </w:r>
            <w:r>
              <w:rPr>
                <w:rFonts w:hint="eastAsia" w:ascii="仿宋" w:hAnsi="仿宋" w:eastAsia="仿宋" w:cs="Arial"/>
                <w:szCs w:val="21"/>
              </w:rPr>
              <w:t>0</w:t>
            </w:r>
            <w:r>
              <w:rPr>
                <w:rFonts w:ascii="仿宋" w:hAnsi="仿宋" w:eastAsia="仿宋" w:cs="Arial"/>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0A5F97F7">
            <w:pPr>
              <w:spacing w:line="240" w:lineRule="exact"/>
              <w:ind w:firstLine="440" w:firstLineChars="200"/>
              <w:rPr>
                <w:szCs w:val="21"/>
              </w:rPr>
            </w:pPr>
            <w:r>
              <w:rPr>
                <w:rFonts w:hint="eastAsia"/>
                <w:szCs w:val="21"/>
              </w:rPr>
              <w:t>5</w:t>
            </w:r>
          </w:p>
        </w:tc>
      </w:tr>
    </w:tbl>
    <w:p w14:paraId="7CF95E5C">
      <w:pPr>
        <w:spacing w:line="240" w:lineRule="exact"/>
        <w:ind w:firstLine="640" w:firstLineChars="200"/>
        <w:rPr>
          <w:rFonts w:ascii="仿宋" w:hAnsi="仿宋" w:eastAsia="仿宋" w:cs="仿宋"/>
          <w:sz w:val="32"/>
          <w:szCs w:val="32"/>
        </w:rPr>
      </w:pPr>
    </w:p>
    <w:p w14:paraId="2D503299">
      <w:pPr>
        <w:spacing w:line="240" w:lineRule="exact"/>
        <w:ind w:firstLine="640" w:firstLineChars="200"/>
        <w:rPr>
          <w:rFonts w:ascii="仿宋" w:hAnsi="仿宋" w:eastAsia="仿宋" w:cs="仿宋"/>
          <w:sz w:val="32"/>
          <w:szCs w:val="32"/>
        </w:rPr>
      </w:pPr>
    </w:p>
    <w:p w14:paraId="0968445B">
      <w:pPr>
        <w:spacing w:line="240" w:lineRule="exact"/>
        <w:ind w:firstLine="640" w:firstLineChars="200"/>
        <w:rPr>
          <w:rFonts w:ascii="仿宋" w:hAnsi="仿宋" w:eastAsia="仿宋" w:cs="仿宋"/>
          <w:sz w:val="32"/>
          <w:szCs w:val="32"/>
        </w:rPr>
      </w:pPr>
    </w:p>
    <w:p w14:paraId="68BE9651">
      <w:pPr>
        <w:ind w:firstLine="602" w:firstLineChars="200"/>
        <w:rPr>
          <w:rFonts w:ascii="仿宋" w:hAnsi="仿宋" w:eastAsia="仿宋" w:cs="仿宋"/>
          <w:b/>
          <w:bCs/>
          <w:sz w:val="30"/>
          <w:szCs w:val="30"/>
        </w:rPr>
      </w:pPr>
    </w:p>
    <w:p w14:paraId="33130E04">
      <w:pPr>
        <w:ind w:firstLine="602" w:firstLineChars="200"/>
        <w:rPr>
          <w:rFonts w:ascii="仿宋" w:hAnsi="仿宋" w:eastAsia="仿宋" w:cs="仿宋"/>
          <w:b/>
          <w:bCs/>
          <w:sz w:val="30"/>
          <w:szCs w:val="30"/>
        </w:rPr>
      </w:pPr>
    </w:p>
    <w:p w14:paraId="35A22BB6">
      <w:pPr>
        <w:ind w:firstLine="602" w:firstLineChars="200"/>
        <w:rPr>
          <w:rFonts w:ascii="仿宋" w:hAnsi="仿宋" w:eastAsia="仿宋" w:cs="仿宋"/>
          <w:b/>
          <w:bCs/>
          <w:sz w:val="30"/>
          <w:szCs w:val="30"/>
        </w:rPr>
      </w:pPr>
    </w:p>
    <w:p w14:paraId="520CC553">
      <w:pPr>
        <w:ind w:firstLine="602" w:firstLineChars="200"/>
        <w:rPr>
          <w:rFonts w:ascii="仿宋" w:hAnsi="仿宋" w:eastAsia="仿宋" w:cs="仿宋"/>
          <w:b/>
          <w:bCs/>
          <w:sz w:val="30"/>
          <w:szCs w:val="30"/>
        </w:rPr>
      </w:pPr>
    </w:p>
    <w:p w14:paraId="35A798C5">
      <w:pPr>
        <w:ind w:firstLine="602" w:firstLineChars="200"/>
        <w:rPr>
          <w:rFonts w:ascii="仿宋" w:hAnsi="仿宋" w:eastAsia="仿宋" w:cs="仿宋"/>
          <w:b/>
          <w:bCs/>
          <w:sz w:val="30"/>
          <w:szCs w:val="30"/>
        </w:rPr>
      </w:pPr>
    </w:p>
    <w:p w14:paraId="1A02D4C4">
      <w:pPr>
        <w:ind w:firstLine="602" w:firstLineChars="200"/>
        <w:rPr>
          <w:rFonts w:ascii="仿宋" w:hAnsi="仿宋" w:eastAsia="仿宋" w:cs="仿宋"/>
          <w:b/>
          <w:bCs/>
          <w:sz w:val="30"/>
          <w:szCs w:val="30"/>
        </w:rPr>
      </w:pPr>
    </w:p>
    <w:p w14:paraId="01416E5D">
      <w:pPr>
        <w:ind w:firstLine="602" w:firstLineChars="200"/>
        <w:rPr>
          <w:rFonts w:ascii="仿宋" w:hAnsi="仿宋" w:eastAsia="仿宋" w:cs="仿宋"/>
          <w:b/>
          <w:bCs/>
          <w:sz w:val="30"/>
          <w:szCs w:val="30"/>
        </w:rPr>
      </w:pPr>
    </w:p>
    <w:p w14:paraId="64518CA6">
      <w:pPr>
        <w:ind w:firstLine="602" w:firstLineChars="200"/>
        <w:rPr>
          <w:rFonts w:ascii="仿宋" w:hAnsi="仿宋" w:eastAsia="仿宋" w:cs="仿宋"/>
          <w:b/>
          <w:bCs/>
          <w:sz w:val="30"/>
          <w:szCs w:val="30"/>
        </w:rPr>
      </w:pPr>
    </w:p>
    <w:p w14:paraId="531E0BBF">
      <w:pPr>
        <w:ind w:firstLine="602" w:firstLineChars="200"/>
        <w:rPr>
          <w:rFonts w:ascii="仿宋" w:hAnsi="仿宋" w:eastAsia="仿宋" w:cs="仿宋"/>
          <w:b/>
          <w:bCs/>
          <w:sz w:val="30"/>
          <w:szCs w:val="30"/>
        </w:rPr>
      </w:pPr>
    </w:p>
    <w:p w14:paraId="34E00476">
      <w:pPr>
        <w:ind w:firstLine="602" w:firstLineChars="200"/>
        <w:rPr>
          <w:rFonts w:ascii="仿宋" w:hAnsi="仿宋" w:eastAsia="仿宋" w:cs="仿宋"/>
          <w:b/>
          <w:bCs/>
          <w:sz w:val="30"/>
          <w:szCs w:val="30"/>
        </w:rPr>
      </w:pPr>
    </w:p>
    <w:p w14:paraId="073FAF7D">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04DAEA78">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5A541E97">
      <w:pPr>
        <w:ind w:firstLine="643" w:firstLineChars="200"/>
        <w:rPr>
          <w:rFonts w:ascii="仿宋" w:hAnsi="仿宋" w:eastAsia="仿宋" w:cs="仿宋"/>
          <w:b/>
          <w:sz w:val="32"/>
          <w:szCs w:val="32"/>
        </w:rPr>
      </w:pPr>
      <w:r>
        <w:rPr>
          <w:rFonts w:hint="eastAsia" w:ascii="仿宋" w:hAnsi="仿宋" w:eastAsia="仿宋" w:cs="仿宋"/>
          <w:b/>
          <w:sz w:val="32"/>
          <w:szCs w:val="32"/>
        </w:rPr>
        <w:t>1、部门主要职责职能</w:t>
      </w:r>
    </w:p>
    <w:p w14:paraId="6D6F8DC5">
      <w:pPr>
        <w:pStyle w:val="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14:paraId="70497DDF">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（一）贯彻落实党和国家教育工作的方针、政策和法律法规，拟定我县教育工作的实施意见和措施，并组织实施。</w:t>
      </w:r>
    </w:p>
    <w:p w14:paraId="707DFDCC">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（二）负责学区各级各类教育的统筹规划和协调管理，组织实施各级各类学校的设置标准，指导各级各类学校的教育教学改革，负责教育基本信息的统计、分析和发布。</w:t>
      </w:r>
    </w:p>
    <w:p w14:paraId="6A574D88">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三）综合管理教师队伍建设的中长期规划及教师培养、培训的政策、规划制定和组织实施工作；负责推进义务教育均衡发展和促进教育公平，负责义务教育的管理和协调；负责基础教育教学基本要求和教学基本文件的实施；负责社会力量举办的各级各类学校的管理工作。</w:t>
      </w:r>
    </w:p>
    <w:p w14:paraId="781506CC">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（四）负责推进并指导各级各类学校的教育教学改革和科研工作；负责全面实施素质教育，提高教学质量和水平。</w:t>
      </w:r>
    </w:p>
    <w:p w14:paraId="24F0E413">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（五）负责指导学区的教育督导工作，负责组织和指导对中小学教育和扫除青壮年文盲工作的督导和评估验收；负责并指导基础教育发展水平、质量的监测工作；负责组织指导各类学校的招生考试工作。</w:t>
      </w:r>
    </w:p>
    <w:p w14:paraId="20E0A095">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（六）负责管理本部门教育经费和县拨教育经费并对各项经费使用情况进行监督；监测教育经费（含人员经费）的投入和执行情况；实施对家庭困难学生的资助工作</w:t>
      </w:r>
      <w:r>
        <w:rPr>
          <w:rFonts w:hint="eastAsia" w:ascii="仿宋" w:hAnsi="仿宋" w:eastAsia="仿宋" w:cs="仿宋"/>
          <w:color w:val="auto"/>
          <w:kern w:val="2"/>
          <w:sz w:val="32"/>
          <w:szCs w:val="32"/>
          <w:lang w:eastAsia="zh-CN"/>
        </w:rPr>
        <w:t>。</w:t>
      </w:r>
    </w:p>
    <w:p w14:paraId="5ADC13EF">
      <w:pPr>
        <w:ind w:firstLine="643" w:firstLineChars="200"/>
        <w:rPr>
          <w:rFonts w:ascii="仿宋" w:hAnsi="仿宋" w:eastAsia="仿宋" w:cs="仿宋"/>
          <w:b/>
          <w:sz w:val="32"/>
          <w:szCs w:val="32"/>
        </w:rPr>
      </w:pPr>
      <w:r>
        <w:rPr>
          <w:rFonts w:hint="eastAsia" w:ascii="仿宋" w:hAnsi="仿宋" w:eastAsia="仿宋" w:cs="仿宋"/>
          <w:b/>
          <w:sz w:val="32"/>
          <w:szCs w:val="32"/>
        </w:rPr>
        <w:t>2、部门履职总体目标</w:t>
      </w:r>
    </w:p>
    <w:p w14:paraId="2ABD8A7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w:t>
      </w:r>
      <w:r>
        <w:rPr>
          <w:rFonts w:ascii="仿宋" w:hAnsi="仿宋" w:eastAsia="仿宋" w:cs="仿宋"/>
          <w:sz w:val="32"/>
          <w:szCs w:val="32"/>
        </w:rPr>
        <w:t>年，学区教育系统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p>
    <w:p w14:paraId="61E6B29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sz w:val="32"/>
          <w:szCs w:val="32"/>
        </w:rPr>
        <w:t>、着力加强党的领导，</w:t>
      </w:r>
      <w:r>
        <w:rPr>
          <w:rFonts w:hint="eastAsia" w:ascii="仿宋" w:hAnsi="仿宋" w:eastAsia="仿宋" w:cs="仿宋"/>
          <w:sz w:val="32"/>
          <w:szCs w:val="32"/>
        </w:rPr>
        <w:t>做好学区</w:t>
      </w:r>
      <w:r>
        <w:rPr>
          <w:rFonts w:ascii="仿宋" w:hAnsi="仿宋" w:eastAsia="仿宋" w:cs="仿宋"/>
          <w:sz w:val="32"/>
          <w:szCs w:val="32"/>
        </w:rPr>
        <w:t>各项工作</w:t>
      </w:r>
    </w:p>
    <w:p w14:paraId="740E5A03">
      <w:pPr>
        <w:spacing w:line="600" w:lineRule="exact"/>
        <w:ind w:firstLine="640" w:firstLineChars="200"/>
        <w:rPr>
          <w:rFonts w:ascii="仿宋" w:hAnsi="仿宋" w:eastAsia="仿宋" w:cs="仿宋"/>
          <w:sz w:val="32"/>
          <w:szCs w:val="32"/>
        </w:rPr>
      </w:pPr>
      <w:r>
        <w:rPr>
          <w:rFonts w:ascii="仿宋" w:hAnsi="仿宋" w:eastAsia="仿宋" w:cs="仿宋"/>
          <w:sz w:val="32"/>
          <w:szCs w:val="32"/>
        </w:rPr>
        <w:t>1.学习、宣传、贯彻、落实党的十九大精神。通过抓好大学习、组织大宣讲、营造大氛围、开展大调研、推进大落实等系列活动和“不忘初心</w:t>
      </w:r>
      <w:r>
        <w:rPr>
          <w:rFonts w:hint="eastAsia" w:ascii="仿宋" w:hAnsi="仿宋" w:eastAsia="仿宋" w:cs="仿宋"/>
          <w:sz w:val="32"/>
          <w:szCs w:val="32"/>
        </w:rPr>
        <w:t>、</w:t>
      </w:r>
      <w:r>
        <w:rPr>
          <w:rFonts w:ascii="仿宋" w:hAnsi="仿宋" w:eastAsia="仿宋" w:cs="仿宋"/>
          <w:sz w:val="32"/>
          <w:szCs w:val="32"/>
        </w:rPr>
        <w:t>牢记使命”</w:t>
      </w:r>
      <w:r>
        <w:rPr>
          <w:rFonts w:hint="eastAsia" w:ascii="仿宋" w:hAnsi="仿宋" w:eastAsia="仿宋" w:cs="仿宋"/>
          <w:sz w:val="32"/>
          <w:szCs w:val="32"/>
        </w:rPr>
        <w:t>主</w:t>
      </w:r>
      <w:r>
        <w:rPr>
          <w:rFonts w:ascii="仿宋" w:hAnsi="仿宋" w:eastAsia="仿宋" w:cs="仿宋"/>
          <w:sz w:val="32"/>
          <w:szCs w:val="32"/>
        </w:rPr>
        <w:t>题教育</w:t>
      </w:r>
      <w:r>
        <w:rPr>
          <w:rFonts w:hint="eastAsia" w:ascii="仿宋" w:hAnsi="仿宋" w:eastAsia="仿宋" w:cs="仿宋"/>
          <w:sz w:val="32"/>
          <w:szCs w:val="32"/>
        </w:rPr>
        <w:t>、</w:t>
      </w:r>
      <w:r>
        <w:rPr>
          <w:rFonts w:ascii="仿宋" w:hAnsi="仿宋" w:eastAsia="仿宋" w:cs="仿宋"/>
          <w:sz w:val="32"/>
          <w:szCs w:val="32"/>
        </w:rPr>
        <w:t>明确奋斗目标，狠抓工作落实。</w:t>
      </w:r>
    </w:p>
    <w:p w14:paraId="50C7F63E">
      <w:pPr>
        <w:spacing w:line="600" w:lineRule="exact"/>
        <w:ind w:firstLine="640" w:firstLineChars="200"/>
        <w:rPr>
          <w:rFonts w:ascii="仿宋" w:hAnsi="仿宋" w:eastAsia="仿宋" w:cs="仿宋"/>
          <w:sz w:val="32"/>
          <w:szCs w:val="32"/>
        </w:rPr>
      </w:pPr>
      <w:r>
        <w:rPr>
          <w:rFonts w:ascii="仿宋" w:hAnsi="仿宋" w:eastAsia="仿宋" w:cs="仿宋"/>
          <w:sz w:val="32"/>
          <w:szCs w:val="32"/>
        </w:rPr>
        <w:t>2.规范党的组织建设。规范学校党支部设置，。</w:t>
      </w:r>
      <w:r>
        <w:rPr>
          <w:rFonts w:ascii="仿宋" w:hAnsi="仿宋" w:eastAsia="仿宋" w:cs="仿宋"/>
          <w:sz w:val="32"/>
          <w:szCs w:val="32"/>
        </w:rPr>
        <w:br w:type="textWrapping"/>
      </w:r>
      <w:r>
        <w:rPr>
          <w:rFonts w:ascii="仿宋" w:hAnsi="仿宋" w:eastAsia="仿宋" w:cs="仿宋"/>
          <w:sz w:val="32"/>
          <w:szCs w:val="32"/>
        </w:rPr>
        <w:t xml:space="preserve">    3.规范党建阵地建设。学校党组织办公场所规范，有独立的办公室，有党组织标识牌，有办公设施，有文件资料柜、有工作制度牌。</w:t>
      </w:r>
      <w:r>
        <w:rPr>
          <w:rFonts w:ascii="仿宋" w:hAnsi="仿宋" w:eastAsia="仿宋" w:cs="仿宋"/>
          <w:sz w:val="32"/>
          <w:szCs w:val="32"/>
        </w:rPr>
        <w:br w:type="textWrapping"/>
      </w:r>
      <w:r>
        <w:rPr>
          <w:rFonts w:ascii="仿宋" w:hAnsi="仿宋" w:eastAsia="仿宋" w:cs="仿宋"/>
          <w:sz w:val="32"/>
          <w:szCs w:val="32"/>
        </w:rPr>
        <w:t xml:space="preserve">    4.规范党建制度建设。一是规范学习教育制度。二是规范“三会一课”、民主评议党员等基本制度。坚持每季度召开1次支部党员大会，每月召开1次支部委员会。</w:t>
      </w:r>
    </w:p>
    <w:p w14:paraId="12148DBF">
      <w:pPr>
        <w:spacing w:line="600" w:lineRule="exact"/>
        <w:ind w:firstLine="640" w:firstLineChars="200"/>
        <w:rPr>
          <w:rFonts w:ascii="仿宋" w:hAnsi="仿宋" w:eastAsia="仿宋" w:cs="仿宋"/>
          <w:sz w:val="32"/>
          <w:szCs w:val="32"/>
        </w:rPr>
      </w:pPr>
      <w:r>
        <w:rPr>
          <w:rFonts w:ascii="仿宋" w:hAnsi="仿宋" w:eastAsia="仿宋" w:cs="仿宋"/>
          <w:sz w:val="32"/>
          <w:szCs w:val="32"/>
        </w:rPr>
        <w:t>5.狠抓党风廉政建设。认真落实党风廉政建设责任制，深化廉政风险防控机制建设工作，健全廉政风险防控体系，实现重点领域、关键环节和重点岗位廉政监管全覆盖。</w:t>
      </w:r>
    </w:p>
    <w:p w14:paraId="6AE1842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二</w:t>
      </w:r>
      <w:r>
        <w:rPr>
          <w:rFonts w:hint="eastAsia" w:ascii="仿宋" w:hAnsi="仿宋" w:eastAsia="仿宋" w:cs="仿宋"/>
          <w:sz w:val="32"/>
          <w:szCs w:val="32"/>
        </w:rPr>
        <w:t>）</w:t>
      </w:r>
      <w:r>
        <w:rPr>
          <w:rFonts w:ascii="仿宋" w:hAnsi="仿宋" w:eastAsia="仿宋" w:cs="仿宋"/>
          <w:sz w:val="32"/>
          <w:szCs w:val="32"/>
        </w:rPr>
        <w:t>、奋力补齐发展短板，不断优化教育体系</w:t>
      </w:r>
    </w:p>
    <w:p w14:paraId="341A4E24">
      <w:pPr>
        <w:spacing w:line="600" w:lineRule="exact"/>
        <w:ind w:firstLine="640" w:firstLineChars="200"/>
        <w:rPr>
          <w:rFonts w:ascii="仿宋" w:hAnsi="仿宋" w:eastAsia="仿宋" w:cs="仿宋"/>
          <w:sz w:val="32"/>
          <w:szCs w:val="32"/>
        </w:rPr>
      </w:pPr>
      <w:r>
        <w:rPr>
          <w:rFonts w:ascii="仿宋" w:hAnsi="仿宋" w:eastAsia="仿宋" w:cs="仿宋"/>
          <w:sz w:val="32"/>
          <w:szCs w:val="32"/>
        </w:rPr>
        <w:t>6.加快推进幼儿教育健康发展。扩充公办幼儿园资源，改善办园条件，满足基本保育教育活动需要。不断提高办园水平。</w:t>
      </w:r>
    </w:p>
    <w:p w14:paraId="6FE07910">
      <w:pPr>
        <w:spacing w:line="600" w:lineRule="exact"/>
        <w:ind w:firstLine="640" w:firstLineChars="200"/>
        <w:rPr>
          <w:rFonts w:ascii="仿宋" w:hAnsi="仿宋" w:eastAsia="仿宋" w:cs="仿宋"/>
          <w:sz w:val="32"/>
          <w:szCs w:val="32"/>
        </w:rPr>
      </w:pPr>
      <w:r>
        <w:rPr>
          <w:rFonts w:ascii="仿宋" w:hAnsi="仿宋" w:eastAsia="仿宋" w:cs="仿宋"/>
          <w:sz w:val="32"/>
          <w:szCs w:val="32"/>
        </w:rPr>
        <w:t>7.推进义务教育优质均衡发展。以迎接教育部对我县义务教育基本均衡县复核认定为契机，加快推进县域内城乡义务教育一体化进程，继续实施集团化办学，继续开展城乡学校结对共建活动，实现优质教育资源共享。</w:t>
      </w:r>
    </w:p>
    <w:p w14:paraId="0F43B79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三</w:t>
      </w:r>
      <w:r>
        <w:rPr>
          <w:rFonts w:hint="eastAsia" w:ascii="仿宋" w:hAnsi="仿宋" w:eastAsia="仿宋" w:cs="仿宋"/>
          <w:sz w:val="32"/>
          <w:szCs w:val="32"/>
        </w:rPr>
        <w:t>）</w:t>
      </w:r>
      <w:r>
        <w:rPr>
          <w:rFonts w:ascii="仿宋" w:hAnsi="仿宋" w:eastAsia="仿宋" w:cs="仿宋"/>
          <w:sz w:val="32"/>
          <w:szCs w:val="32"/>
        </w:rPr>
        <w:t>、深入推进教育改革，全面提高教育质量</w:t>
      </w:r>
    </w:p>
    <w:p w14:paraId="2789F5B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.加强中小学学校管理工作。以5A级学校创建工作为主线，狠抓学校精细化管理工作。</w:t>
      </w:r>
    </w:p>
    <w:p w14:paraId="6DAE107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.持之以恒抓两支队伍建设。严格队伍管理，加强师德师风建设，强化师资培训，缩小城乡教师的教学水平差距，提高队伍整体素质。并且逐步走出平乡，到外县市区交流经验。</w:t>
      </w:r>
    </w:p>
    <w:p w14:paraId="141330A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6FDDE59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w:t>
      </w:r>
      <w:r>
        <w:rPr>
          <w:rFonts w:ascii="仿宋" w:hAnsi="仿宋" w:eastAsia="仿宋" w:cs="仿宋"/>
          <w:sz w:val="32"/>
          <w:szCs w:val="32"/>
        </w:rPr>
        <w:t>.不断深化教师补充机制和教师管理体制改革。认真贯彻落实《全面深化新时代教师队伍建设改革的意见》，积极探索符合我县实际的教师补充新机制，</w:t>
      </w:r>
    </w:p>
    <w:p w14:paraId="491B7B8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w:t>
      </w:r>
      <w:r>
        <w:rPr>
          <w:rFonts w:ascii="仿宋" w:hAnsi="仿宋" w:eastAsia="仿宋" w:cs="仿宋"/>
          <w:sz w:val="32"/>
          <w:szCs w:val="32"/>
        </w:rPr>
        <w:t>、抓好德育管理和活动育人，贯彻立德树人根本任务</w:t>
      </w:r>
    </w:p>
    <w:p w14:paraId="581DD7A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12</w:t>
      </w:r>
      <w:r>
        <w:rPr>
          <w:rFonts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在学区中小学开展社会主义核心价值观“进校园、进课堂、进社区”主题教育活动</w:t>
      </w:r>
      <w:r>
        <w:rPr>
          <w:rFonts w:hint="eastAsia" w:ascii="仿宋" w:hAnsi="仿宋" w:eastAsia="仿宋" w:cs="仿宋"/>
          <w:sz w:val="32"/>
          <w:szCs w:val="32"/>
        </w:rPr>
        <w:t>。</w:t>
      </w:r>
    </w:p>
    <w:p w14:paraId="47167884">
      <w:pPr>
        <w:spacing w:line="600" w:lineRule="exact"/>
        <w:ind w:firstLine="640" w:firstLineChars="200"/>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3</w:t>
      </w:r>
      <w:r>
        <w:rPr>
          <w:rFonts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w:t>
      </w:r>
    </w:p>
    <w:p w14:paraId="117D8660">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4</w:t>
      </w:r>
      <w:r>
        <w:rPr>
          <w:rFonts w:ascii="仿宋" w:hAnsi="仿宋" w:eastAsia="仿宋" w:cs="仿宋"/>
          <w:sz w:val="32"/>
          <w:szCs w:val="32"/>
        </w:rPr>
        <w:t>.着力减轻学生过重课业负担。落实中央提出的“着力解决中小学生课业负担重，择校热、大班额等突出问题”的要求，督促学校提高课堂质量</w:t>
      </w:r>
      <w:r>
        <w:rPr>
          <w:rFonts w:hint="eastAsia" w:ascii="仿宋" w:hAnsi="仿宋" w:eastAsia="仿宋" w:cs="仿宋"/>
          <w:sz w:val="32"/>
          <w:szCs w:val="32"/>
        </w:rPr>
        <w:t>。</w:t>
      </w:r>
    </w:p>
    <w:p w14:paraId="376532EE">
      <w:pPr>
        <w:pStyle w:val="8"/>
        <w:ind w:firstLine="643"/>
        <w:rPr>
          <w:rFonts w:ascii="仿宋" w:hAnsi="仿宋" w:eastAsia="仿宋" w:cs="仿宋"/>
          <w:b/>
          <w:sz w:val="32"/>
          <w:szCs w:val="32"/>
        </w:rPr>
      </w:pPr>
    </w:p>
    <w:p w14:paraId="261902CF">
      <w:pPr>
        <w:pStyle w:val="8"/>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14:paraId="3969AF78">
      <w:pPr>
        <w:pStyle w:val="8"/>
        <w:ind w:firstLine="640"/>
        <w:rPr>
          <w:rFonts w:ascii="仿宋" w:hAnsi="仿宋" w:eastAsia="仿宋" w:cs="仿宋"/>
          <w:sz w:val="32"/>
          <w:szCs w:val="32"/>
        </w:rPr>
      </w:pPr>
      <w:r>
        <w:rPr>
          <w:rFonts w:hint="eastAsia" w:ascii="仿宋" w:hAnsi="仿宋" w:eastAsia="仿宋" w:cs="仿宋"/>
          <w:sz w:val="32"/>
          <w:szCs w:val="32"/>
        </w:rPr>
        <w:t>2020年教育预算资金安排共计1147.102832万元，其中一、一般公共预算财政拨款1147.102832万元，；支出1147.102832万元，其中工资福利支出</w:t>
      </w:r>
      <w:r>
        <w:rPr>
          <w:rFonts w:ascii="仿宋" w:hAnsi="仿宋" w:eastAsia="仿宋" w:cs="仿宋"/>
          <w:sz w:val="32"/>
          <w:szCs w:val="32"/>
        </w:rPr>
        <w:t>579</w:t>
      </w:r>
      <w:r>
        <w:rPr>
          <w:rFonts w:hint="eastAsia" w:ascii="仿宋" w:hAnsi="仿宋" w:eastAsia="仿宋" w:cs="仿宋"/>
          <w:sz w:val="32"/>
          <w:szCs w:val="32"/>
        </w:rPr>
        <w:t>.</w:t>
      </w:r>
      <w:r>
        <w:rPr>
          <w:rFonts w:ascii="仿宋" w:hAnsi="仿宋" w:eastAsia="仿宋" w:cs="仿宋"/>
          <w:sz w:val="32"/>
          <w:szCs w:val="32"/>
        </w:rPr>
        <w:t>443232</w:t>
      </w:r>
      <w:r>
        <w:rPr>
          <w:rFonts w:hint="eastAsia" w:ascii="仿宋" w:hAnsi="仿宋" w:eastAsia="仿宋" w:cs="仿宋"/>
          <w:sz w:val="32"/>
          <w:szCs w:val="32"/>
        </w:rPr>
        <w:t>万元，商品和服务支出</w:t>
      </w:r>
      <w:r>
        <w:rPr>
          <w:rFonts w:ascii="仿宋" w:hAnsi="仿宋" w:eastAsia="仿宋" w:cs="仿宋"/>
          <w:sz w:val="32"/>
          <w:szCs w:val="32"/>
        </w:rPr>
        <w:t>146</w:t>
      </w:r>
      <w:r>
        <w:rPr>
          <w:rFonts w:hint="eastAsia" w:ascii="仿宋" w:hAnsi="仿宋" w:eastAsia="仿宋" w:cs="仿宋"/>
          <w:sz w:val="32"/>
          <w:szCs w:val="32"/>
        </w:rPr>
        <w:t>.</w:t>
      </w:r>
      <w:r>
        <w:rPr>
          <w:rFonts w:ascii="仿宋" w:hAnsi="仿宋" w:eastAsia="仿宋" w:cs="仿宋"/>
          <w:sz w:val="32"/>
          <w:szCs w:val="32"/>
        </w:rPr>
        <w:t>4531</w:t>
      </w:r>
      <w:r>
        <w:rPr>
          <w:rFonts w:hint="eastAsia" w:ascii="仿宋" w:hAnsi="仿宋" w:eastAsia="仿宋" w:cs="仿宋"/>
          <w:sz w:val="32"/>
          <w:szCs w:val="32"/>
        </w:rPr>
        <w:t>万元、对个人和家庭的补助支出70.0790万元、资本性支出37.1275万元，项目支出314万元。</w:t>
      </w:r>
    </w:p>
    <w:p w14:paraId="192FF35B">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r>
        <w:rPr>
          <w:rFonts w:hint="eastAsia" w:ascii="仿宋" w:hAnsi="仿宋" w:eastAsia="仿宋" w:cs="仿宋"/>
          <w:sz w:val="32"/>
          <w:szCs w:val="32"/>
        </w:rPr>
        <w:t xml:space="preserve"> </w:t>
      </w:r>
    </w:p>
    <w:p w14:paraId="4AC23B8A">
      <w:pPr>
        <w:pStyle w:val="3"/>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2020年，我学区按照省市县的考核要求，积极开展预算绩效管理工作，实现预算绩效管理全过程化。</w:t>
      </w:r>
    </w:p>
    <w:p w14:paraId="279857CB">
      <w:pPr>
        <w:pStyle w:val="3"/>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r>
        <w:rPr>
          <w:rFonts w:hint="eastAsia" w:ascii="仿宋" w:hAnsi="仿宋" w:eastAsia="仿宋" w:cs="仿宋"/>
          <w:sz w:val="32"/>
          <w:szCs w:val="32"/>
        </w:rPr>
        <w:t xml:space="preserve">     </w:t>
      </w:r>
    </w:p>
    <w:p w14:paraId="177BDD15">
      <w:pPr>
        <w:ind w:left="643"/>
        <w:rPr>
          <w:rFonts w:ascii="仿宋" w:hAnsi="仿宋" w:eastAsia="仿宋" w:cs="仿宋"/>
          <w:b/>
          <w:sz w:val="32"/>
          <w:szCs w:val="32"/>
        </w:rPr>
      </w:pPr>
      <w:r>
        <w:rPr>
          <w:rFonts w:hint="eastAsia" w:ascii="仿宋" w:hAnsi="仿宋" w:eastAsia="仿宋" w:cs="仿宋"/>
          <w:b/>
          <w:sz w:val="32"/>
          <w:szCs w:val="32"/>
        </w:rPr>
        <w:t>三、绩效评价的组织实施情况。</w:t>
      </w:r>
    </w:p>
    <w:p w14:paraId="4B4BB07D">
      <w:pPr>
        <w:ind w:firstLine="640" w:firstLineChars="200"/>
        <w:rPr>
          <w:rFonts w:ascii="仿宋" w:hAnsi="仿宋" w:eastAsia="仿宋" w:cs="仿宋"/>
          <w:sz w:val="32"/>
          <w:szCs w:val="32"/>
        </w:rPr>
      </w:pPr>
      <w:r>
        <w:rPr>
          <w:rFonts w:hint="eastAsia" w:ascii="仿宋" w:hAnsi="仿宋" w:eastAsia="仿宋" w:cs="仿宋"/>
          <w:sz w:val="32"/>
          <w:szCs w:val="32"/>
        </w:rPr>
        <w:t>我县对纳入2020年绩效目标管理的项目开展绩效自评工作。绩效自评覆盖率达93%。绩效自评的流程包括部门制定工作方案，填报项目自评表以及撰写绩效评价报告</w:t>
      </w:r>
    </w:p>
    <w:p w14:paraId="420551D4">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14:paraId="5E8E8D64">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61C7B6DD">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14:paraId="20FE4BB7">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70613327">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14:paraId="375A1577">
      <w:pPr>
        <w:ind w:firstLine="640" w:firstLineChars="200"/>
        <w:rPr>
          <w:rFonts w:ascii="仿宋" w:hAnsi="仿宋" w:eastAsia="仿宋" w:cs="仿宋"/>
          <w:sz w:val="32"/>
          <w:szCs w:val="32"/>
        </w:rPr>
      </w:pPr>
      <w:r>
        <w:rPr>
          <w:rFonts w:hint="eastAsia" w:ascii="仿宋" w:hAnsi="仿宋" w:eastAsia="仿宋" w:cs="仿宋"/>
          <w:sz w:val="32"/>
          <w:szCs w:val="32"/>
        </w:rPr>
        <w:t>无</w:t>
      </w:r>
    </w:p>
    <w:p w14:paraId="7B7FD64E">
      <w:pPr>
        <w:spacing w:line="220" w:lineRule="atLeast"/>
      </w:pPr>
    </w:p>
    <w:sectPr>
      <w:footerReference r:id="rId5" w:type="default"/>
      <w:footerReference r:id="rId6" w:type="even"/>
      <w:pgSz w:w="11906" w:h="16838"/>
      <w:pgMar w:top="1560" w:right="1418" w:bottom="1560" w:left="1418" w:header="851" w:footer="1032" w:gutter="0"/>
      <w:cols w:space="425" w:num="1"/>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9300">
    <w:pPr>
      <w:pStyle w:val="2"/>
      <w:framePr w:wrap="around" w:vAnchor="text" w:hAnchor="margin" w:xAlign="outside" w:y="1"/>
      <w:rPr>
        <w:rStyle w:val="6"/>
        <w:rFonts w:ascii="宋体" w:hAnsi="宋体" w:eastAsia="宋体"/>
        <w:sz w:val="28"/>
        <w:szCs w:val="28"/>
      </w:rPr>
    </w:pPr>
    <w:r>
      <w:rPr>
        <w:rStyle w:val="6"/>
        <w:rFonts w:hint="eastAsia" w:ascii="宋体" w:hAnsi="宋体" w:eastAsia="宋体"/>
        <w:sz w:val="28"/>
        <w:szCs w:val="28"/>
      </w:rPr>
      <w:t>-</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10</w:t>
    </w:r>
    <w:r>
      <w:rPr>
        <w:rStyle w:val="6"/>
        <w:rFonts w:ascii="宋体" w:hAnsi="宋体" w:eastAsia="宋体"/>
        <w:sz w:val="28"/>
        <w:szCs w:val="28"/>
      </w:rPr>
      <w:fldChar w:fldCharType="end"/>
    </w:r>
    <w:r>
      <w:rPr>
        <w:rStyle w:val="6"/>
        <w:rFonts w:hint="eastAsia" w:ascii="宋体" w:hAnsi="宋体" w:eastAsia="宋体"/>
        <w:sz w:val="28"/>
        <w:szCs w:val="28"/>
      </w:rPr>
      <w:t>-</w:t>
    </w:r>
  </w:p>
  <w:p w14:paraId="58FFCD9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EAC66">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7A7D12F7">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25C7E"/>
    <w:rsid w:val="003D37D8"/>
    <w:rsid w:val="00426133"/>
    <w:rsid w:val="004358AB"/>
    <w:rsid w:val="006B2E40"/>
    <w:rsid w:val="008B7726"/>
    <w:rsid w:val="00903DC8"/>
    <w:rsid w:val="009E31BF"/>
    <w:rsid w:val="00D31D50"/>
    <w:rsid w:val="02FE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6">
    <w:name w:val="page number"/>
    <w:basedOn w:val="5"/>
    <w:semiHidden/>
    <w:unhideWhenUsed/>
    <w:qFormat/>
    <w:uiPriority w:val="99"/>
  </w:style>
  <w:style w:type="character" w:customStyle="1" w:styleId="7">
    <w:name w:val="页脚 字符"/>
    <w:basedOn w:val="5"/>
    <w:link w:val="2"/>
    <w:uiPriority w:val="99"/>
    <w:rPr>
      <w:rFonts w:eastAsiaTheme="minorEastAsia"/>
      <w:kern w:val="2"/>
      <w:sz w:val="18"/>
      <w:szCs w:val="18"/>
    </w:rPr>
  </w:style>
  <w:style w:type="paragraph" w:styleId="8">
    <w:name w:val="List Paragraph"/>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9">
    <w:name w:val="p05"/>
    <w:basedOn w:val="1"/>
    <w:uiPriority w:val="0"/>
    <w:pPr>
      <w:adjustRightInd/>
      <w:snapToGrid/>
      <w:spacing w:after="0" w:line="408" w:lineRule="auto"/>
      <w:ind w:left="1"/>
      <w:jc w:val="both"/>
    </w:pPr>
    <w:rPr>
      <w:rFonts w:ascii="Times New Roman" w:hAnsi="Times New Roman" w:eastAsia="Times New Roman" w:cs="Times New Roman"/>
      <w:color w:val="000000"/>
      <w:sz w:val="21"/>
      <w:szCs w:val="20"/>
      <w:lang w:eastAsia="en-US"/>
    </w:rPr>
  </w:style>
  <w:style w:type="paragraph" w:customStyle="1" w:styleId="10">
    <w:name w:val="p01"/>
    <w:basedOn w:val="1"/>
    <w:uiPriority w:val="0"/>
    <w:pPr>
      <w:adjustRightInd/>
      <w:snapToGrid/>
      <w:spacing w:after="0" w:line="408" w:lineRule="auto"/>
      <w:ind w:left="1"/>
      <w:jc w:val="both"/>
    </w:pPr>
    <w:rPr>
      <w:rFonts w:ascii="Times New Roman" w:hAnsi="Times New Roman" w:eastAsia="Times New Roman" w:cs="Times New Roman"/>
      <w:color w:val="000000"/>
      <w:sz w:val="21"/>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7285</Words>
  <Characters>7699</Characters>
  <Lines>57</Lines>
  <Paragraphs>16</Paragraphs>
  <TotalTime>1</TotalTime>
  <ScaleCrop>false</ScaleCrop>
  <LinksUpToDate>false</LinksUpToDate>
  <CharactersWithSpaces>7714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DODO</cp:lastModifiedBy>
  <dcterms:modified xsi:type="dcterms:W3CDTF">2025-05-30T12:04:24Z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eyJoZGlkIjoiZmI3MWQyODliMTk3ZGUxMTVkZGRiYjAxMDBiOTgwNGQiLCJ1c2VySWQiOiIzNjAyMjA0NjQifQ==</vt:lpwstr>
  </property>
  <property fmtid="{D5CDD505-2E9C-101B-9397-08002B2CF9AE}" pid="3" name="KSOProductBuildVer">
    <vt:lpwstr>2052-12.1.0.21171</vt:lpwstr>
  </property>
  <property fmtid="{D5CDD505-2E9C-101B-9397-08002B2CF9AE}" pid="4" name="ICV">
    <vt:lpwstr>32C1648A2F3F444A82B324B2A045A1A1_12</vt:lpwstr>
  </property>
</Properties>
</file>