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F36EC">
      <w:pPr>
        <w:widowControl/>
        <w:spacing w:line="400" w:lineRule="exact"/>
        <w:jc w:val="left"/>
        <w:rPr>
          <w:rFonts w:ascii="仿宋" w:hAnsi="仿宋" w:eastAsia="仿宋" w:cs="仿宋"/>
          <w:kern w:val="0"/>
          <w:sz w:val="32"/>
          <w:szCs w:val="32"/>
          <w:shd w:val="clear" w:color="auto" w:fill="FFFFFF"/>
        </w:rPr>
      </w:pPr>
      <w:bookmarkStart w:id="0" w:name="_GoBack"/>
      <w:bookmarkEnd w:id="0"/>
    </w:p>
    <w:p w14:paraId="00153B77">
      <w:pPr>
        <w:widowControl/>
        <w:spacing w:line="480" w:lineRule="exact"/>
        <w:jc w:val="left"/>
        <w:rPr>
          <w:rFonts w:ascii="宋体" w:hAnsi="宋体" w:eastAsia="宋体" w:cs="宋体"/>
          <w:b/>
          <w:color w:val="000000"/>
          <w:kern w:val="0"/>
          <w:sz w:val="44"/>
          <w:szCs w:val="44"/>
          <w:shd w:val="clear" w:color="auto" w:fill="FFFFFF"/>
        </w:rPr>
      </w:pPr>
      <w:r>
        <w:rPr>
          <w:rFonts w:hint="eastAsia" w:ascii="仿宋" w:hAnsi="仿宋" w:eastAsia="仿宋" w:cs="仿宋"/>
          <w:kern w:val="0"/>
          <w:sz w:val="32"/>
          <w:szCs w:val="32"/>
          <w:shd w:val="clear" w:color="auto" w:fill="FFFFFF"/>
        </w:rPr>
        <w:t>附件6：</w:t>
      </w:r>
    </w:p>
    <w:p w14:paraId="12791E30">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1C7DA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5800C8DD">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2D3DC17F">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1576C519">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5333FC43">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06047318">
            <w:pPr>
              <w:widowControl/>
              <w:spacing w:line="240" w:lineRule="exact"/>
              <w:jc w:val="left"/>
              <w:rPr>
                <w:b/>
              </w:rPr>
            </w:pPr>
            <w:r>
              <w:rPr>
                <w:rFonts w:ascii="仿宋_GB2312" w:hAnsi="新宋体" w:eastAsia="仿宋_GB2312" w:cs="仿宋_GB2312"/>
                <w:b/>
                <w:kern w:val="0"/>
                <w:sz w:val="24"/>
                <w:szCs w:val="24"/>
              </w:rPr>
              <w:t>得分</w:t>
            </w:r>
          </w:p>
        </w:tc>
      </w:tr>
      <w:tr w14:paraId="291F7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60F459C">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1AF30B6">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5D9FE98">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5BFAAA40">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456DE1D8">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618A0160">
            <w:pPr>
              <w:rPr>
                <w:rFonts w:ascii="宋体"/>
                <w:szCs w:val="21"/>
              </w:rPr>
            </w:pPr>
          </w:p>
        </w:tc>
      </w:tr>
      <w:tr w14:paraId="67982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39E936C2">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27F4EF89">
            <w:pPr>
              <w:widowControl/>
              <w:spacing w:line="240" w:lineRule="exact"/>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14:paraId="28F6671F">
            <w:pPr>
              <w:widowControl/>
              <w:spacing w:line="240" w:lineRule="exact"/>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73516541">
            <w:pPr>
              <w:widowControl/>
              <w:spacing w:line="240" w:lineRule="exact"/>
              <w:jc w:val="left"/>
              <w:rPr>
                <w:szCs w:val="21"/>
              </w:rPr>
            </w:pPr>
            <w:r>
              <w:rPr>
                <w:rFonts w:ascii="仿宋_GB2312" w:hAnsi="新宋体" w:eastAsia="仿宋_GB2312" w:cs="仿宋_GB2312"/>
                <w:kern w:val="0"/>
                <w:szCs w:val="21"/>
              </w:rPr>
              <w:t>职责明确（1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4929B47D">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2C0FF11B">
            <w:pPr>
              <w:widowControl/>
              <w:spacing w:line="240" w:lineRule="exact"/>
              <w:jc w:val="left"/>
              <w:rPr>
                <w:szCs w:val="21"/>
              </w:rPr>
            </w:pPr>
            <w:r>
              <w:rPr>
                <w:rFonts w:ascii="仿宋_GB2312" w:hAnsi="新宋体" w:eastAsia="仿宋_GB2312" w:cs="仿宋_GB2312"/>
                <w:kern w:val="0"/>
                <w:szCs w:val="21"/>
              </w:rPr>
              <w:t>符合（1）；</w:t>
            </w:r>
          </w:p>
          <w:p w14:paraId="3BDE26DC">
            <w:pPr>
              <w:widowControl/>
              <w:spacing w:line="240" w:lineRule="exact"/>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5C853C32">
            <w:pPr>
              <w:widowControl/>
              <w:spacing w:line="240" w:lineRule="exact"/>
              <w:jc w:val="left"/>
              <w:rPr>
                <w:szCs w:val="21"/>
              </w:rPr>
            </w:pPr>
            <w:r>
              <w:rPr>
                <w:rFonts w:hint="eastAsia"/>
                <w:szCs w:val="21"/>
              </w:rPr>
              <w:t>1</w:t>
            </w:r>
          </w:p>
        </w:tc>
      </w:tr>
      <w:tr w14:paraId="5887B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12B8E7B">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D4CA7F6">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44C77B3B">
            <w:pPr>
              <w:widowControl/>
              <w:spacing w:line="240" w:lineRule="exact"/>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140AEBE1">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14:paraId="4087294B">
            <w:pPr>
              <w:widowControl/>
              <w:spacing w:line="240" w:lineRule="exact"/>
              <w:jc w:val="left"/>
              <w:rPr>
                <w:szCs w:val="21"/>
              </w:rPr>
            </w:pPr>
            <w:r>
              <w:rPr>
                <w:rFonts w:ascii="仿宋_GB2312" w:hAnsi="新宋体" w:eastAsia="仿宋_GB2312" w:cs="仿宋_GB2312"/>
                <w:kern w:val="0"/>
                <w:szCs w:val="21"/>
              </w:rPr>
              <w:t>评价要点：</w:t>
            </w:r>
          </w:p>
          <w:p w14:paraId="23C81609">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14:paraId="15DFAF02">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0603147E">
            <w:pPr>
              <w:widowControl/>
              <w:spacing w:line="240" w:lineRule="exact"/>
              <w:jc w:val="left"/>
              <w:rPr>
                <w:szCs w:val="21"/>
              </w:rPr>
            </w:pPr>
            <w:r>
              <w:rPr>
                <w:rFonts w:ascii="仿宋_GB2312" w:hAnsi="新宋体" w:eastAsia="仿宋_GB2312" w:cs="仿宋_GB2312"/>
                <w:kern w:val="0"/>
                <w:szCs w:val="21"/>
              </w:rPr>
              <w:t>全部符合（2）；</w:t>
            </w:r>
          </w:p>
          <w:p w14:paraId="0D622491">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5A7A3F42">
            <w:pPr>
              <w:widowControl/>
              <w:spacing w:line="240" w:lineRule="exact"/>
              <w:jc w:val="left"/>
              <w:rPr>
                <w:szCs w:val="21"/>
              </w:rPr>
            </w:pPr>
            <w:r>
              <w:rPr>
                <w:rFonts w:hint="eastAsia"/>
                <w:szCs w:val="21"/>
              </w:rPr>
              <w:t>2</w:t>
            </w:r>
          </w:p>
        </w:tc>
      </w:tr>
      <w:tr w14:paraId="4E3F2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9A20D61">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92E9F06">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1DC996E6">
            <w:pPr>
              <w:widowControl/>
              <w:spacing w:line="240" w:lineRule="exact"/>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377C8410">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14:paraId="52A08CA0">
            <w:pPr>
              <w:widowControl/>
              <w:spacing w:line="240" w:lineRule="exact"/>
              <w:jc w:val="left"/>
              <w:rPr>
                <w:szCs w:val="21"/>
              </w:rPr>
            </w:pPr>
            <w:r>
              <w:rPr>
                <w:rFonts w:ascii="仿宋_GB2312" w:hAnsi="新宋体" w:eastAsia="仿宋_GB2312" w:cs="仿宋_GB2312"/>
                <w:kern w:val="0"/>
                <w:szCs w:val="21"/>
              </w:rPr>
              <w:t>评价要点：</w:t>
            </w:r>
          </w:p>
          <w:p w14:paraId="0461CC37">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14:paraId="206A2DAB">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73853DBF">
            <w:pPr>
              <w:widowControl/>
              <w:spacing w:line="240" w:lineRule="exact"/>
              <w:jc w:val="left"/>
              <w:rPr>
                <w:szCs w:val="21"/>
              </w:rPr>
            </w:pPr>
            <w:r>
              <w:rPr>
                <w:rFonts w:ascii="仿宋_GB2312" w:hAnsi="新宋体" w:eastAsia="仿宋_GB2312" w:cs="仿宋_GB2312"/>
                <w:kern w:val="0"/>
                <w:szCs w:val="21"/>
              </w:rPr>
              <w:t>全部符合（2）；</w:t>
            </w:r>
          </w:p>
          <w:p w14:paraId="6623735D">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42E206E9">
            <w:pPr>
              <w:widowControl/>
              <w:spacing w:line="240" w:lineRule="exact"/>
              <w:jc w:val="left"/>
              <w:rPr>
                <w:szCs w:val="21"/>
              </w:rPr>
            </w:pPr>
            <w:r>
              <w:rPr>
                <w:rFonts w:hint="eastAsia"/>
                <w:szCs w:val="21"/>
              </w:rPr>
              <w:t>2</w:t>
            </w:r>
          </w:p>
        </w:tc>
      </w:tr>
      <w:tr w14:paraId="0ADCA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745A30C">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14:paraId="7E386919">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14:paraId="66873274">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14:paraId="17004C7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14:paraId="2F94040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14:paraId="087C67C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14:paraId="284246E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7C17A8B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14:paraId="245685D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14:paraId="709BB57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14:paraId="3995FF7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6B5EE273">
            <w:pPr>
              <w:widowControl/>
              <w:spacing w:line="240" w:lineRule="exact"/>
              <w:jc w:val="left"/>
              <w:rPr>
                <w:szCs w:val="21"/>
              </w:rPr>
            </w:pPr>
            <w:r>
              <w:rPr>
                <w:rFonts w:hint="eastAsia"/>
                <w:szCs w:val="21"/>
              </w:rPr>
              <w:t>1</w:t>
            </w:r>
          </w:p>
        </w:tc>
      </w:tr>
      <w:tr w14:paraId="71432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4E128555">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14:paraId="5C1364A2">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2DD5C083">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“三公经费”变动率（2分）</w:t>
            </w:r>
          </w:p>
        </w:tc>
        <w:tc>
          <w:tcPr>
            <w:tcW w:w="3436" w:type="dxa"/>
            <w:tcBorders>
              <w:top w:val="single" w:color="auto" w:sz="4" w:space="0"/>
              <w:left w:val="single" w:color="auto" w:sz="4" w:space="0"/>
              <w:right w:val="single" w:color="auto" w:sz="4" w:space="0"/>
            </w:tcBorders>
            <w:vAlign w:val="center"/>
          </w:tcPr>
          <w:p w14:paraId="4F5FEAEF">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2B447F7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14:paraId="5F4577C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14:paraId="6ACCF0D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14:paraId="75FD4ADE">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）－min（</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46439DE7">
            <w:pPr>
              <w:widowControl/>
              <w:spacing w:line="240" w:lineRule="exact"/>
              <w:jc w:val="left"/>
              <w:rPr>
                <w:szCs w:val="21"/>
              </w:rPr>
            </w:pPr>
            <w:r>
              <w:rPr>
                <w:rFonts w:hint="eastAsia"/>
                <w:szCs w:val="21"/>
              </w:rPr>
              <w:t>2</w:t>
            </w:r>
          </w:p>
        </w:tc>
      </w:tr>
      <w:tr w14:paraId="5397E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64272500">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14:paraId="27AF7D0B">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4B716840">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14:paraId="6F14AD94">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3DF4DE8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14:paraId="20E0343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14:paraId="107C212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14:paraId="18FFB930">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22904E4B">
            <w:pPr>
              <w:widowControl/>
              <w:spacing w:line="240" w:lineRule="exact"/>
              <w:jc w:val="left"/>
              <w:rPr>
                <w:szCs w:val="21"/>
              </w:rPr>
            </w:pPr>
            <w:r>
              <w:rPr>
                <w:rFonts w:hint="eastAsia"/>
                <w:szCs w:val="21"/>
              </w:rPr>
              <w:t>2</w:t>
            </w:r>
          </w:p>
        </w:tc>
      </w:tr>
      <w:tr w14:paraId="60E36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72A5453C">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3C5A1C31">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596407D0">
            <w:pPr>
              <w:widowControl/>
              <w:spacing w:line="240" w:lineRule="exact"/>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0FB6647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14:paraId="0D2F563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4AA04A8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14:paraId="10915E9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14:paraId="4320BB3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14:paraId="10F8686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35F4F829">
            <w:pPr>
              <w:widowControl/>
              <w:spacing w:line="240" w:lineRule="exact"/>
              <w:jc w:val="left"/>
              <w:rPr>
                <w:szCs w:val="21"/>
              </w:rPr>
            </w:pPr>
            <w:r>
              <w:rPr>
                <w:rFonts w:hint="eastAsia"/>
                <w:szCs w:val="21"/>
              </w:rPr>
              <w:t>5</w:t>
            </w:r>
          </w:p>
        </w:tc>
      </w:tr>
      <w:tr w14:paraId="23489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3D62405">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090221F">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6E39770">
            <w:pPr>
              <w:widowControl/>
              <w:spacing w:line="240" w:lineRule="exact"/>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32AE854D">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14:paraId="3A5368CC">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170D75D0">
            <w:pPr>
              <w:widowControl/>
              <w:spacing w:line="240" w:lineRule="exact"/>
              <w:jc w:val="left"/>
              <w:rPr>
                <w:szCs w:val="21"/>
              </w:rPr>
            </w:pPr>
            <w:r>
              <w:rPr>
                <w:rFonts w:ascii="仿宋_GB2312" w:hAnsi="新宋体" w:eastAsia="仿宋_GB2312" w:cs="仿宋_GB2312"/>
                <w:kern w:val="0"/>
                <w:szCs w:val="21"/>
              </w:rPr>
              <w:t xml:space="preserve">1.预算调整率等于0的，得满分； </w:t>
            </w:r>
          </w:p>
          <w:p w14:paraId="341DC9F6">
            <w:pPr>
              <w:widowControl/>
              <w:spacing w:line="240" w:lineRule="exact"/>
              <w:jc w:val="left"/>
              <w:rPr>
                <w:szCs w:val="21"/>
              </w:rPr>
            </w:pPr>
            <w:r>
              <w:rPr>
                <w:rFonts w:ascii="仿宋_GB2312" w:hAnsi="新宋体" w:eastAsia="仿宋_GB2312" w:cs="仿宋_GB2312"/>
                <w:kern w:val="0"/>
                <w:szCs w:val="21"/>
              </w:rPr>
              <w:t>2.预算调整率大于或等于10%的，得0分；</w:t>
            </w:r>
          </w:p>
          <w:p w14:paraId="28A09E5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14:paraId="6BB9BD1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4175683F">
            <w:pPr>
              <w:widowControl/>
              <w:spacing w:line="240" w:lineRule="exact"/>
              <w:jc w:val="left"/>
              <w:rPr>
                <w:szCs w:val="21"/>
              </w:rPr>
            </w:pPr>
            <w:r>
              <w:rPr>
                <w:rFonts w:hint="eastAsia"/>
                <w:szCs w:val="21"/>
              </w:rPr>
              <w:t>3</w:t>
            </w:r>
          </w:p>
        </w:tc>
      </w:tr>
      <w:tr w14:paraId="1F0D4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B23ABC8">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091107E">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D95CF8E">
            <w:pPr>
              <w:widowControl/>
              <w:spacing w:line="240" w:lineRule="exact"/>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3A6A9456">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14:paraId="0F624DDB">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7AA80001">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14:paraId="70EED2A5">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0BA040A3">
            <w:pPr>
              <w:widowControl/>
              <w:spacing w:line="240" w:lineRule="exact"/>
              <w:jc w:val="left"/>
              <w:rPr>
                <w:szCs w:val="21"/>
              </w:rPr>
            </w:pPr>
            <w:r>
              <w:rPr>
                <w:rFonts w:hint="eastAsia"/>
                <w:szCs w:val="21"/>
              </w:rPr>
              <w:t>5</w:t>
            </w:r>
          </w:p>
        </w:tc>
      </w:tr>
      <w:tr w14:paraId="3FAE3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7866195">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16B678F">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D619BC8">
            <w:pPr>
              <w:widowControl/>
              <w:spacing w:line="240" w:lineRule="exact"/>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10BC7577">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14:paraId="48FC147F">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3C72842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14:paraId="160A011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14:paraId="4C61847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14:paraId="4C50FDD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4057DDF0">
            <w:pPr>
              <w:widowControl/>
              <w:spacing w:line="240" w:lineRule="exact"/>
              <w:jc w:val="left"/>
              <w:rPr>
                <w:szCs w:val="21"/>
              </w:rPr>
            </w:pPr>
            <w:r>
              <w:rPr>
                <w:rFonts w:hint="eastAsia"/>
                <w:szCs w:val="21"/>
              </w:rPr>
              <w:t>4</w:t>
            </w:r>
          </w:p>
        </w:tc>
      </w:tr>
      <w:tr w14:paraId="46D36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AF618F5">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9558B16">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F2EA115">
            <w:pPr>
              <w:widowControl/>
              <w:spacing w:line="240" w:lineRule="exact"/>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337037E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14:paraId="215ADE1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3A65906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14:paraId="37599DF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14:paraId="557CB97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14:paraId="32D57C1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53BE0F33">
            <w:pPr>
              <w:widowControl/>
              <w:spacing w:line="240" w:lineRule="exact"/>
              <w:jc w:val="left"/>
              <w:rPr>
                <w:szCs w:val="21"/>
              </w:rPr>
            </w:pPr>
            <w:r>
              <w:rPr>
                <w:rFonts w:hint="eastAsia"/>
                <w:szCs w:val="21"/>
              </w:rPr>
              <w:t>4</w:t>
            </w:r>
          </w:p>
        </w:tc>
      </w:tr>
      <w:tr w14:paraId="43914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6BE0B5B">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A4CD20C">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271F629">
            <w:pPr>
              <w:widowControl/>
              <w:spacing w:line="240" w:lineRule="exact"/>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1CB3A3A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14:paraId="0970D00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14:paraId="697BAC8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046552B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14:paraId="3BA2060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14:paraId="1B44621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14:paraId="7B88627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35EF161C">
            <w:pPr>
              <w:widowControl/>
              <w:spacing w:line="240" w:lineRule="exact"/>
              <w:jc w:val="left"/>
              <w:rPr>
                <w:szCs w:val="21"/>
              </w:rPr>
            </w:pPr>
            <w:r>
              <w:rPr>
                <w:rFonts w:hint="eastAsia"/>
                <w:szCs w:val="21"/>
              </w:rPr>
              <w:t>4</w:t>
            </w:r>
          </w:p>
        </w:tc>
      </w:tr>
      <w:tr w14:paraId="403E7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733915B">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5DF56E07">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14:paraId="66C3CC83">
            <w:pPr>
              <w:widowControl/>
              <w:spacing w:line="240" w:lineRule="exact"/>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4278C04E">
            <w:pPr>
              <w:widowControl/>
              <w:spacing w:line="240" w:lineRule="exact"/>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31C2BF1F">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14:paraId="668669FF">
            <w:pPr>
              <w:widowControl/>
              <w:spacing w:line="240" w:lineRule="exact"/>
              <w:jc w:val="left"/>
              <w:rPr>
                <w:szCs w:val="21"/>
              </w:rPr>
            </w:pPr>
            <w:r>
              <w:rPr>
                <w:rFonts w:ascii="仿宋_GB2312" w:hAnsi="新宋体" w:eastAsia="仿宋_GB2312" w:cs="仿宋_GB2312"/>
                <w:kern w:val="0"/>
                <w:szCs w:val="21"/>
              </w:rPr>
              <w:t>评价要点：</w:t>
            </w:r>
          </w:p>
          <w:p w14:paraId="0F77B750">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14:paraId="78B07E0D">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14:paraId="441CB47B">
            <w:pPr>
              <w:widowControl/>
              <w:spacing w:line="240" w:lineRule="exact"/>
              <w:jc w:val="left"/>
              <w:rPr>
                <w:szCs w:val="21"/>
              </w:rPr>
            </w:pPr>
            <w:r>
              <w:rPr>
                <w:rFonts w:ascii="仿宋_GB2312" w:hAnsi="新宋体" w:eastAsia="仿宋_GB2312" w:cs="仿宋_GB2312"/>
                <w:kern w:val="0"/>
                <w:szCs w:val="21"/>
              </w:rPr>
              <w:t>3.项目的重大开支经过评估论证；</w:t>
            </w:r>
          </w:p>
          <w:p w14:paraId="4684BF89">
            <w:pPr>
              <w:widowControl/>
              <w:spacing w:line="240" w:lineRule="exact"/>
              <w:jc w:val="left"/>
              <w:rPr>
                <w:szCs w:val="21"/>
              </w:rPr>
            </w:pPr>
            <w:r>
              <w:rPr>
                <w:rFonts w:ascii="仿宋_GB2312" w:hAnsi="新宋体" w:eastAsia="仿宋_GB2312" w:cs="仿宋_GB2312"/>
                <w:kern w:val="0"/>
                <w:szCs w:val="21"/>
              </w:rPr>
              <w:t>4.符合部门预算批复的用途；</w:t>
            </w:r>
          </w:p>
          <w:p w14:paraId="3B057B24">
            <w:pPr>
              <w:widowControl/>
              <w:spacing w:line="240" w:lineRule="exact"/>
              <w:jc w:val="left"/>
              <w:rPr>
                <w:szCs w:val="21"/>
              </w:rPr>
            </w:pPr>
            <w:r>
              <w:rPr>
                <w:rFonts w:ascii="仿宋_GB2312" w:hAnsi="新宋体" w:eastAsia="仿宋_GB2312" w:cs="仿宋_GB2312"/>
                <w:kern w:val="0"/>
                <w:szCs w:val="21"/>
              </w:rPr>
              <w:t>5.不存在截留情况；</w:t>
            </w:r>
          </w:p>
          <w:p w14:paraId="4FE322E0">
            <w:pPr>
              <w:widowControl/>
              <w:spacing w:line="240" w:lineRule="exact"/>
              <w:jc w:val="left"/>
              <w:rPr>
                <w:szCs w:val="21"/>
              </w:rPr>
            </w:pPr>
            <w:r>
              <w:rPr>
                <w:rFonts w:ascii="仿宋_GB2312" w:hAnsi="新宋体" w:eastAsia="仿宋_GB2312" w:cs="仿宋_GB2312"/>
                <w:kern w:val="0"/>
                <w:szCs w:val="21"/>
              </w:rPr>
              <w:t>6.不存在挤占情况；</w:t>
            </w:r>
          </w:p>
          <w:p w14:paraId="403461FD">
            <w:pPr>
              <w:widowControl/>
              <w:spacing w:line="240" w:lineRule="exact"/>
              <w:jc w:val="left"/>
              <w:rPr>
                <w:szCs w:val="21"/>
              </w:rPr>
            </w:pPr>
            <w:r>
              <w:rPr>
                <w:rFonts w:ascii="仿宋_GB2312" w:hAnsi="新宋体" w:eastAsia="仿宋_GB2312" w:cs="仿宋_GB2312"/>
                <w:kern w:val="0"/>
                <w:szCs w:val="21"/>
              </w:rPr>
              <w:t>7.不存在挪用情况；</w:t>
            </w:r>
          </w:p>
          <w:p w14:paraId="23355102">
            <w:pPr>
              <w:widowControl/>
              <w:spacing w:line="240" w:lineRule="exact"/>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14:paraId="5F561CD3">
            <w:pPr>
              <w:widowControl/>
              <w:spacing w:line="240" w:lineRule="exact"/>
              <w:jc w:val="left"/>
              <w:rPr>
                <w:szCs w:val="21"/>
              </w:rPr>
            </w:pPr>
            <w:r>
              <w:rPr>
                <w:rFonts w:ascii="仿宋_GB2312" w:hAnsi="新宋体" w:eastAsia="仿宋_GB2312" w:cs="仿宋_GB2312"/>
                <w:kern w:val="0"/>
                <w:szCs w:val="21"/>
              </w:rPr>
              <w:t>全部符合（8）；</w:t>
            </w:r>
          </w:p>
          <w:p w14:paraId="3546E41E">
            <w:pPr>
              <w:widowControl/>
              <w:spacing w:line="240" w:lineRule="exact"/>
              <w:jc w:val="left"/>
              <w:rPr>
                <w:szCs w:val="21"/>
              </w:rPr>
            </w:pPr>
            <w:r>
              <w:rPr>
                <w:rFonts w:ascii="仿宋_GB2312" w:hAnsi="新宋体" w:eastAsia="仿宋_GB2312" w:cs="仿宋_GB2312"/>
                <w:kern w:val="0"/>
                <w:szCs w:val="21"/>
              </w:rPr>
              <w:t>符合其中七项（6）；</w:t>
            </w:r>
          </w:p>
          <w:p w14:paraId="0121A7E5">
            <w:pPr>
              <w:widowControl/>
              <w:spacing w:line="240" w:lineRule="exact"/>
              <w:jc w:val="left"/>
              <w:rPr>
                <w:szCs w:val="21"/>
              </w:rPr>
            </w:pPr>
            <w:r>
              <w:rPr>
                <w:rFonts w:ascii="仿宋_GB2312" w:hAnsi="新宋体" w:eastAsia="仿宋_GB2312" w:cs="仿宋_GB2312"/>
                <w:kern w:val="0"/>
                <w:szCs w:val="21"/>
              </w:rPr>
              <w:t>符合其中六项（4）；</w:t>
            </w:r>
          </w:p>
          <w:p w14:paraId="0FE78B2B">
            <w:pPr>
              <w:widowControl/>
              <w:spacing w:line="240" w:lineRule="exact"/>
              <w:jc w:val="left"/>
              <w:rPr>
                <w:szCs w:val="21"/>
              </w:rPr>
            </w:pPr>
            <w:r>
              <w:rPr>
                <w:rFonts w:ascii="仿宋_GB2312" w:hAnsi="新宋体" w:eastAsia="仿宋_GB2312" w:cs="仿宋_GB2312"/>
                <w:kern w:val="0"/>
                <w:szCs w:val="21"/>
              </w:rPr>
              <w:t>符合其中五项（2）；</w:t>
            </w:r>
          </w:p>
          <w:p w14:paraId="69F44B66">
            <w:pPr>
              <w:widowControl/>
              <w:spacing w:line="240" w:lineRule="exact"/>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1ABD2E8A">
            <w:pPr>
              <w:widowControl/>
              <w:spacing w:line="240" w:lineRule="exact"/>
              <w:jc w:val="left"/>
              <w:rPr>
                <w:szCs w:val="21"/>
              </w:rPr>
            </w:pPr>
            <w:r>
              <w:rPr>
                <w:rFonts w:hint="eastAsia"/>
                <w:szCs w:val="21"/>
              </w:rPr>
              <w:t>8</w:t>
            </w:r>
          </w:p>
        </w:tc>
      </w:tr>
      <w:tr w14:paraId="42AD1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2F2C766">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A65951E">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D9382AA">
            <w:pPr>
              <w:widowControl/>
              <w:spacing w:line="240" w:lineRule="exact"/>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15FE0D5C">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14:paraId="68826959">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14:paraId="23C0852D">
            <w:pPr>
              <w:widowControl/>
              <w:spacing w:line="240" w:lineRule="exact"/>
              <w:jc w:val="left"/>
              <w:rPr>
                <w:szCs w:val="21"/>
              </w:rPr>
            </w:pPr>
            <w:r>
              <w:rPr>
                <w:rFonts w:ascii="仿宋_GB2312" w:hAnsi="新宋体" w:eastAsia="仿宋_GB2312" w:cs="仿宋_GB2312"/>
                <w:kern w:val="0"/>
                <w:szCs w:val="21"/>
              </w:rPr>
              <w:t>评价要点：</w:t>
            </w:r>
          </w:p>
          <w:p w14:paraId="694D6E8B">
            <w:pPr>
              <w:widowControl/>
              <w:spacing w:line="240" w:lineRule="exact"/>
              <w:jc w:val="left"/>
              <w:rPr>
                <w:szCs w:val="21"/>
              </w:rPr>
            </w:pPr>
            <w:r>
              <w:rPr>
                <w:rFonts w:ascii="仿宋_GB2312" w:hAnsi="新宋体" w:eastAsia="仿宋_GB2312" w:cs="仿宋_GB2312"/>
                <w:kern w:val="0"/>
                <w:szCs w:val="21"/>
              </w:rPr>
              <w:t>1.公开预决算信息；</w:t>
            </w:r>
          </w:p>
          <w:p w14:paraId="07E71E80">
            <w:pPr>
              <w:widowControl/>
              <w:spacing w:line="240" w:lineRule="exact"/>
              <w:jc w:val="left"/>
              <w:rPr>
                <w:szCs w:val="21"/>
              </w:rPr>
            </w:pPr>
            <w:r>
              <w:rPr>
                <w:rFonts w:ascii="仿宋_GB2312" w:hAnsi="新宋体" w:eastAsia="仿宋_GB2312" w:cs="仿宋_GB2312"/>
                <w:kern w:val="0"/>
                <w:szCs w:val="21"/>
              </w:rPr>
              <w:t>2.按规定内容公开预决算信息；</w:t>
            </w:r>
          </w:p>
          <w:p w14:paraId="687AD5F3">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4251021C">
            <w:pPr>
              <w:widowControl/>
              <w:spacing w:line="240" w:lineRule="exact"/>
              <w:jc w:val="left"/>
              <w:rPr>
                <w:szCs w:val="21"/>
              </w:rPr>
            </w:pPr>
            <w:r>
              <w:rPr>
                <w:rFonts w:ascii="仿宋_GB2312" w:hAnsi="新宋体" w:eastAsia="仿宋_GB2312" w:cs="仿宋_GB2312"/>
                <w:kern w:val="0"/>
                <w:szCs w:val="21"/>
              </w:rPr>
              <w:t>全部符合（3）；</w:t>
            </w:r>
          </w:p>
          <w:p w14:paraId="41972185">
            <w:pPr>
              <w:widowControl/>
              <w:spacing w:line="240" w:lineRule="exact"/>
              <w:jc w:val="left"/>
              <w:rPr>
                <w:szCs w:val="21"/>
              </w:rPr>
            </w:pPr>
            <w:r>
              <w:rPr>
                <w:rFonts w:ascii="仿宋_GB2312" w:hAnsi="新宋体" w:eastAsia="仿宋_GB2312" w:cs="仿宋_GB2312"/>
                <w:kern w:val="0"/>
                <w:szCs w:val="21"/>
              </w:rPr>
              <w:t>符合其中两项（2）</w:t>
            </w:r>
          </w:p>
          <w:p w14:paraId="12DC7185">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1CBA64FB">
            <w:pPr>
              <w:widowControl/>
              <w:spacing w:line="240" w:lineRule="exact"/>
              <w:jc w:val="left"/>
              <w:rPr>
                <w:szCs w:val="21"/>
              </w:rPr>
            </w:pPr>
            <w:r>
              <w:rPr>
                <w:rFonts w:hint="eastAsia"/>
                <w:szCs w:val="21"/>
              </w:rPr>
              <w:t>3</w:t>
            </w:r>
          </w:p>
        </w:tc>
      </w:tr>
      <w:tr w14:paraId="544A8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C095190">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C3A72A4">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61BAE06">
            <w:pPr>
              <w:widowControl/>
              <w:spacing w:line="240" w:lineRule="exact"/>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EA40763">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14:paraId="013A9C00">
            <w:pPr>
              <w:widowControl/>
              <w:spacing w:line="240" w:lineRule="exact"/>
              <w:jc w:val="left"/>
              <w:rPr>
                <w:szCs w:val="21"/>
              </w:rPr>
            </w:pPr>
            <w:r>
              <w:rPr>
                <w:rFonts w:ascii="仿宋_GB2312" w:hAnsi="新宋体" w:eastAsia="仿宋_GB2312" w:cs="仿宋_GB2312"/>
                <w:kern w:val="0"/>
                <w:szCs w:val="21"/>
              </w:rPr>
              <w:t>评价要点：</w:t>
            </w:r>
          </w:p>
          <w:p w14:paraId="00976A35">
            <w:pPr>
              <w:widowControl/>
              <w:spacing w:line="240" w:lineRule="exact"/>
              <w:jc w:val="left"/>
              <w:rPr>
                <w:szCs w:val="21"/>
              </w:rPr>
            </w:pPr>
            <w:r>
              <w:rPr>
                <w:rFonts w:ascii="仿宋_GB2312" w:hAnsi="新宋体" w:eastAsia="仿宋_GB2312" w:cs="仿宋_GB2312"/>
                <w:kern w:val="0"/>
                <w:szCs w:val="21"/>
              </w:rPr>
              <w:t>1.基本财务管理制度健全；</w:t>
            </w:r>
          </w:p>
          <w:p w14:paraId="3669E3FF">
            <w:pPr>
              <w:widowControl/>
              <w:spacing w:line="240" w:lineRule="exact"/>
              <w:jc w:val="left"/>
              <w:rPr>
                <w:szCs w:val="21"/>
              </w:rPr>
            </w:pPr>
            <w:r>
              <w:rPr>
                <w:rFonts w:ascii="仿宋_GB2312" w:hAnsi="新宋体" w:eastAsia="仿宋_GB2312" w:cs="仿宋_GB2312"/>
                <w:kern w:val="0"/>
                <w:szCs w:val="21"/>
              </w:rPr>
              <w:t>2.基础数据信息和会计信息资料真实；</w:t>
            </w:r>
          </w:p>
          <w:p w14:paraId="445499E9">
            <w:pPr>
              <w:widowControl/>
              <w:spacing w:line="240" w:lineRule="exact"/>
              <w:jc w:val="left"/>
              <w:rPr>
                <w:szCs w:val="21"/>
              </w:rPr>
            </w:pPr>
            <w:r>
              <w:rPr>
                <w:rFonts w:ascii="仿宋_GB2312" w:hAnsi="新宋体" w:eastAsia="仿宋_GB2312" w:cs="仿宋_GB2312"/>
                <w:kern w:val="0"/>
                <w:szCs w:val="21"/>
              </w:rPr>
              <w:t>3.基础数据信息和会计信息资料完整；</w:t>
            </w:r>
          </w:p>
          <w:p w14:paraId="70CCE3D8">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5DF2C489">
            <w:pPr>
              <w:widowControl/>
              <w:spacing w:line="240" w:lineRule="exact"/>
              <w:jc w:val="left"/>
              <w:rPr>
                <w:szCs w:val="21"/>
              </w:rPr>
            </w:pPr>
            <w:r>
              <w:rPr>
                <w:rFonts w:ascii="仿宋_GB2312" w:hAnsi="新宋体" w:eastAsia="仿宋_GB2312" w:cs="仿宋_GB2312"/>
                <w:kern w:val="0"/>
                <w:szCs w:val="21"/>
              </w:rPr>
              <w:t>符合全部四项（4）；</w:t>
            </w:r>
          </w:p>
          <w:p w14:paraId="1A229E79">
            <w:pPr>
              <w:widowControl/>
              <w:spacing w:line="240" w:lineRule="exact"/>
              <w:jc w:val="left"/>
              <w:rPr>
                <w:szCs w:val="21"/>
              </w:rPr>
            </w:pPr>
            <w:r>
              <w:rPr>
                <w:rFonts w:ascii="仿宋_GB2312" w:hAnsi="新宋体" w:eastAsia="仿宋_GB2312" w:cs="仿宋_GB2312"/>
                <w:kern w:val="0"/>
                <w:szCs w:val="21"/>
              </w:rPr>
              <w:t>符合其中三项（2）；</w:t>
            </w:r>
          </w:p>
          <w:p w14:paraId="66BFA803">
            <w:pPr>
              <w:widowControl/>
              <w:spacing w:line="240" w:lineRule="exact"/>
              <w:jc w:val="left"/>
              <w:rPr>
                <w:szCs w:val="21"/>
              </w:rPr>
            </w:pPr>
            <w:r>
              <w:rPr>
                <w:rFonts w:ascii="仿宋_GB2312" w:hAnsi="新宋体" w:eastAsia="仿宋_GB2312" w:cs="仿宋_GB2312"/>
                <w:kern w:val="0"/>
                <w:szCs w:val="21"/>
              </w:rPr>
              <w:t>符合其中两项（1）；</w:t>
            </w:r>
          </w:p>
          <w:p w14:paraId="320CE3B0">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7EB94A6C">
            <w:pPr>
              <w:widowControl/>
              <w:spacing w:line="240" w:lineRule="exact"/>
              <w:jc w:val="center"/>
              <w:rPr>
                <w:szCs w:val="21"/>
              </w:rPr>
            </w:pPr>
            <w:r>
              <w:rPr>
                <w:rFonts w:hint="eastAsia"/>
                <w:szCs w:val="21"/>
              </w:rPr>
              <w:t>4</w:t>
            </w:r>
          </w:p>
        </w:tc>
      </w:tr>
      <w:tr w14:paraId="34278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98DE5F9">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371776A5">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14:paraId="0A9624CF">
            <w:pPr>
              <w:widowControl/>
              <w:spacing w:line="240" w:lineRule="exact"/>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71BC2522">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14:paraId="53670203">
            <w:pPr>
              <w:widowControl/>
              <w:spacing w:line="240" w:lineRule="exact"/>
              <w:jc w:val="left"/>
              <w:rPr>
                <w:szCs w:val="21"/>
              </w:rPr>
            </w:pPr>
            <w:r>
              <w:rPr>
                <w:rFonts w:ascii="仿宋_GB2312" w:hAnsi="新宋体" w:eastAsia="仿宋_GB2312" w:cs="仿宋_GB2312"/>
                <w:kern w:val="0"/>
                <w:szCs w:val="21"/>
              </w:rPr>
              <w:t>评价要点：</w:t>
            </w:r>
          </w:p>
          <w:p w14:paraId="6A1CBA34">
            <w:pPr>
              <w:widowControl/>
              <w:spacing w:line="240" w:lineRule="exact"/>
              <w:jc w:val="left"/>
              <w:rPr>
                <w:szCs w:val="21"/>
              </w:rPr>
            </w:pPr>
            <w:r>
              <w:rPr>
                <w:rFonts w:ascii="仿宋_GB2312" w:hAnsi="新宋体" w:eastAsia="仿宋_GB2312" w:cs="仿宋_GB2312"/>
                <w:kern w:val="0"/>
                <w:szCs w:val="21"/>
              </w:rPr>
              <w:t>1.资产保存完整；</w:t>
            </w:r>
          </w:p>
          <w:p w14:paraId="370F8BFC">
            <w:pPr>
              <w:widowControl/>
              <w:spacing w:line="240" w:lineRule="exact"/>
              <w:jc w:val="left"/>
              <w:rPr>
                <w:szCs w:val="21"/>
              </w:rPr>
            </w:pPr>
            <w:r>
              <w:rPr>
                <w:rFonts w:ascii="仿宋_GB2312" w:hAnsi="新宋体" w:eastAsia="仿宋_GB2312" w:cs="仿宋_GB2312"/>
                <w:kern w:val="0"/>
                <w:szCs w:val="21"/>
              </w:rPr>
              <w:t>2.资产账务管理是否合规，帐实相符；</w:t>
            </w:r>
          </w:p>
          <w:p w14:paraId="42688613">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47DADBDC">
            <w:pPr>
              <w:widowControl/>
              <w:spacing w:line="240" w:lineRule="exact"/>
              <w:jc w:val="left"/>
              <w:rPr>
                <w:szCs w:val="21"/>
              </w:rPr>
            </w:pPr>
            <w:r>
              <w:rPr>
                <w:rFonts w:ascii="仿宋_GB2312" w:hAnsi="新宋体" w:eastAsia="仿宋_GB2312" w:cs="仿宋_GB2312"/>
                <w:kern w:val="0"/>
                <w:szCs w:val="21"/>
              </w:rPr>
              <w:t>符合全部三项（3）；</w:t>
            </w:r>
          </w:p>
          <w:p w14:paraId="2E2E5B8E">
            <w:pPr>
              <w:widowControl/>
              <w:spacing w:line="240" w:lineRule="exact"/>
              <w:jc w:val="left"/>
              <w:rPr>
                <w:szCs w:val="21"/>
              </w:rPr>
            </w:pPr>
            <w:r>
              <w:rPr>
                <w:rFonts w:ascii="仿宋_GB2312" w:hAnsi="新宋体" w:eastAsia="仿宋_GB2312" w:cs="仿宋_GB2312"/>
                <w:kern w:val="0"/>
                <w:szCs w:val="21"/>
              </w:rPr>
              <w:t>符合其中两项（2）；</w:t>
            </w:r>
          </w:p>
          <w:p w14:paraId="622D363A">
            <w:pPr>
              <w:widowControl/>
              <w:spacing w:line="240" w:lineRule="exact"/>
              <w:jc w:val="left"/>
              <w:rPr>
                <w:szCs w:val="21"/>
              </w:rPr>
            </w:pPr>
            <w:r>
              <w:rPr>
                <w:rFonts w:ascii="仿宋_GB2312" w:hAnsi="新宋体" w:eastAsia="仿宋_GB2312" w:cs="仿宋_GB2312"/>
                <w:kern w:val="0"/>
                <w:szCs w:val="21"/>
              </w:rPr>
              <w:t>符合其中一项（1）；</w:t>
            </w:r>
          </w:p>
          <w:p w14:paraId="72C27CA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23F35B67">
            <w:pPr>
              <w:widowControl/>
              <w:spacing w:line="240" w:lineRule="exact"/>
              <w:jc w:val="left"/>
              <w:rPr>
                <w:szCs w:val="21"/>
              </w:rPr>
            </w:pPr>
            <w:r>
              <w:rPr>
                <w:rFonts w:hint="eastAsia"/>
                <w:szCs w:val="21"/>
              </w:rPr>
              <w:t>2</w:t>
            </w:r>
          </w:p>
        </w:tc>
      </w:tr>
      <w:tr w14:paraId="6A2F9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99384E1">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1BACC39">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14:paraId="7BC298B4">
            <w:pPr>
              <w:widowControl/>
              <w:spacing w:line="240" w:lineRule="exact"/>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54FC7E90">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14:paraId="680B8985">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445E81A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14:paraId="7CF99C0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14:paraId="07E1899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14:paraId="71D396D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0F42E544">
            <w:pPr>
              <w:widowControl/>
              <w:spacing w:line="240" w:lineRule="exact"/>
              <w:jc w:val="left"/>
              <w:rPr>
                <w:szCs w:val="21"/>
              </w:rPr>
            </w:pPr>
            <w:r>
              <w:rPr>
                <w:rFonts w:hint="eastAsia"/>
                <w:szCs w:val="21"/>
              </w:rPr>
              <w:t>2.5</w:t>
            </w:r>
          </w:p>
        </w:tc>
      </w:tr>
      <w:tr w14:paraId="52B8C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6FB74D90">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66FEC215">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3FE58BB1">
            <w:pPr>
              <w:widowControl/>
              <w:spacing w:line="240" w:lineRule="exact"/>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69044FB9">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w:t>
            </w:r>
            <w:r>
              <w:rPr>
                <w:rFonts w:hint="eastAsia" w:ascii="仿宋" w:hAnsi="仿宋" w:eastAsia="仿宋" w:cs="仿宋"/>
                <w:color w:val="000000"/>
                <w:kern w:val="0"/>
                <w:szCs w:val="21"/>
                <w:lang w:eastAsia="zh-CN"/>
              </w:rPr>
              <w:t>的</w:t>
            </w:r>
            <w:r>
              <w:rPr>
                <w:rFonts w:hint="eastAsia" w:ascii="仿宋" w:hAnsi="仿宋" w:eastAsia="仿宋" w:cs="仿宋"/>
                <w:color w:val="000000"/>
                <w:kern w:val="0"/>
                <w:szCs w:val="21"/>
              </w:rPr>
              <w:t>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0CB95D99">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05587F4E">
            <w:pPr>
              <w:widowControl/>
              <w:spacing w:line="240" w:lineRule="exact"/>
              <w:jc w:val="left"/>
              <w:rPr>
                <w:szCs w:val="21"/>
              </w:rPr>
            </w:pPr>
            <w:r>
              <w:rPr>
                <w:rFonts w:hint="eastAsia"/>
                <w:szCs w:val="21"/>
              </w:rPr>
              <w:t>10</w:t>
            </w:r>
          </w:p>
        </w:tc>
      </w:tr>
      <w:tr w14:paraId="6B76C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3B4D0B8">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DF45829">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14:paraId="761CA06E">
            <w:pPr>
              <w:widowControl/>
              <w:spacing w:line="240" w:lineRule="exact"/>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14:paraId="284130B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14:paraId="0A7CE25D">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14:paraId="1AEEA25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664381D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14:paraId="7B2C8F1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14:paraId="2340F4C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 xml:space="preserve">3.项目质量达标率在99%-100%之间的，在0和满分之间计算确定： </w:t>
            </w:r>
          </w:p>
          <w:p w14:paraId="341A4D6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409E9DE7">
            <w:pPr>
              <w:widowControl/>
              <w:spacing w:line="240" w:lineRule="exact"/>
              <w:jc w:val="left"/>
              <w:rPr>
                <w:szCs w:val="21"/>
              </w:rPr>
            </w:pPr>
            <w:r>
              <w:rPr>
                <w:rFonts w:hint="eastAsia"/>
                <w:szCs w:val="21"/>
              </w:rPr>
              <w:t>15</w:t>
            </w:r>
          </w:p>
        </w:tc>
      </w:tr>
      <w:tr w14:paraId="6CC95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39032119">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14:paraId="098ED0D2">
            <w:pPr>
              <w:widowControl/>
              <w:spacing w:line="240" w:lineRule="exact"/>
              <w:jc w:val="left"/>
              <w:rPr>
                <w:rFonts w:ascii="仿宋_GB2312" w:hAnsi="新宋体" w:eastAsia="仿宋_GB2312" w:cs="仿宋_GB2312"/>
                <w:kern w:val="0"/>
                <w:szCs w:val="21"/>
              </w:rPr>
            </w:pPr>
          </w:p>
          <w:p w14:paraId="14D86E75">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14:paraId="4AFCD214">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08A6CEDF">
            <w:pPr>
              <w:widowControl/>
              <w:spacing w:line="240" w:lineRule="exact"/>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3A4187DC">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14:paraId="5F2B9FAA">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057B8C6D">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7A65A1AA">
            <w:pPr>
              <w:widowControl/>
              <w:spacing w:line="240" w:lineRule="exact"/>
              <w:jc w:val="left"/>
              <w:rPr>
                <w:szCs w:val="21"/>
              </w:rPr>
            </w:pPr>
            <w:r>
              <w:rPr>
                <w:rFonts w:hint="eastAsia"/>
                <w:szCs w:val="21"/>
              </w:rPr>
              <w:t>5</w:t>
            </w:r>
          </w:p>
        </w:tc>
      </w:tr>
      <w:tr w14:paraId="7C21A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642D4F19">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2AEAC2FB">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079FA13">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1F9B5D4A">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14:paraId="34EB3758">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1.通过部门所属企事业单位的改革，促进了企事业单位可持续发展，带动就业增长情况；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3453ADBB">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5C9567E2">
            <w:pPr>
              <w:widowControl/>
              <w:spacing w:line="240" w:lineRule="exact"/>
              <w:jc w:val="left"/>
              <w:rPr>
                <w:szCs w:val="21"/>
              </w:rPr>
            </w:pPr>
            <w:r>
              <w:rPr>
                <w:rFonts w:hint="eastAsia"/>
                <w:szCs w:val="21"/>
              </w:rPr>
              <w:t>5</w:t>
            </w:r>
          </w:p>
        </w:tc>
      </w:tr>
      <w:tr w14:paraId="19CE7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0C1FED2B">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34036415">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97A1E73">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35528927">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14:paraId="36DF6D7D">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1FC28C7A">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4DD33D39">
            <w:pPr>
              <w:widowControl/>
              <w:spacing w:line="240" w:lineRule="exact"/>
              <w:jc w:val="left"/>
              <w:rPr>
                <w:szCs w:val="21"/>
              </w:rPr>
            </w:pPr>
            <w:r>
              <w:rPr>
                <w:rFonts w:hint="eastAsia"/>
                <w:szCs w:val="21"/>
              </w:rPr>
              <w:t>5</w:t>
            </w:r>
          </w:p>
        </w:tc>
      </w:tr>
      <w:tr w14:paraId="21485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B372883">
            <w:pPr>
              <w:spacing w:line="240" w:lineRule="exact"/>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14:paraId="248AEE07">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BCDA442">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7C5EAE1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3A483805">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14:paraId="5024B118">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14:paraId="06C4F0A0">
            <w:pPr>
              <w:widowControl/>
              <w:spacing w:line="240" w:lineRule="exact"/>
              <w:jc w:val="left"/>
              <w:rPr>
                <w:szCs w:val="21"/>
              </w:rPr>
            </w:pPr>
            <w:r>
              <w:rPr>
                <w:rFonts w:hint="eastAsia"/>
                <w:szCs w:val="21"/>
              </w:rPr>
              <w:t>5</w:t>
            </w:r>
          </w:p>
        </w:tc>
      </w:tr>
    </w:tbl>
    <w:p w14:paraId="564FF106">
      <w:pPr>
        <w:spacing w:line="240" w:lineRule="exact"/>
        <w:rPr>
          <w:rFonts w:ascii="仿宋" w:hAnsi="仿宋" w:eastAsia="仿宋" w:cs="仿宋"/>
          <w:sz w:val="32"/>
          <w:szCs w:val="32"/>
        </w:rPr>
      </w:pPr>
    </w:p>
    <w:p w14:paraId="44B69EAD">
      <w:pPr>
        <w:spacing w:line="240" w:lineRule="exact"/>
        <w:rPr>
          <w:rFonts w:ascii="仿宋" w:hAnsi="仿宋" w:eastAsia="仿宋" w:cs="仿宋"/>
          <w:sz w:val="32"/>
          <w:szCs w:val="32"/>
        </w:rPr>
      </w:pPr>
    </w:p>
    <w:p w14:paraId="27ABF754">
      <w:pPr>
        <w:spacing w:line="240" w:lineRule="exact"/>
        <w:rPr>
          <w:rFonts w:ascii="仿宋" w:hAnsi="仿宋" w:eastAsia="仿宋" w:cs="仿宋"/>
          <w:sz w:val="32"/>
          <w:szCs w:val="32"/>
        </w:rPr>
      </w:pPr>
    </w:p>
    <w:p w14:paraId="11CBA01C">
      <w:pPr>
        <w:spacing w:line="380" w:lineRule="exact"/>
        <w:jc w:val="center"/>
        <w:rPr>
          <w:rFonts w:ascii="仿宋" w:hAnsi="仿宋" w:eastAsia="仿宋" w:cs="仿宋"/>
          <w:b/>
          <w:bCs/>
          <w:sz w:val="36"/>
          <w:szCs w:val="36"/>
        </w:rPr>
      </w:pPr>
    </w:p>
    <w:p w14:paraId="2508F4E5">
      <w:pPr>
        <w:spacing w:line="380" w:lineRule="exact"/>
        <w:jc w:val="center"/>
        <w:rPr>
          <w:rFonts w:ascii="仿宋" w:hAnsi="仿宋" w:eastAsia="仿宋" w:cs="仿宋"/>
          <w:b/>
          <w:bCs/>
          <w:sz w:val="36"/>
          <w:szCs w:val="36"/>
        </w:rPr>
      </w:pPr>
    </w:p>
    <w:p w14:paraId="493D9AC9">
      <w:pPr>
        <w:spacing w:line="380" w:lineRule="exact"/>
        <w:jc w:val="center"/>
        <w:rPr>
          <w:rFonts w:ascii="仿宋" w:hAnsi="仿宋" w:eastAsia="仿宋" w:cs="仿宋"/>
          <w:b/>
          <w:bCs/>
          <w:sz w:val="36"/>
          <w:szCs w:val="36"/>
        </w:rPr>
      </w:pPr>
    </w:p>
    <w:p w14:paraId="279CDDEF">
      <w:pPr>
        <w:spacing w:line="380" w:lineRule="exact"/>
        <w:jc w:val="center"/>
        <w:rPr>
          <w:rFonts w:ascii="仿宋" w:hAnsi="仿宋" w:eastAsia="仿宋" w:cs="仿宋"/>
          <w:b/>
          <w:bCs/>
          <w:sz w:val="36"/>
          <w:szCs w:val="36"/>
        </w:rPr>
      </w:pPr>
    </w:p>
    <w:p w14:paraId="61BE2BC1">
      <w:pPr>
        <w:spacing w:line="380" w:lineRule="exact"/>
        <w:jc w:val="center"/>
        <w:rPr>
          <w:rFonts w:ascii="仿宋" w:hAnsi="仿宋" w:eastAsia="仿宋" w:cs="仿宋"/>
          <w:b/>
          <w:bCs/>
          <w:sz w:val="36"/>
          <w:szCs w:val="36"/>
        </w:rPr>
      </w:pPr>
    </w:p>
    <w:p w14:paraId="6DE9523C">
      <w:pPr>
        <w:spacing w:line="380" w:lineRule="exact"/>
        <w:jc w:val="center"/>
        <w:rPr>
          <w:rFonts w:ascii="仿宋" w:hAnsi="仿宋" w:eastAsia="仿宋" w:cs="仿宋"/>
          <w:b/>
          <w:bCs/>
          <w:sz w:val="36"/>
          <w:szCs w:val="36"/>
        </w:rPr>
      </w:pPr>
    </w:p>
    <w:p w14:paraId="79D7F6E2">
      <w:pPr>
        <w:spacing w:line="380" w:lineRule="exact"/>
        <w:jc w:val="center"/>
        <w:rPr>
          <w:rFonts w:ascii="仿宋" w:hAnsi="仿宋" w:eastAsia="仿宋" w:cs="仿宋"/>
          <w:b/>
          <w:bCs/>
          <w:sz w:val="36"/>
          <w:szCs w:val="36"/>
        </w:rPr>
      </w:pPr>
    </w:p>
    <w:p w14:paraId="065E75E5">
      <w:pPr>
        <w:spacing w:line="380" w:lineRule="exact"/>
        <w:jc w:val="center"/>
        <w:rPr>
          <w:rFonts w:ascii="仿宋" w:hAnsi="仿宋" w:eastAsia="仿宋" w:cs="仿宋"/>
          <w:b/>
          <w:bCs/>
          <w:sz w:val="36"/>
          <w:szCs w:val="36"/>
        </w:rPr>
      </w:pPr>
    </w:p>
    <w:p w14:paraId="52E09324">
      <w:pPr>
        <w:spacing w:line="380" w:lineRule="exact"/>
        <w:jc w:val="center"/>
        <w:rPr>
          <w:rFonts w:ascii="仿宋" w:hAnsi="仿宋" w:eastAsia="仿宋" w:cs="仿宋"/>
          <w:b/>
          <w:bCs/>
          <w:sz w:val="36"/>
          <w:szCs w:val="36"/>
        </w:rPr>
      </w:pPr>
    </w:p>
    <w:p w14:paraId="15E34F1E">
      <w:pPr>
        <w:spacing w:line="380" w:lineRule="exact"/>
        <w:jc w:val="center"/>
        <w:rPr>
          <w:rFonts w:ascii="仿宋" w:hAnsi="仿宋" w:eastAsia="仿宋" w:cs="仿宋"/>
          <w:b/>
          <w:bCs/>
          <w:sz w:val="36"/>
          <w:szCs w:val="36"/>
        </w:rPr>
      </w:pPr>
    </w:p>
    <w:p w14:paraId="6232530C">
      <w:pPr>
        <w:spacing w:line="380" w:lineRule="exact"/>
        <w:jc w:val="center"/>
        <w:rPr>
          <w:rFonts w:ascii="仿宋" w:hAnsi="仿宋" w:eastAsia="仿宋" w:cs="仿宋"/>
          <w:b/>
          <w:bCs/>
          <w:sz w:val="36"/>
          <w:szCs w:val="36"/>
        </w:rPr>
      </w:pPr>
    </w:p>
    <w:p w14:paraId="65426A94">
      <w:pPr>
        <w:spacing w:line="380" w:lineRule="exact"/>
        <w:jc w:val="center"/>
        <w:rPr>
          <w:rFonts w:ascii="仿宋" w:hAnsi="仿宋" w:eastAsia="仿宋" w:cs="仿宋"/>
          <w:b/>
          <w:bCs/>
          <w:sz w:val="36"/>
          <w:szCs w:val="36"/>
        </w:rPr>
      </w:pPr>
    </w:p>
    <w:p w14:paraId="05548016">
      <w:pPr>
        <w:spacing w:line="380" w:lineRule="exact"/>
        <w:jc w:val="center"/>
        <w:rPr>
          <w:rFonts w:ascii="仿宋" w:hAnsi="仿宋" w:eastAsia="仿宋" w:cs="仿宋"/>
          <w:b/>
          <w:bCs/>
          <w:sz w:val="36"/>
          <w:szCs w:val="36"/>
        </w:rPr>
      </w:pPr>
    </w:p>
    <w:p w14:paraId="463AEDF0">
      <w:pPr>
        <w:spacing w:line="380" w:lineRule="exact"/>
        <w:jc w:val="center"/>
        <w:rPr>
          <w:rFonts w:ascii="仿宋" w:hAnsi="仿宋" w:eastAsia="仿宋" w:cs="仿宋"/>
          <w:b/>
          <w:bCs/>
          <w:sz w:val="36"/>
          <w:szCs w:val="36"/>
        </w:rPr>
      </w:pPr>
    </w:p>
    <w:p w14:paraId="49B343A4">
      <w:pPr>
        <w:spacing w:line="380" w:lineRule="exact"/>
        <w:jc w:val="center"/>
        <w:rPr>
          <w:rFonts w:ascii="仿宋" w:hAnsi="仿宋" w:eastAsia="仿宋" w:cs="仿宋"/>
          <w:b/>
          <w:bCs/>
          <w:sz w:val="36"/>
          <w:szCs w:val="36"/>
        </w:rPr>
      </w:pPr>
      <w:r>
        <w:rPr>
          <w:rFonts w:hint="eastAsia" w:ascii="仿宋" w:hAnsi="仿宋" w:eastAsia="仿宋" w:cs="仿宋"/>
          <w:b/>
          <w:bCs/>
          <w:sz w:val="36"/>
          <w:szCs w:val="36"/>
        </w:rPr>
        <w:t>冯马学区部门整体支出绩效评价报告</w:t>
      </w:r>
    </w:p>
    <w:p w14:paraId="07F4B4D3">
      <w:pPr>
        <w:spacing w:line="380" w:lineRule="exact"/>
        <w:rPr>
          <w:rFonts w:ascii="仿宋" w:hAnsi="仿宋" w:eastAsia="仿宋" w:cs="仿宋"/>
          <w:sz w:val="28"/>
          <w:szCs w:val="28"/>
        </w:rPr>
      </w:pPr>
    </w:p>
    <w:p w14:paraId="7A171AB8">
      <w:pPr>
        <w:ind w:firstLine="643" w:firstLineChars="200"/>
        <w:rPr>
          <w:rFonts w:ascii="仿宋" w:hAnsi="仿宋" w:eastAsia="仿宋" w:cs="Times New Roman"/>
          <w:b/>
          <w:bCs/>
          <w:sz w:val="32"/>
          <w:szCs w:val="32"/>
        </w:rPr>
      </w:pPr>
      <w:r>
        <w:rPr>
          <w:rFonts w:ascii="仿宋" w:hAnsi="仿宋" w:eastAsia="仿宋" w:cs="仿宋"/>
          <w:b/>
          <w:bCs/>
          <w:sz w:val="32"/>
          <w:szCs w:val="32"/>
        </w:rPr>
        <w:t>1</w:t>
      </w:r>
      <w:r>
        <w:rPr>
          <w:rFonts w:hint="eastAsia" w:ascii="仿宋" w:hAnsi="仿宋" w:eastAsia="仿宋" w:cs="仿宋"/>
          <w:b/>
          <w:bCs/>
          <w:sz w:val="32"/>
          <w:szCs w:val="32"/>
        </w:rPr>
        <w:t>、部门主要职责职能</w:t>
      </w:r>
    </w:p>
    <w:p w14:paraId="496B9CFC">
      <w:pPr>
        <w:pStyle w:val="17"/>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加强基础教育，以推进义务教育均衡发展为重点，深入推进基础教育教学改革，切实减轻小学生的课业负担，加强小学德育教育工作，全面实施素质教育。加强公共文化服务体系建设，推进停西口学区青少年体育工作，构建多元化体育服务体系。</w:t>
      </w:r>
    </w:p>
    <w:p w14:paraId="16BDE7CC">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（一）贯彻落实党和国家教育工作的方针、政策和法律法规，拟定我学区教育工作的实施意见和措施，并组织实施。</w:t>
      </w:r>
    </w:p>
    <w:p w14:paraId="5D5416DF">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（二）负责全学区学前教育和小学教育的统筹规划和协调管理，组织实施幼儿园和各学校的设置标准，指导幼儿园和各学校的教育教学改革，负责教育基本信息的统计、分析和发布。</w:t>
      </w:r>
    </w:p>
    <w:p w14:paraId="343F0445">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三）综合管理全学区基础教育、幼儿教育、；负责全学区幼儿，小学教师队伍建设的中长期规划及教师培养、培训的政策、规划制定和组织实施工作；负责推进义务教育均衡发展和促进教育公平，负责义务教育的管理和协调；负责基础教育教学基本要求和教学基本文件的实施；负责社会力量举办的各级各类学校的管理工作。</w:t>
      </w:r>
    </w:p>
    <w:p w14:paraId="4C620A62">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（四）负责推进并指导学前教育和小学教育的教育教学改革和科研工作；负责全面实施素质教育，提高教学质量和水平。</w:t>
      </w:r>
    </w:p>
    <w:p w14:paraId="521B32C7">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五）负责指导全学区的教育督导工作，负责组织和指导对小学教育和扫除青壮年文盲工作的督导和评估验收；负责并指导基础教育发展水平、质量的监测工作；负责组织指导学前教育和小学教育的招生考试工作。</w:t>
      </w:r>
    </w:p>
    <w:p w14:paraId="63587700">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（六）负责管理本学区教育经费使用情况进行审计监督；统计并监测全学区教育经费（含人员经费）的投入和执行情况；实施对家庭困难学生的资助工作；</w:t>
      </w:r>
    </w:p>
    <w:p w14:paraId="1B70CC11">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（七）指导学校内部管理体制改革，统筹规划并指导学前教师和小学教师、教育行政干部队伍的建设。</w:t>
      </w:r>
    </w:p>
    <w:p w14:paraId="6B17B5BF">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（八）负责学校后备干部的管理及队伍建设工作。</w:t>
      </w:r>
    </w:p>
    <w:p w14:paraId="724BEDB1">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九）指导学前教育和小学教育的党建、思想政治、维护稳定和德育、体育、卫生与艺术教育、国防教育工作；负责全学区教育系统及各级各类学校的法制建设和安全稳定工作的监督管理；负责管理并指导小学心理健康教育工作。</w:t>
      </w:r>
    </w:p>
    <w:p w14:paraId="25369E93">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（十）负责实施教师继续教育和专业技术职务资格评审的有关工作，指导教师资格证制度的实施和抓好教育系统人才队伍建设。</w:t>
      </w:r>
    </w:p>
    <w:p w14:paraId="31D99DC4">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（十一）负责全学区社会力量办学的小学幼儿园的监督管理及小学幼儿园的考察、督查和管理工作；负责各级各类学校学籍管理工作；负责全学区青少年学生校外教育活动的管理工作。</w:t>
      </w:r>
    </w:p>
    <w:p w14:paraId="46F8E3C2">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（十二）负责规划、指导全学区教育、教学工作；根据教学大纲，落实学科教学计划，负责教学常规管理、课程改革和教育教学改革试点及推广工作。</w:t>
      </w:r>
    </w:p>
    <w:p w14:paraId="3D3B76E0">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（十三）负责和申报资金，改善全学区学校教学条件、教学装备信息化建设；实施教育资源库和学校校园网站建设。</w:t>
      </w:r>
    </w:p>
    <w:p w14:paraId="6728076C">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（十四）负责冯马学区语言文字工作，组织协调并监督检查汉语文字规范及标准的实施，推广和普及普通话。</w:t>
      </w:r>
    </w:p>
    <w:p w14:paraId="49FF9229">
      <w:pPr>
        <w:tabs>
          <w:tab w:val="left" w:pos="2624"/>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540" w:lineRule="exact"/>
        <w:ind w:firstLine="640" w:firstLineChars="200"/>
        <w:jc w:val="left"/>
        <w:rPr>
          <w:rFonts w:ascii="仿宋" w:hAnsi="仿宋" w:eastAsia="仿宋" w:cs="Times New Roman"/>
          <w:sz w:val="32"/>
          <w:szCs w:val="32"/>
        </w:rPr>
      </w:pPr>
      <w:r>
        <w:rPr>
          <w:rFonts w:hint="eastAsia" w:ascii="仿宋" w:hAnsi="仿宋" w:eastAsia="仿宋" w:cs="仿宋"/>
          <w:sz w:val="32"/>
          <w:szCs w:val="32"/>
        </w:rPr>
        <w:t>（十五）贯彻执行国家和省市关于文化艺术、文化产业、旅游管理、广播影视、新闻出版、文物保护、体育健身工作方针、政策和法律法规，拟定有关政策措施、发展规划和管理办法，经县政府批准后组织实施。</w:t>
      </w:r>
    </w:p>
    <w:p w14:paraId="4E3DCE5E">
      <w:pPr>
        <w:tabs>
          <w:tab w:val="left" w:pos="2624"/>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540" w:lineRule="exact"/>
        <w:ind w:firstLine="640" w:firstLineChars="200"/>
        <w:jc w:val="left"/>
        <w:rPr>
          <w:rFonts w:ascii="仿宋" w:hAnsi="仿宋" w:eastAsia="仿宋" w:cs="Times New Roman"/>
          <w:sz w:val="32"/>
          <w:szCs w:val="32"/>
        </w:rPr>
      </w:pPr>
      <w:r>
        <w:rPr>
          <w:rFonts w:hint="eastAsia" w:ascii="仿宋" w:hAnsi="仿宋" w:eastAsia="仿宋" w:cs="仿宋"/>
          <w:sz w:val="32"/>
          <w:szCs w:val="32"/>
        </w:rPr>
        <w:t>（十六）管理、指导全学区文化事业，负责推动全学区文化艺术领域的公共文化服务，规划。</w:t>
      </w:r>
    </w:p>
    <w:p w14:paraId="59CDA751">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（十七）承办教育局交办的其他事项。</w:t>
      </w:r>
    </w:p>
    <w:p w14:paraId="169DF774">
      <w:pPr>
        <w:ind w:firstLine="643" w:firstLineChars="200"/>
        <w:jc w:val="left"/>
        <w:rPr>
          <w:rFonts w:ascii="仿宋" w:hAnsi="仿宋" w:eastAsia="仿宋" w:cs="Times New Roman"/>
          <w:b/>
          <w:bCs/>
          <w:sz w:val="32"/>
          <w:szCs w:val="32"/>
        </w:rPr>
      </w:pPr>
      <w:r>
        <w:rPr>
          <w:rFonts w:ascii="仿宋" w:hAnsi="仿宋" w:eastAsia="仿宋" w:cs="仿宋"/>
          <w:b/>
          <w:bCs/>
          <w:sz w:val="32"/>
          <w:szCs w:val="32"/>
        </w:rPr>
        <w:t>2</w:t>
      </w:r>
      <w:r>
        <w:rPr>
          <w:rFonts w:hint="eastAsia" w:ascii="仿宋" w:hAnsi="仿宋" w:eastAsia="仿宋" w:cs="仿宋"/>
          <w:b/>
          <w:bCs/>
          <w:sz w:val="32"/>
          <w:szCs w:val="32"/>
        </w:rPr>
        <w:t>、部门履职总体目标</w:t>
      </w:r>
    </w:p>
    <w:p w14:paraId="349D9502">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2020年，全学区教育系统将全面贯彻十九大精神和省、市、县重大决策部署，以习近平新时代中国特色社会主义思想为指导，贯彻党的教育方针，落实“立德树人”根本任务，纵深推进教育改革，提升教育品质，积极构建与经济社会发展、与人民群众需求相适应的教育体系，努力解决好新时期人民群众日益增长的对优质教育的需要和发展不平衡不充分的矛盾，办好人民满意的教育</w:t>
      </w:r>
      <w:r>
        <w:rPr>
          <w:rFonts w:ascii="仿宋" w:hAnsi="仿宋" w:eastAsia="仿宋" w:cs="仿宋"/>
          <w:sz w:val="32"/>
          <w:szCs w:val="32"/>
        </w:rPr>
        <w:t>,</w:t>
      </w:r>
      <w:r>
        <w:rPr>
          <w:rFonts w:hint="eastAsia" w:ascii="仿宋" w:hAnsi="仿宋" w:eastAsia="仿宋" w:cs="仿宋"/>
          <w:sz w:val="32"/>
          <w:szCs w:val="32"/>
        </w:rPr>
        <w:t>为实现“小县办大教育”的目标、书写平乡教育“奋进之笔”新篇章奠定坚实基础。</w:t>
      </w:r>
    </w:p>
    <w:p w14:paraId="332161A6">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（一）、着力加强党的领导，统领教育各项工作</w:t>
      </w:r>
    </w:p>
    <w:p w14:paraId="4EC840AF">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学习、宣传、贯彻、落实党的十九大精神。通过抓好大学习、组织大宣讲、营造大氛围、开展大调研、推进大落实等系列活动和“不忘初心、牢记使命”主题教育，广泛开展十九大精神进校园等系列活动，坚持在“学懂”“弄通”“做实”上狠下功夫，深刻领会十九大精神实质，理清发展思路，明确奋斗目标，狠抓工作落实。</w:t>
      </w:r>
    </w:p>
    <w:p w14:paraId="1FDDDBCC">
      <w:pPr>
        <w:spacing w:line="600" w:lineRule="exact"/>
        <w:ind w:firstLine="640" w:firstLineChars="200"/>
        <w:jc w:val="left"/>
        <w:rPr>
          <w:rFonts w:ascii="仿宋" w:hAnsi="仿宋" w:eastAsia="仿宋" w:cs="Times New Roman"/>
          <w:sz w:val="32"/>
          <w:szCs w:val="32"/>
        </w:rPr>
      </w:pPr>
      <w:r>
        <w:rPr>
          <w:rFonts w:ascii="仿宋" w:hAnsi="仿宋" w:eastAsia="仿宋" w:cs="仿宋"/>
          <w:sz w:val="32"/>
          <w:szCs w:val="32"/>
        </w:rPr>
        <w:t xml:space="preserve">   2.</w:t>
      </w:r>
      <w:r>
        <w:rPr>
          <w:rFonts w:hint="eastAsia" w:ascii="仿宋" w:hAnsi="仿宋" w:eastAsia="仿宋" w:cs="仿宋"/>
          <w:sz w:val="32"/>
          <w:szCs w:val="32"/>
        </w:rPr>
        <w:t>规范党建阵地建设。学校党组织办公场所规范，有独立的办公室，有党组织标识牌，有办公设施，有文件资料柜、有工作制度牌。活动阵地规范，有固定的党员活动室，有必要的桌椅，有党旗、入党誓词、党员的权利和义务牌；有发展党员工作流程，有相关的报刊、书籍及档案资料柜。工作台账规范，有本单位党员名册、入党积极分子名册、入党申请人名册；有年度党建工作计划、发展党员工作计划、党员教育计划、党风廉政教育计划；有党费收缴档案、党组织活动档案、先进事迹档案、影像档案；有“三会一课”记录、民主生活会记录、谈心谈话记录、廉政教育记录等。</w:t>
      </w:r>
      <w:r>
        <w:rPr>
          <w:rFonts w:ascii="仿宋" w:hAnsi="仿宋" w:eastAsia="仿宋" w:cs="Times New Roman"/>
          <w:sz w:val="32"/>
          <w:szCs w:val="32"/>
        </w:rPr>
        <w:br w:type="textWrapping"/>
      </w:r>
      <w:r>
        <w:rPr>
          <w:rFonts w:ascii="仿宋" w:hAnsi="仿宋" w:eastAsia="仿宋" w:cs="仿宋"/>
          <w:sz w:val="32"/>
          <w:szCs w:val="32"/>
        </w:rPr>
        <w:t xml:space="preserve">    3.</w:t>
      </w:r>
      <w:r>
        <w:rPr>
          <w:rFonts w:hint="eastAsia" w:ascii="仿宋" w:hAnsi="仿宋" w:eastAsia="仿宋" w:cs="仿宋"/>
          <w:sz w:val="32"/>
          <w:szCs w:val="32"/>
        </w:rPr>
        <w:t>规范党建制度建设。一是规范学习教育制度。制定年度学习教育计划，党员每周五参加党组织举办的集中性学习活动。建立健全学习培训档案，全面准确记录党员学习培训情况。二是规范“三会一课”、民主评议党员等基本制度。坚持每季度召开</w:t>
      </w:r>
      <w:r>
        <w:rPr>
          <w:rFonts w:ascii="仿宋" w:hAnsi="仿宋" w:eastAsia="仿宋" w:cs="仿宋"/>
          <w:sz w:val="32"/>
          <w:szCs w:val="32"/>
        </w:rPr>
        <w:t>1</w:t>
      </w:r>
      <w:r>
        <w:rPr>
          <w:rFonts w:hint="eastAsia" w:ascii="仿宋" w:hAnsi="仿宋" w:eastAsia="仿宋" w:cs="仿宋"/>
          <w:sz w:val="32"/>
          <w:szCs w:val="32"/>
        </w:rPr>
        <w:t>次支部党员大会，每月召开</w:t>
      </w:r>
      <w:r>
        <w:rPr>
          <w:rFonts w:ascii="仿宋" w:hAnsi="仿宋" w:eastAsia="仿宋" w:cs="仿宋"/>
          <w:sz w:val="32"/>
          <w:szCs w:val="32"/>
        </w:rPr>
        <w:t>1</w:t>
      </w:r>
      <w:r>
        <w:rPr>
          <w:rFonts w:hint="eastAsia" w:ascii="仿宋" w:hAnsi="仿宋" w:eastAsia="仿宋" w:cs="仿宋"/>
          <w:sz w:val="32"/>
          <w:szCs w:val="32"/>
        </w:rPr>
        <w:t>次支部委员会，每月召开</w:t>
      </w:r>
      <w:r>
        <w:rPr>
          <w:rFonts w:ascii="仿宋" w:hAnsi="仿宋" w:eastAsia="仿宋" w:cs="仿宋"/>
          <w:sz w:val="32"/>
          <w:szCs w:val="32"/>
        </w:rPr>
        <w:t>1</w:t>
      </w:r>
      <w:r>
        <w:rPr>
          <w:rFonts w:hint="eastAsia" w:ascii="仿宋" w:hAnsi="仿宋" w:eastAsia="仿宋" w:cs="仿宋"/>
          <w:sz w:val="32"/>
          <w:szCs w:val="32"/>
        </w:rPr>
        <w:t>至</w:t>
      </w:r>
      <w:r>
        <w:rPr>
          <w:rFonts w:ascii="仿宋" w:hAnsi="仿宋" w:eastAsia="仿宋" w:cs="仿宋"/>
          <w:sz w:val="32"/>
          <w:szCs w:val="32"/>
        </w:rPr>
        <w:t>2</w:t>
      </w:r>
      <w:r>
        <w:rPr>
          <w:rFonts w:hint="eastAsia" w:ascii="仿宋" w:hAnsi="仿宋" w:eastAsia="仿宋" w:cs="仿宋"/>
          <w:sz w:val="32"/>
          <w:szCs w:val="32"/>
        </w:rPr>
        <w:t>次党小组会，每季度上</w:t>
      </w:r>
      <w:r>
        <w:rPr>
          <w:rFonts w:ascii="仿宋" w:hAnsi="仿宋" w:eastAsia="仿宋" w:cs="仿宋"/>
          <w:sz w:val="32"/>
          <w:szCs w:val="32"/>
        </w:rPr>
        <w:t>1</w:t>
      </w:r>
      <w:r>
        <w:rPr>
          <w:rFonts w:hint="eastAsia" w:ascii="仿宋" w:hAnsi="仿宋" w:eastAsia="仿宋" w:cs="仿宋"/>
          <w:sz w:val="32"/>
          <w:szCs w:val="32"/>
        </w:rPr>
        <w:t>次党课，每年开展</w:t>
      </w:r>
      <w:r>
        <w:rPr>
          <w:rFonts w:ascii="仿宋" w:hAnsi="仿宋" w:eastAsia="仿宋" w:cs="仿宋"/>
          <w:sz w:val="32"/>
          <w:szCs w:val="32"/>
        </w:rPr>
        <w:t>1</w:t>
      </w:r>
      <w:r>
        <w:rPr>
          <w:rFonts w:hint="eastAsia" w:ascii="仿宋" w:hAnsi="仿宋" w:eastAsia="仿宋" w:cs="仿宋"/>
          <w:sz w:val="32"/>
          <w:szCs w:val="32"/>
        </w:rPr>
        <w:t>次民主评议党员。三是规范发展党员制度。严格贯彻党员发展制度，严把“入口”关，规范入党发展对象、入党积极分子、预备党员保持比例，推进党员后备力量建设。四是党员示范岗制度。党组织要在教室、办公室、公益活动中合理设置党员示范岗，充分发挥基层党组织的战斗堡垒和党员的先锋模范作用，引领学校正风正气。</w:t>
      </w:r>
    </w:p>
    <w:p w14:paraId="6FC9821F">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（二）、奋力补齐发展短板，不断优化教育体系</w:t>
      </w:r>
    </w:p>
    <w:p w14:paraId="6FD80CBA">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加快推进幼儿教育健康发展。扩充公办幼儿园资源，支持普惠性民办幼儿园发展，改善办园条件，满足基本保育教育活动需要。一是继续加强对幼儿教师的培训工作，使我县幼儿教师业务素质得到新的提高。二是继续加强对全县幼儿园的管理和督导检查，使我县学前教育小学化倾向得到改善，保教水平得到明显提高；</w:t>
      </w:r>
    </w:p>
    <w:p w14:paraId="044A5827">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 xml:space="preserve"> 5.</w:t>
      </w:r>
      <w:r>
        <w:rPr>
          <w:rFonts w:hint="eastAsia" w:ascii="仿宋" w:hAnsi="仿宋" w:eastAsia="仿宋" w:cs="仿宋"/>
          <w:sz w:val="32"/>
          <w:szCs w:val="32"/>
        </w:rPr>
        <w:t>推进义务教育优质均衡发展。以迎接教育部对我学区义务教育基本均衡县复核认定为契机，加快推进学区内义务教育一体化进程，准备实施以强带弱办学模式，以冯马一小为龙头带动前带动孟冯马、冯马二小两所小学，在学区内实现百花争鸣的局面，实现优质教育资源共享。做好留守儿童关爱及随迁子女就学保障工作，促进教育公平。</w:t>
      </w:r>
    </w:p>
    <w:p w14:paraId="7E40CC92">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（三）、深入推进教育改革，全面提高教育质量</w:t>
      </w:r>
    </w:p>
    <w:p w14:paraId="1742FCCB">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以</w:t>
      </w:r>
      <w:r>
        <w:rPr>
          <w:rFonts w:ascii="仿宋" w:hAnsi="仿宋" w:eastAsia="仿宋" w:cs="仿宋"/>
          <w:sz w:val="32"/>
          <w:szCs w:val="32"/>
        </w:rPr>
        <w:t>5A</w:t>
      </w:r>
      <w:r>
        <w:rPr>
          <w:rFonts w:hint="eastAsia" w:ascii="仿宋" w:hAnsi="仿宋" w:eastAsia="仿宋" w:cs="仿宋"/>
          <w:sz w:val="32"/>
          <w:szCs w:val="32"/>
        </w:rPr>
        <w:t>级学校创建工作为主线，狠抓学校精细化管理工作。一是加强</w:t>
      </w:r>
      <w:r>
        <w:rPr>
          <w:rFonts w:ascii="仿宋" w:hAnsi="仿宋" w:eastAsia="仿宋" w:cs="仿宋"/>
          <w:sz w:val="32"/>
          <w:szCs w:val="32"/>
        </w:rPr>
        <w:t>5A</w:t>
      </w:r>
      <w:r>
        <w:rPr>
          <w:rFonts w:hint="eastAsia" w:ascii="仿宋" w:hAnsi="仿宋" w:eastAsia="仿宋" w:cs="仿宋"/>
          <w:sz w:val="32"/>
          <w:szCs w:val="32"/>
        </w:rPr>
        <w:t>学校建设。发挥先进单位引领作用，带动全学区学校面貌和管理水平全面提升。打造几所亮点学校。二、把“戏曲进校园”活动进一步搞出特色，力争在全县别具特色、全县小有名气。三是加强京津冀一体化对接。积极走出去、请进来，迅速提升我学区办学水平。</w:t>
      </w:r>
    </w:p>
    <w:p w14:paraId="4C0FCD1C">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7.</w:t>
      </w:r>
      <w:r>
        <w:rPr>
          <w:rFonts w:hint="eastAsia" w:ascii="仿宋" w:hAnsi="仿宋" w:eastAsia="仿宋" w:cs="仿宋"/>
          <w:sz w:val="32"/>
          <w:szCs w:val="32"/>
        </w:rPr>
        <w:t>持之以恒抓两支队伍建设。严格队伍管理，加强师德师风建设，强化师资培训</w:t>
      </w:r>
    </w:p>
    <w:p w14:paraId="634C122F">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8.</w:t>
      </w:r>
      <w:r>
        <w:rPr>
          <w:rFonts w:hint="eastAsia" w:ascii="仿宋" w:hAnsi="仿宋" w:eastAsia="仿宋" w:cs="仿宋"/>
          <w:sz w:val="32"/>
          <w:szCs w:val="32"/>
        </w:rPr>
        <w:t>坚持实施素质教育。从基础教育抓起，全面推行魏书生教育思想和李希贵教学改革。继续抓好义务教育学校教学教研工作，监管教学工作全过程，大力提升教学质量。</w:t>
      </w:r>
    </w:p>
    <w:p w14:paraId="66D6F84A">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（四）、抓好德育管理和活动育人，贯彻立德树人根本任务</w:t>
      </w:r>
    </w:p>
    <w:p w14:paraId="5EB1C864">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9.</w:t>
      </w:r>
      <w:r>
        <w:rPr>
          <w:rFonts w:hint="eastAsia" w:ascii="仿宋" w:hAnsi="仿宋" w:eastAsia="仿宋" w:cs="仿宋"/>
          <w:sz w:val="32"/>
          <w:szCs w:val="32"/>
        </w:rPr>
        <w:t>强化师德师风建设。以习近平新时代中国特色社会主义思想武装教职工头脑，抓实抓好教育系统意识形态工作，建立常态化政治理论学习制度。加强职业理想、心理健康教育，引导教师自觉遵守《中小学教师职业道德规范》，牢固树立“四个意识”，坚定理想信念，争做“四有”好老师。把师德表现作为年度考核、职称评审、岗位聘用、评优奖励的首要标准。加大违反师德行为的查处力度，对监管不力的学校，严格追究相关责任人管理责任。</w:t>
      </w:r>
    </w:p>
    <w:p w14:paraId="3F24E6C5">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10.</w:t>
      </w:r>
      <w:r>
        <w:rPr>
          <w:rFonts w:hint="eastAsia" w:ascii="仿宋" w:hAnsi="仿宋" w:eastAsia="仿宋" w:cs="仿宋"/>
          <w:sz w:val="32"/>
          <w:szCs w:val="32"/>
        </w:rPr>
        <w:t>着力减轻学生过重课业负担。落实中央提出的“着力解决小学生课业负担重，择校热、大班额等突出问题”的要求，督促学校提高课堂质量，针对性地为有需求的学生提高个性化教学内容，坚决遏制极少数教师热衷课外家教，加重学生和家长负担、谋取不当利益的行为。</w:t>
      </w:r>
    </w:p>
    <w:p w14:paraId="67E5DBF1">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（五）、大力保障教育民生，不断提升公共服务水平</w:t>
      </w:r>
    </w:p>
    <w:p w14:paraId="2F72DAEA">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11.</w:t>
      </w:r>
      <w:r>
        <w:rPr>
          <w:rFonts w:hint="eastAsia" w:ascii="仿宋" w:hAnsi="仿宋" w:eastAsia="仿宋" w:cs="仿宋"/>
          <w:sz w:val="32"/>
          <w:szCs w:val="32"/>
        </w:rPr>
        <w:t>完善基本公共服务。落实义务教育经费保障机制，保障学校正常运转。加强对学校大宗开支事项的审计监督，严格执行校长离任经济责任审计，做好学校年度财务收支审查。全面实行义务教育学生营养改善计划，确保食品安全。全面落实各项资助政策，认真做好控辍保学，确保各项教育指标达到要求。继续做好各类学生资助工作，高度关注学生信息变动，认真做好各项教育资助的告知、审核、公示、发放等工作，确保应助尽助。</w:t>
      </w:r>
    </w:p>
    <w:p w14:paraId="6AC2FC21">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12.</w:t>
      </w:r>
      <w:r>
        <w:rPr>
          <w:rFonts w:hint="eastAsia" w:ascii="仿宋" w:hAnsi="仿宋" w:eastAsia="仿宋" w:cs="仿宋"/>
          <w:sz w:val="32"/>
          <w:szCs w:val="32"/>
        </w:rPr>
        <w:t>保障校园平安稳定。会同相关部门建立健全小学幼儿园安全风险防控体系，进一步完善网格化管理，加强校园周边环境综合治理，及时排查化解矛盾纠纷，全力维护社会稳定，保障校园及师生安全。全面加强师生安全法制教育，搞好应急演练，提高师生安全意识，提升校园视频监控覆盖率，切实做到安全隐患排查整改制度化、常态化。</w:t>
      </w:r>
    </w:p>
    <w:p w14:paraId="083E9560">
      <w:pPr>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t> </w:t>
      </w:r>
      <w:r>
        <w:rPr>
          <w:rFonts w:ascii="仿宋" w:hAnsi="仿宋" w:eastAsia="仿宋" w:cs="仿宋"/>
          <w:sz w:val="32"/>
          <w:szCs w:val="32"/>
        </w:rPr>
        <w:t>13.</w:t>
      </w:r>
      <w:r>
        <w:rPr>
          <w:rFonts w:hint="eastAsia" w:ascii="仿宋" w:hAnsi="仿宋" w:eastAsia="仿宋" w:cs="仿宋"/>
          <w:sz w:val="32"/>
          <w:szCs w:val="32"/>
        </w:rPr>
        <w:t>营造良好舆论氛围。加强与主流媒体及友好媒体合作，组织并策划教育系统集中宣传、系列宣传活动，扩大教育宣传深度和广度。加强全学区教育系统宣传队伍建设，并适时开展专业素质能力提升培训。</w:t>
      </w:r>
    </w:p>
    <w:p w14:paraId="2A7A92EB">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（六）年度部门预算收入情况。</w:t>
      </w:r>
    </w:p>
    <w:p w14:paraId="7E27195F">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本年年初收入、支出年初预算安排均为1197.233915万元，比上年增加540.389202万元，变动主要原因为，办公费、燃油、用电减少。.</w:t>
      </w:r>
    </w:p>
    <w:p w14:paraId="4E54D8AB">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本年支出合计1197.233915万元，主要有以下几部分：工资福利支出1021.261409万元，商品和服务支出12367681万元，对个人和家庭的补助支出为52.295696万元。</w:t>
      </w:r>
    </w:p>
    <w:p w14:paraId="4F177BB1">
      <w:pPr>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3、预算绩效管理开展及整体绩效实现情况</w:t>
      </w:r>
    </w:p>
    <w:p w14:paraId="6D6A3730">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（一）预算编制情况。</w:t>
      </w:r>
    </w:p>
    <w:p w14:paraId="2C501597">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本单位严格按照相关规定，厉行节俭，强化资金合理利用，按期保质完成预决算编制。</w:t>
      </w:r>
    </w:p>
    <w:p w14:paraId="1C82A5FA">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（二）执行管理情况。</w:t>
      </w:r>
    </w:p>
    <w:p w14:paraId="1E40EC30">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当年收入支出预算执行情况良好。</w:t>
      </w:r>
    </w:p>
    <w:p w14:paraId="5BFD9C83">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（三）决算编制情况。</w:t>
      </w:r>
    </w:p>
    <w:p w14:paraId="3E3316FD">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本单位严格按照相关规定，厉行节俭，强化资金合理利用，按期保质完成预决算编制。</w:t>
      </w:r>
    </w:p>
    <w:p w14:paraId="516FC2FD">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（四）支出绩效情况。</w:t>
      </w:r>
    </w:p>
    <w:p w14:paraId="227A5BA3">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本年度部门预算支出绩效情况良好，完成学校发展总体目标任务。</w:t>
      </w:r>
    </w:p>
    <w:p w14:paraId="27ACB23B">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质量指标达到以下目标：全面贯彻党和国家的教育方针，坚持以人为本，坚持依法治校，坚持素质教育。遵循学生成长规律，关爱每一个学生，促进学生全面、个性、主动发展。管理民主，办学行为规范。</w:t>
      </w:r>
    </w:p>
    <w:p w14:paraId="5CDE7825">
      <w:pPr>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4、绩效评价的组织实施情况</w:t>
      </w:r>
    </w:p>
    <w:p w14:paraId="11F79F80">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构建学校评价体系，开展学校自评、社会评价和家长评价。</w:t>
      </w:r>
    </w:p>
    <w:p w14:paraId="4D171356">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社会效益指标达到以下目标：1、强化基础教育，推进素质教育；2、优化教师队伍，提高教师素质；3、营造良好的学校氛围，加强宣传义务教育工作，使党和政府的惠民政策家喻户晓、深入人心。</w:t>
      </w:r>
    </w:p>
    <w:p w14:paraId="01602A22">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生态效益指标达到以下目标：坚持德育为先、能力为重、全面发展。在全面实施素质教育的主题下，使所有的学生在德智体美综合素质都得到全面发展的基础上，具有自主持续发展的能力。</w:t>
      </w:r>
    </w:p>
    <w:p w14:paraId="3D8ABF93">
      <w:pPr>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5、评价结论及建议</w:t>
      </w:r>
    </w:p>
    <w:p w14:paraId="39264173">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（一）评价结论。</w:t>
      </w:r>
    </w:p>
    <w:p w14:paraId="59B7D865">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年度部门预算支出绩效情况良好，完成学校发展总体目标任务。1.学习先进经验，突破发展瓶颈，加快学校自身发展。2.科学调整学段布局，探索适应发展的运行管理模式。3.深化校本课程建设。4.抓好教师培训工作，充分利用信息化建设平台，不断提高教师的信息技术应用水平,促进信息技术与学科教学的融合，加快学校管理信息化的进程。5.创建文明校园，促进校园文化建设整体设计，力求达到主题鲜明，条理清晰，各学校既有共性又各具特色。</w:t>
      </w:r>
    </w:p>
    <w:p w14:paraId="46E2DD07">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（二）存在问题。</w:t>
      </w:r>
    </w:p>
    <w:p w14:paraId="185C4275">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固定资产个别使用率低</w:t>
      </w:r>
    </w:p>
    <w:p w14:paraId="3DF78EE3">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（三）改进建议。</w:t>
      </w:r>
    </w:p>
    <w:p w14:paraId="478C2F7C">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加强固定资产管理，提高固定资产使用率。</w:t>
      </w:r>
    </w:p>
    <w:p w14:paraId="78B42DB0">
      <w:pPr>
        <w:spacing w:line="480" w:lineRule="exact"/>
        <w:ind w:firstLine="560" w:firstLineChars="200"/>
        <w:rPr>
          <w:rFonts w:ascii="仿宋" w:hAnsi="仿宋" w:eastAsia="仿宋" w:cs="仿宋"/>
          <w:sz w:val="28"/>
          <w:szCs w:val="28"/>
        </w:rPr>
      </w:pPr>
    </w:p>
    <w:p w14:paraId="1ABA71C0">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14:paraId="0AA10218">
      <w:pPr>
        <w:rPr>
          <w:rFonts w:ascii="仿宋" w:hAnsi="仿宋" w:eastAsia="仿宋" w:cs="仿宋"/>
          <w:sz w:val="32"/>
          <w:szCs w:val="32"/>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966C7">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9</w:t>
    </w:r>
    <w:r>
      <w:rPr>
        <w:rStyle w:val="11"/>
        <w:rFonts w:ascii="宋体" w:hAnsi="宋体" w:eastAsia="宋体"/>
        <w:sz w:val="28"/>
        <w:szCs w:val="28"/>
      </w:rPr>
      <w:fldChar w:fldCharType="end"/>
    </w:r>
    <w:r>
      <w:rPr>
        <w:rStyle w:val="11"/>
        <w:rFonts w:hint="eastAsia" w:ascii="宋体" w:hAnsi="宋体" w:eastAsia="宋体"/>
        <w:sz w:val="28"/>
        <w:szCs w:val="28"/>
      </w:rPr>
      <w:t>-</w:t>
    </w:r>
  </w:p>
  <w:p w14:paraId="4F55CBB3">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38705">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32C78F9E">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223F8"/>
    <w:rsid w:val="0017068B"/>
    <w:rsid w:val="00185A3C"/>
    <w:rsid w:val="00192D5A"/>
    <w:rsid w:val="001A4833"/>
    <w:rsid w:val="001C59B3"/>
    <w:rsid w:val="001E0886"/>
    <w:rsid w:val="001F7E31"/>
    <w:rsid w:val="002071BC"/>
    <w:rsid w:val="00225AE6"/>
    <w:rsid w:val="00235F0F"/>
    <w:rsid w:val="00255783"/>
    <w:rsid w:val="00290BA1"/>
    <w:rsid w:val="002A6AEA"/>
    <w:rsid w:val="002F2268"/>
    <w:rsid w:val="003C50C2"/>
    <w:rsid w:val="0041099F"/>
    <w:rsid w:val="00436A1D"/>
    <w:rsid w:val="004379D7"/>
    <w:rsid w:val="004A68B1"/>
    <w:rsid w:val="004B64F3"/>
    <w:rsid w:val="004E3B64"/>
    <w:rsid w:val="004F7327"/>
    <w:rsid w:val="005020C5"/>
    <w:rsid w:val="00567FE6"/>
    <w:rsid w:val="0058162A"/>
    <w:rsid w:val="005B3616"/>
    <w:rsid w:val="005E12FA"/>
    <w:rsid w:val="00683167"/>
    <w:rsid w:val="006A5056"/>
    <w:rsid w:val="006C7039"/>
    <w:rsid w:val="006E64C9"/>
    <w:rsid w:val="007048FF"/>
    <w:rsid w:val="00712100"/>
    <w:rsid w:val="0071700D"/>
    <w:rsid w:val="00742652"/>
    <w:rsid w:val="00772600"/>
    <w:rsid w:val="007D5D41"/>
    <w:rsid w:val="007F01F9"/>
    <w:rsid w:val="00856BA1"/>
    <w:rsid w:val="00867620"/>
    <w:rsid w:val="008709E0"/>
    <w:rsid w:val="008A6A10"/>
    <w:rsid w:val="008A6A31"/>
    <w:rsid w:val="008B139B"/>
    <w:rsid w:val="00904AF4"/>
    <w:rsid w:val="00905542"/>
    <w:rsid w:val="00917700"/>
    <w:rsid w:val="00920F00"/>
    <w:rsid w:val="00956F74"/>
    <w:rsid w:val="009B0B5F"/>
    <w:rsid w:val="009B7F2F"/>
    <w:rsid w:val="009C04DA"/>
    <w:rsid w:val="009C4C62"/>
    <w:rsid w:val="009E3627"/>
    <w:rsid w:val="009F53E7"/>
    <w:rsid w:val="00A11BF8"/>
    <w:rsid w:val="00A14A33"/>
    <w:rsid w:val="00A6449D"/>
    <w:rsid w:val="00A768DB"/>
    <w:rsid w:val="00AA09C8"/>
    <w:rsid w:val="00AD5F30"/>
    <w:rsid w:val="00B0681D"/>
    <w:rsid w:val="00B4371D"/>
    <w:rsid w:val="00B9023F"/>
    <w:rsid w:val="00BC1FDC"/>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6519B"/>
    <w:rsid w:val="00F72E93"/>
    <w:rsid w:val="00F87A11"/>
    <w:rsid w:val="00FB7E01"/>
    <w:rsid w:val="00FD3ABD"/>
    <w:rsid w:val="00FE5F4C"/>
    <w:rsid w:val="00FF39F6"/>
    <w:rsid w:val="02371AA5"/>
    <w:rsid w:val="05374814"/>
    <w:rsid w:val="070D45CB"/>
    <w:rsid w:val="08001511"/>
    <w:rsid w:val="0F8F6BFC"/>
    <w:rsid w:val="23C14056"/>
    <w:rsid w:val="3300531D"/>
    <w:rsid w:val="3791647A"/>
    <w:rsid w:val="3D8E1C34"/>
    <w:rsid w:val="455969D8"/>
    <w:rsid w:val="526A3656"/>
    <w:rsid w:val="5D643D56"/>
    <w:rsid w:val="69BD0A47"/>
    <w:rsid w:val="71A911C9"/>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纯文本 字符"/>
    <w:basedOn w:val="9"/>
    <w:link w:val="4"/>
    <w:qFormat/>
    <w:uiPriority w:val="0"/>
    <w:rPr>
      <w:rFonts w:ascii="宋体" w:hAnsi="Courier New" w:eastAsia="宋体" w:cs="Courier New"/>
      <w:szCs w:val="21"/>
    </w:rPr>
  </w:style>
  <w:style w:type="character" w:customStyle="1" w:styleId="15">
    <w:name w:val="标题 1 字符"/>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customStyle="1" w:styleId="17">
    <w:name w:val="p05"/>
    <w:basedOn w:val="1"/>
    <w:qFormat/>
    <w:uiPriority w:val="99"/>
    <w:pPr>
      <w:widowControl/>
      <w:spacing w:line="408" w:lineRule="auto"/>
      <w:ind w:left="1"/>
    </w:pPr>
    <w:rPr>
      <w:rFonts w:ascii="Times New Roman" w:hAnsi="Times New Roman" w:cs="Times New Roman"/>
      <w:color w:val="000000"/>
      <w:kern w:val="0"/>
      <w:lang w:eastAsia="en-US"/>
    </w:rPr>
  </w:style>
  <w:style w:type="paragraph" w:customStyle="1" w:styleId="18">
    <w:name w:val="p01"/>
    <w:basedOn w:val="1"/>
    <w:qFormat/>
    <w:uiPriority w:val="99"/>
    <w:pPr>
      <w:widowControl/>
      <w:spacing w:line="408" w:lineRule="auto"/>
      <w:ind w:left="1"/>
    </w:pPr>
    <w:rPr>
      <w:rFonts w:ascii="Times New Roman" w:hAnsi="Times New Roman" w:cs="Times New Roman"/>
      <w:color w:val="000000"/>
      <w:kern w:val="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9140</Words>
  <Characters>9540</Characters>
  <Lines>70</Lines>
  <Paragraphs>19</Paragraphs>
  <TotalTime>9</TotalTime>
  <ScaleCrop>false</ScaleCrop>
  <LinksUpToDate>false</LinksUpToDate>
  <CharactersWithSpaces>9624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DODO</cp:lastModifiedBy>
  <cp:lastPrinted>2020-06-10T01:32:00Z</cp:lastPrinted>
  <dcterms:modified xsi:type="dcterms:W3CDTF">2025-05-30T12:03:51Z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D28B7AFC39FC48AE9A29BA03C60A0B61</vt:lpwstr>
  </property>
  <property fmtid="{D5CDD505-2E9C-101B-9397-08002B2CF9AE}" pid="4" name="KSOTemplateDocerSaveRecord">
    <vt:lpwstr>eyJoZGlkIjoiZmI3MWQyODliMTk3ZGUxMTVkZGRiYjAxMDBiOTgwNGQiLCJ1c2VySWQiOiIzNjAyMjA0NjQifQ==</vt:lpwstr>
  </property>
</Properties>
</file>