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B91ED">
      <w:pPr>
        <w:widowControl/>
        <w:spacing w:line="480" w:lineRule="exact"/>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附件</w:t>
      </w:r>
      <w:r>
        <w:rPr>
          <w:rFonts w:ascii="仿宋" w:hAnsi="仿宋" w:eastAsia="仿宋" w:cs="仿宋"/>
          <w:kern w:val="0"/>
          <w:sz w:val="32"/>
          <w:szCs w:val="32"/>
          <w:shd w:val="clear" w:color="auto" w:fill="FFFFFF"/>
        </w:rPr>
        <w:t>6</w:t>
      </w:r>
      <w:r>
        <w:rPr>
          <w:rFonts w:hint="eastAsia" w:ascii="仿宋" w:hAnsi="仿宋" w:eastAsia="仿宋" w:cs="仿宋"/>
          <w:kern w:val="0"/>
          <w:sz w:val="32"/>
          <w:szCs w:val="32"/>
          <w:shd w:val="clear" w:color="auto" w:fill="FFFFFF"/>
        </w:rPr>
        <w:t>：</w:t>
      </w:r>
      <w:bookmarkStart w:id="0" w:name="_GoBack"/>
      <w:bookmarkEnd w:id="0"/>
    </w:p>
    <w:p w14:paraId="7AD48C64">
      <w:pPr>
        <w:spacing w:line="480" w:lineRule="exact"/>
        <w:jc w:val="center"/>
        <w:rPr>
          <w:rFonts w:ascii="宋体" w:cs="宋体"/>
          <w:b/>
          <w:color w:val="000000"/>
          <w:kern w:val="0"/>
          <w:sz w:val="32"/>
          <w:szCs w:val="32"/>
          <w:shd w:val="clear" w:color="auto" w:fill="FFFFFF"/>
        </w:rPr>
      </w:pPr>
      <w:r>
        <w:rPr>
          <w:rFonts w:hint="eastAsia" w:ascii="宋体" w:hAnsi="宋体"/>
          <w:b/>
          <w:sz w:val="32"/>
          <w:szCs w:val="32"/>
        </w:rPr>
        <w:t>节固中心整体支出绩效评价</w:t>
      </w:r>
      <w:r>
        <w:rPr>
          <w:rFonts w:hint="eastAsia" w:ascii="宋体" w:hAnsi="宋体" w:cs="宋体"/>
          <w:b/>
          <w:color w:val="000000"/>
          <w:kern w:val="0"/>
          <w:sz w:val="32"/>
          <w:szCs w:val="32"/>
          <w:shd w:val="clear" w:color="auto" w:fill="FFFFFF"/>
        </w:rPr>
        <w:t>指标体系评分表</w:t>
      </w:r>
    </w:p>
    <w:p w14:paraId="63CB6AA9">
      <w:pPr>
        <w:spacing w:line="480" w:lineRule="exact"/>
        <w:jc w:val="center"/>
        <w:rPr>
          <w:rFonts w:ascii="仿宋" w:hAnsi="仿宋" w:eastAsia="仿宋" w:cs="仿宋"/>
          <w:sz w:val="32"/>
          <w:szCs w:val="32"/>
        </w:rPr>
      </w:pPr>
    </w:p>
    <w:tbl>
      <w:tblPr>
        <w:tblStyle w:val="9"/>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3A714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vAlign w:val="center"/>
          </w:tcPr>
          <w:p w14:paraId="73E232F2">
            <w:pPr>
              <w:widowControl/>
              <w:spacing w:line="240" w:lineRule="exact"/>
              <w:ind w:firstLine="482" w:firstLineChars="200"/>
              <w:jc w:val="center"/>
              <w:rPr>
                <w:b/>
              </w:rPr>
            </w:pPr>
            <w:r>
              <w:rPr>
                <w:rFonts w:hint="eastAsia" w:ascii="仿宋_GB2312" w:hAnsi="新宋体" w:eastAsia="仿宋_GB2312" w:cs="仿宋_GB2312"/>
                <w:b/>
                <w:kern w:val="0"/>
                <w:sz w:val="24"/>
                <w:szCs w:val="24"/>
              </w:rPr>
              <w:t>一级指标</w:t>
            </w:r>
          </w:p>
        </w:tc>
        <w:tc>
          <w:tcPr>
            <w:tcW w:w="743" w:type="dxa"/>
            <w:vMerge w:val="restart"/>
            <w:vAlign w:val="center"/>
          </w:tcPr>
          <w:p w14:paraId="7814011F">
            <w:pPr>
              <w:widowControl/>
              <w:spacing w:line="240" w:lineRule="exact"/>
              <w:ind w:firstLine="482" w:firstLineChars="200"/>
              <w:jc w:val="center"/>
              <w:rPr>
                <w:b/>
              </w:rPr>
            </w:pPr>
            <w:r>
              <w:rPr>
                <w:rFonts w:hint="eastAsia" w:ascii="仿宋_GB2312" w:hAnsi="新宋体" w:eastAsia="仿宋_GB2312" w:cs="仿宋_GB2312"/>
                <w:b/>
                <w:kern w:val="0"/>
                <w:sz w:val="24"/>
                <w:szCs w:val="24"/>
              </w:rPr>
              <w:t>二级指标</w:t>
            </w:r>
          </w:p>
        </w:tc>
        <w:tc>
          <w:tcPr>
            <w:tcW w:w="4711" w:type="dxa"/>
            <w:gridSpan w:val="2"/>
            <w:tcBorders>
              <w:right w:val="single" w:color="auto" w:sz="4" w:space="0"/>
            </w:tcBorders>
            <w:vAlign w:val="center"/>
          </w:tcPr>
          <w:p w14:paraId="561ED818">
            <w:pPr>
              <w:widowControl/>
              <w:spacing w:line="240" w:lineRule="exact"/>
              <w:ind w:firstLine="482" w:firstLineChars="200"/>
              <w:jc w:val="center"/>
              <w:rPr>
                <w:b/>
              </w:rPr>
            </w:pPr>
            <w:r>
              <w:rPr>
                <w:rFonts w:hint="eastAsia" w:ascii="仿宋_GB2312" w:hAnsi="新宋体" w:eastAsia="仿宋_GB2312" w:cs="仿宋_GB2312"/>
                <w:b/>
                <w:kern w:val="0"/>
                <w:sz w:val="24"/>
                <w:szCs w:val="24"/>
              </w:rPr>
              <w:t>三级指标</w:t>
            </w:r>
          </w:p>
        </w:tc>
        <w:tc>
          <w:tcPr>
            <w:tcW w:w="2373" w:type="dxa"/>
            <w:vMerge w:val="restart"/>
            <w:tcBorders>
              <w:left w:val="single" w:color="auto" w:sz="4" w:space="0"/>
              <w:right w:val="single" w:color="auto" w:sz="4" w:space="0"/>
            </w:tcBorders>
            <w:vAlign w:val="center"/>
          </w:tcPr>
          <w:p w14:paraId="0FC38C04">
            <w:pPr>
              <w:widowControl/>
              <w:spacing w:line="240" w:lineRule="exact"/>
              <w:ind w:firstLine="482" w:firstLineChars="200"/>
              <w:jc w:val="center"/>
              <w:rPr>
                <w:b/>
              </w:rPr>
            </w:pPr>
            <w:r>
              <w:rPr>
                <w:rFonts w:hint="eastAsia" w:ascii="仿宋_GB2312" w:hAnsi="新宋体" w:eastAsia="仿宋_GB2312" w:cs="仿宋_GB2312"/>
                <w:b/>
                <w:kern w:val="0"/>
                <w:sz w:val="24"/>
                <w:szCs w:val="24"/>
              </w:rPr>
              <w:t>评分标准</w:t>
            </w:r>
          </w:p>
        </w:tc>
        <w:tc>
          <w:tcPr>
            <w:tcW w:w="764" w:type="dxa"/>
            <w:vMerge w:val="restart"/>
            <w:tcBorders>
              <w:left w:val="single" w:color="auto" w:sz="4" w:space="0"/>
              <w:right w:val="single" w:color="auto" w:sz="4" w:space="0"/>
            </w:tcBorders>
            <w:vAlign w:val="center"/>
          </w:tcPr>
          <w:p w14:paraId="4B943F6A">
            <w:pPr>
              <w:widowControl/>
              <w:spacing w:line="240" w:lineRule="exact"/>
              <w:jc w:val="left"/>
              <w:rPr>
                <w:b/>
              </w:rPr>
            </w:pPr>
            <w:r>
              <w:rPr>
                <w:rFonts w:hint="eastAsia" w:ascii="仿宋_GB2312" w:hAnsi="新宋体" w:eastAsia="仿宋_GB2312" w:cs="仿宋_GB2312"/>
                <w:b/>
                <w:kern w:val="0"/>
                <w:sz w:val="24"/>
                <w:szCs w:val="24"/>
              </w:rPr>
              <w:t>得分</w:t>
            </w:r>
          </w:p>
        </w:tc>
      </w:tr>
      <w:tr w14:paraId="20FDF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vAlign w:val="center"/>
          </w:tcPr>
          <w:p w14:paraId="16A54F5B">
            <w:pPr>
              <w:ind w:firstLine="420" w:firstLineChars="200"/>
              <w:rPr>
                <w:rFonts w:ascii="宋体"/>
                <w:szCs w:val="21"/>
              </w:rPr>
            </w:pPr>
          </w:p>
        </w:tc>
        <w:tc>
          <w:tcPr>
            <w:tcW w:w="743" w:type="dxa"/>
            <w:vMerge w:val="continue"/>
            <w:vAlign w:val="center"/>
          </w:tcPr>
          <w:p w14:paraId="6FAE640C">
            <w:pPr>
              <w:ind w:firstLine="420" w:firstLineChars="200"/>
              <w:rPr>
                <w:rFonts w:ascii="宋体"/>
                <w:szCs w:val="21"/>
              </w:rPr>
            </w:pPr>
          </w:p>
        </w:tc>
        <w:tc>
          <w:tcPr>
            <w:tcW w:w="1275" w:type="dxa"/>
            <w:tcBorders>
              <w:right w:val="single" w:color="auto" w:sz="4" w:space="0"/>
            </w:tcBorders>
            <w:vAlign w:val="center"/>
          </w:tcPr>
          <w:p w14:paraId="6BB24722">
            <w:pPr>
              <w:widowControl/>
              <w:spacing w:line="240" w:lineRule="exact"/>
              <w:ind w:firstLine="482" w:firstLineChars="200"/>
              <w:jc w:val="center"/>
              <w:rPr>
                <w:b/>
              </w:rPr>
            </w:pPr>
            <w:r>
              <w:rPr>
                <w:rFonts w:hint="eastAsia" w:ascii="仿宋_GB2312" w:hAnsi="新宋体" w:eastAsia="仿宋_GB2312" w:cs="仿宋_GB2312"/>
                <w:b/>
                <w:kern w:val="0"/>
                <w:sz w:val="24"/>
                <w:szCs w:val="24"/>
              </w:rPr>
              <w:t>指标名称</w:t>
            </w:r>
          </w:p>
        </w:tc>
        <w:tc>
          <w:tcPr>
            <w:tcW w:w="3436" w:type="dxa"/>
            <w:tcBorders>
              <w:left w:val="single" w:color="auto" w:sz="4" w:space="0"/>
              <w:right w:val="single" w:color="auto" w:sz="4" w:space="0"/>
            </w:tcBorders>
            <w:vAlign w:val="center"/>
          </w:tcPr>
          <w:p w14:paraId="2E4410FE">
            <w:pPr>
              <w:widowControl/>
              <w:spacing w:line="240" w:lineRule="exact"/>
              <w:ind w:firstLine="482" w:firstLineChars="200"/>
              <w:jc w:val="center"/>
              <w:rPr>
                <w:b/>
              </w:rPr>
            </w:pPr>
            <w:r>
              <w:rPr>
                <w:rFonts w:hint="eastAsia" w:ascii="仿宋_GB2312" w:hAnsi="新宋体" w:eastAsia="仿宋_GB2312" w:cs="仿宋_GB2312"/>
                <w:b/>
                <w:kern w:val="0"/>
                <w:sz w:val="24"/>
                <w:szCs w:val="24"/>
              </w:rPr>
              <w:t>指标解释说明</w:t>
            </w:r>
          </w:p>
        </w:tc>
        <w:tc>
          <w:tcPr>
            <w:tcW w:w="2373" w:type="dxa"/>
            <w:vMerge w:val="continue"/>
            <w:tcBorders>
              <w:left w:val="single" w:color="auto" w:sz="4" w:space="0"/>
              <w:right w:val="single" w:color="auto" w:sz="4" w:space="0"/>
            </w:tcBorders>
            <w:vAlign w:val="center"/>
          </w:tcPr>
          <w:p w14:paraId="532011F9">
            <w:pPr>
              <w:ind w:firstLine="420" w:firstLineChars="200"/>
              <w:rPr>
                <w:rFonts w:ascii="宋体"/>
                <w:szCs w:val="21"/>
              </w:rPr>
            </w:pPr>
          </w:p>
        </w:tc>
        <w:tc>
          <w:tcPr>
            <w:tcW w:w="764" w:type="dxa"/>
            <w:vMerge w:val="continue"/>
            <w:tcBorders>
              <w:left w:val="single" w:color="auto" w:sz="4" w:space="0"/>
              <w:right w:val="single" w:color="auto" w:sz="4" w:space="0"/>
            </w:tcBorders>
            <w:vAlign w:val="center"/>
          </w:tcPr>
          <w:p w14:paraId="629EEA10">
            <w:pPr>
              <w:ind w:firstLine="420" w:firstLineChars="200"/>
              <w:rPr>
                <w:rFonts w:ascii="宋体"/>
                <w:szCs w:val="21"/>
              </w:rPr>
            </w:pPr>
          </w:p>
        </w:tc>
      </w:tr>
      <w:tr w14:paraId="36916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vAlign w:val="center"/>
          </w:tcPr>
          <w:p w14:paraId="4888F5E3">
            <w:pPr>
              <w:widowControl/>
              <w:spacing w:line="240" w:lineRule="exact"/>
              <w:ind w:firstLine="420" w:firstLineChars="200"/>
              <w:jc w:val="left"/>
              <w:rPr>
                <w:szCs w:val="21"/>
              </w:rPr>
            </w:pPr>
            <w:r>
              <w:rPr>
                <w:rFonts w:hint="eastAsia" w:ascii="仿宋_GB2312" w:hAnsi="新宋体" w:eastAsia="仿宋_GB2312" w:cs="仿宋_GB2312"/>
                <w:kern w:val="0"/>
                <w:szCs w:val="21"/>
              </w:rPr>
              <w:t>投入（</w:t>
            </w:r>
            <w:r>
              <w:rPr>
                <w:rFonts w:ascii="仿宋_GB2312" w:hAnsi="新宋体" w:eastAsia="仿宋_GB2312" w:cs="仿宋_GB2312"/>
                <w:kern w:val="0"/>
                <w:szCs w:val="21"/>
              </w:rPr>
              <w:t>10</w:t>
            </w:r>
            <w:r>
              <w:rPr>
                <w:rFonts w:hint="eastAsia" w:ascii="仿宋_GB2312" w:hAnsi="新宋体" w:eastAsia="仿宋_GB2312" w:cs="仿宋_GB2312"/>
                <w:kern w:val="0"/>
                <w:szCs w:val="21"/>
              </w:rPr>
              <w:t>）</w:t>
            </w:r>
          </w:p>
        </w:tc>
        <w:tc>
          <w:tcPr>
            <w:tcW w:w="743" w:type="dxa"/>
            <w:vMerge w:val="restart"/>
            <w:vAlign w:val="center"/>
          </w:tcPr>
          <w:p w14:paraId="023B8538">
            <w:pPr>
              <w:widowControl/>
              <w:spacing w:line="240" w:lineRule="exact"/>
              <w:ind w:firstLine="420" w:firstLineChars="200"/>
              <w:jc w:val="left"/>
              <w:rPr>
                <w:szCs w:val="21"/>
              </w:rPr>
            </w:pPr>
            <w:r>
              <w:rPr>
                <w:rFonts w:hint="eastAsia" w:ascii="仿宋_GB2312" w:hAnsi="新宋体" w:eastAsia="仿宋_GB2312" w:cs="仿宋_GB2312"/>
                <w:kern w:val="0"/>
                <w:szCs w:val="21"/>
              </w:rPr>
              <w:t>绩效目标设定情况</w:t>
            </w:r>
          </w:p>
          <w:p w14:paraId="45383C53">
            <w:pPr>
              <w:widowControl/>
              <w:spacing w:line="240" w:lineRule="exact"/>
              <w:ind w:firstLine="420" w:firstLineChars="200"/>
              <w:jc w:val="left"/>
              <w:rPr>
                <w:color w:val="FF0000"/>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1275" w:type="dxa"/>
            <w:tcBorders>
              <w:bottom w:val="single" w:color="auto" w:sz="4" w:space="0"/>
              <w:right w:val="single" w:color="auto" w:sz="4" w:space="0"/>
            </w:tcBorders>
            <w:vAlign w:val="center"/>
          </w:tcPr>
          <w:p w14:paraId="210B9070">
            <w:pPr>
              <w:widowControl/>
              <w:spacing w:line="240" w:lineRule="exact"/>
              <w:ind w:firstLine="420" w:firstLineChars="200"/>
              <w:jc w:val="left"/>
              <w:rPr>
                <w:szCs w:val="21"/>
              </w:rPr>
            </w:pPr>
            <w:r>
              <w:rPr>
                <w:rFonts w:hint="eastAsia" w:ascii="仿宋_GB2312" w:hAnsi="新宋体" w:eastAsia="仿宋_GB2312" w:cs="仿宋_GB2312"/>
                <w:kern w:val="0"/>
                <w:szCs w:val="21"/>
              </w:rPr>
              <w:t>职责明确（</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14:paraId="265DAEE0">
            <w:pPr>
              <w:widowControl/>
              <w:spacing w:line="240" w:lineRule="exact"/>
              <w:ind w:firstLine="420" w:firstLineChars="200"/>
              <w:jc w:val="left"/>
              <w:rPr>
                <w:szCs w:val="21"/>
              </w:rPr>
            </w:pPr>
            <w:r>
              <w:rPr>
                <w:rFonts w:hint="eastAsia"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left w:val="single" w:color="auto" w:sz="4" w:space="0"/>
              <w:bottom w:val="single" w:color="auto" w:sz="4" w:space="0"/>
              <w:right w:val="single" w:color="auto" w:sz="4" w:space="0"/>
            </w:tcBorders>
            <w:vAlign w:val="center"/>
          </w:tcPr>
          <w:p w14:paraId="531D9525">
            <w:pPr>
              <w:widowControl/>
              <w:spacing w:line="240" w:lineRule="exact"/>
              <w:ind w:firstLine="420" w:firstLineChars="200"/>
              <w:jc w:val="left"/>
              <w:rPr>
                <w:szCs w:val="21"/>
              </w:rPr>
            </w:pPr>
            <w:r>
              <w:rPr>
                <w:rFonts w:hint="eastAsia" w:ascii="仿宋_GB2312" w:hAnsi="新宋体" w:eastAsia="仿宋_GB2312" w:cs="仿宋_GB2312"/>
                <w:kern w:val="0"/>
                <w:szCs w:val="21"/>
              </w:rPr>
              <w:t>符合（</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14:paraId="0B786C09">
            <w:pPr>
              <w:widowControl/>
              <w:spacing w:line="240" w:lineRule="exact"/>
              <w:ind w:firstLine="420" w:firstLineChars="200"/>
              <w:jc w:val="left"/>
              <w:rPr>
                <w:szCs w:val="21"/>
              </w:rPr>
            </w:pPr>
            <w:r>
              <w:rPr>
                <w:rFonts w:hint="eastAsia" w:ascii="仿宋_GB2312" w:hAnsi="新宋体" w:eastAsia="仿宋_GB2312" w:cs="仿宋_GB2312"/>
                <w:kern w:val="0"/>
                <w:szCs w:val="21"/>
              </w:rPr>
              <w:t>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14:paraId="6A3DC741">
            <w:pPr>
              <w:widowControl/>
              <w:spacing w:line="240" w:lineRule="exact"/>
              <w:ind w:firstLine="420" w:firstLineChars="200"/>
              <w:jc w:val="left"/>
              <w:rPr>
                <w:szCs w:val="21"/>
              </w:rPr>
            </w:pPr>
            <w:r>
              <w:rPr>
                <w:szCs w:val="21"/>
              </w:rPr>
              <w:t>1</w:t>
            </w:r>
          </w:p>
        </w:tc>
      </w:tr>
      <w:tr w14:paraId="14714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vAlign w:val="center"/>
          </w:tcPr>
          <w:p w14:paraId="210CC172">
            <w:pPr>
              <w:spacing w:line="240" w:lineRule="exact"/>
              <w:ind w:firstLine="420" w:firstLineChars="200"/>
              <w:rPr>
                <w:rFonts w:ascii="宋体"/>
                <w:szCs w:val="21"/>
              </w:rPr>
            </w:pPr>
          </w:p>
        </w:tc>
        <w:tc>
          <w:tcPr>
            <w:tcW w:w="743" w:type="dxa"/>
            <w:vMerge w:val="continue"/>
            <w:vAlign w:val="center"/>
          </w:tcPr>
          <w:p w14:paraId="1225D8EA">
            <w:pPr>
              <w:spacing w:line="240" w:lineRule="exact"/>
              <w:ind w:firstLine="420" w:firstLineChars="200"/>
              <w:rPr>
                <w:rFonts w:ascii="宋体"/>
                <w:szCs w:val="21"/>
              </w:rPr>
            </w:pPr>
          </w:p>
        </w:tc>
        <w:tc>
          <w:tcPr>
            <w:tcW w:w="1275" w:type="dxa"/>
            <w:tcBorders>
              <w:bottom w:val="single" w:color="auto" w:sz="4" w:space="0"/>
              <w:right w:val="single" w:color="auto" w:sz="4" w:space="0"/>
            </w:tcBorders>
            <w:vAlign w:val="center"/>
          </w:tcPr>
          <w:p w14:paraId="4714EF12">
            <w:pPr>
              <w:widowControl/>
              <w:spacing w:line="240" w:lineRule="exact"/>
              <w:ind w:firstLine="420" w:firstLineChars="200"/>
              <w:jc w:val="left"/>
              <w:rPr>
                <w:szCs w:val="21"/>
              </w:rPr>
            </w:pPr>
            <w:r>
              <w:rPr>
                <w:rFonts w:hint="eastAsia" w:ascii="仿宋_GB2312" w:hAnsi="新宋体" w:eastAsia="仿宋_GB2312" w:cs="仿宋_GB2312"/>
                <w:kern w:val="0"/>
                <w:szCs w:val="21"/>
              </w:rPr>
              <w:t>活动合规性（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14:paraId="0F6C56AD">
            <w:pPr>
              <w:widowControl/>
              <w:spacing w:line="240" w:lineRule="exact"/>
              <w:ind w:firstLine="420" w:firstLineChars="200"/>
              <w:jc w:val="left"/>
              <w:rPr>
                <w:szCs w:val="21"/>
              </w:rPr>
            </w:pPr>
            <w:r>
              <w:rPr>
                <w:rFonts w:hint="eastAsia"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7CB37192">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14:paraId="0E69630E">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部门活动的设定在部门所确定的职责范围之内；</w:t>
            </w:r>
          </w:p>
          <w:p w14:paraId="4CA4F9F1">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部门活动符合市委、市政府的发展规划及本部门的年度工作安排与发展规划。</w:t>
            </w:r>
          </w:p>
        </w:tc>
        <w:tc>
          <w:tcPr>
            <w:tcW w:w="2373" w:type="dxa"/>
            <w:tcBorders>
              <w:left w:val="single" w:color="auto" w:sz="4" w:space="0"/>
              <w:bottom w:val="single" w:color="auto" w:sz="4" w:space="0"/>
              <w:right w:val="single" w:color="auto" w:sz="4" w:space="0"/>
            </w:tcBorders>
            <w:vAlign w:val="center"/>
          </w:tcPr>
          <w:p w14:paraId="3FA43C6F">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6397A97F">
            <w:pPr>
              <w:widowControl/>
              <w:spacing w:line="240" w:lineRule="exact"/>
              <w:ind w:firstLine="420" w:firstLineChars="200"/>
              <w:jc w:val="left"/>
              <w:rPr>
                <w:szCs w:val="21"/>
              </w:rPr>
            </w:pPr>
            <w:r>
              <w:rPr>
                <w:rFonts w:hint="eastAsia" w:ascii="仿宋_GB2312" w:hAnsi="新宋体" w:eastAsia="仿宋_GB2312" w:cs="仿宋_GB2312"/>
                <w:kern w:val="0"/>
                <w:szCs w:val="21"/>
              </w:rPr>
              <w:t>其中一项不符合（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14:paraId="340847FE">
            <w:pPr>
              <w:widowControl/>
              <w:spacing w:line="240" w:lineRule="exact"/>
              <w:ind w:firstLine="420" w:firstLineChars="200"/>
              <w:jc w:val="left"/>
              <w:rPr>
                <w:szCs w:val="21"/>
              </w:rPr>
            </w:pPr>
            <w:r>
              <w:rPr>
                <w:szCs w:val="21"/>
              </w:rPr>
              <w:t>2</w:t>
            </w:r>
          </w:p>
        </w:tc>
      </w:tr>
      <w:tr w14:paraId="10BE5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7B2732DE">
            <w:pPr>
              <w:spacing w:line="240" w:lineRule="exact"/>
              <w:ind w:firstLine="420" w:firstLineChars="200"/>
              <w:rPr>
                <w:rFonts w:ascii="宋体"/>
                <w:szCs w:val="21"/>
              </w:rPr>
            </w:pPr>
          </w:p>
        </w:tc>
        <w:tc>
          <w:tcPr>
            <w:tcW w:w="743" w:type="dxa"/>
            <w:vMerge w:val="continue"/>
            <w:vAlign w:val="center"/>
          </w:tcPr>
          <w:p w14:paraId="423813C0">
            <w:pPr>
              <w:spacing w:line="240" w:lineRule="exact"/>
              <w:ind w:firstLine="420" w:firstLineChars="200"/>
              <w:rPr>
                <w:rFonts w:ascii="宋体"/>
                <w:szCs w:val="21"/>
              </w:rPr>
            </w:pPr>
          </w:p>
        </w:tc>
        <w:tc>
          <w:tcPr>
            <w:tcW w:w="1275" w:type="dxa"/>
            <w:tcBorders>
              <w:bottom w:val="single" w:color="auto" w:sz="4" w:space="0"/>
              <w:right w:val="single" w:color="auto" w:sz="4" w:space="0"/>
            </w:tcBorders>
            <w:vAlign w:val="center"/>
          </w:tcPr>
          <w:p w14:paraId="464E51FB">
            <w:pPr>
              <w:widowControl/>
              <w:spacing w:line="240" w:lineRule="exact"/>
              <w:ind w:firstLine="420" w:firstLineChars="200"/>
              <w:jc w:val="left"/>
              <w:rPr>
                <w:szCs w:val="21"/>
              </w:rPr>
            </w:pPr>
            <w:r>
              <w:rPr>
                <w:rFonts w:hint="eastAsia" w:ascii="仿宋_GB2312" w:hAnsi="新宋体" w:eastAsia="仿宋_GB2312" w:cs="仿宋_GB2312"/>
                <w:kern w:val="0"/>
                <w:szCs w:val="21"/>
              </w:rPr>
              <w:t>活动合理性（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14:paraId="689C29DB">
            <w:pPr>
              <w:widowControl/>
              <w:spacing w:line="240" w:lineRule="exact"/>
              <w:ind w:firstLine="420" w:firstLineChars="200"/>
              <w:jc w:val="left"/>
              <w:rPr>
                <w:szCs w:val="21"/>
              </w:rPr>
            </w:pPr>
            <w:r>
              <w:rPr>
                <w:rFonts w:hint="eastAsia" w:ascii="仿宋_GB2312" w:hAnsi="新宋体" w:eastAsia="仿宋_GB2312" w:cs="仿宋_GB2312"/>
                <w:kern w:val="0"/>
                <w:szCs w:val="21"/>
              </w:rPr>
              <w:t>部门所设立的活动是否明确合理、活动的关键性指标设置是否可衡量，用以反映和评价部门活动目标设定的合理性。</w:t>
            </w:r>
          </w:p>
          <w:p w14:paraId="3CEAA838">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14:paraId="57B59C23">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活动目标的设定是可量化的，可通过清晰、可衡量的关键指标值予以体现；</w:t>
            </w:r>
          </w:p>
          <w:p w14:paraId="3E40C7FB">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在活动目标设定时，将关键指标明细分解为具体的达成目标与工作任务。</w:t>
            </w:r>
          </w:p>
        </w:tc>
        <w:tc>
          <w:tcPr>
            <w:tcW w:w="2373" w:type="dxa"/>
            <w:tcBorders>
              <w:left w:val="single" w:color="auto" w:sz="4" w:space="0"/>
              <w:bottom w:val="single" w:color="auto" w:sz="4" w:space="0"/>
              <w:right w:val="single" w:color="auto" w:sz="4" w:space="0"/>
            </w:tcBorders>
            <w:vAlign w:val="center"/>
          </w:tcPr>
          <w:p w14:paraId="1F635581">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171BBC56">
            <w:pPr>
              <w:widowControl/>
              <w:spacing w:line="240" w:lineRule="exact"/>
              <w:ind w:firstLine="420" w:firstLineChars="200"/>
              <w:jc w:val="left"/>
              <w:rPr>
                <w:szCs w:val="21"/>
              </w:rPr>
            </w:pPr>
            <w:r>
              <w:rPr>
                <w:rFonts w:hint="eastAsia" w:ascii="仿宋_GB2312" w:hAnsi="新宋体" w:eastAsia="仿宋_GB2312" w:cs="仿宋_GB2312"/>
                <w:kern w:val="0"/>
                <w:szCs w:val="21"/>
              </w:rPr>
              <w:t>其中一项不符合（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14:paraId="04265B70">
            <w:pPr>
              <w:widowControl/>
              <w:spacing w:line="240" w:lineRule="exact"/>
              <w:ind w:firstLine="420" w:firstLineChars="200"/>
              <w:jc w:val="left"/>
              <w:rPr>
                <w:szCs w:val="21"/>
              </w:rPr>
            </w:pPr>
            <w:r>
              <w:rPr>
                <w:szCs w:val="21"/>
              </w:rPr>
              <w:t>2</w:t>
            </w:r>
          </w:p>
        </w:tc>
      </w:tr>
      <w:tr w14:paraId="00FCB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vAlign w:val="center"/>
          </w:tcPr>
          <w:p w14:paraId="0F44029A">
            <w:pPr>
              <w:spacing w:line="240" w:lineRule="exact"/>
              <w:ind w:firstLine="420" w:firstLineChars="200"/>
              <w:rPr>
                <w:rFonts w:ascii="宋体"/>
                <w:szCs w:val="21"/>
              </w:rPr>
            </w:pPr>
          </w:p>
        </w:tc>
        <w:tc>
          <w:tcPr>
            <w:tcW w:w="743" w:type="dxa"/>
            <w:vMerge w:val="restart"/>
            <w:vAlign w:val="center"/>
          </w:tcPr>
          <w:p w14:paraId="1E22B345">
            <w:pPr>
              <w:widowControl/>
              <w:spacing w:line="240" w:lineRule="exact"/>
              <w:ind w:firstLine="420" w:firstLineChars="200"/>
              <w:jc w:val="left"/>
              <w:rPr>
                <w:szCs w:val="21"/>
              </w:rPr>
            </w:pPr>
            <w:r>
              <w:rPr>
                <w:rFonts w:hint="eastAsia" w:ascii="仿宋_GB2312" w:hAnsi="新宋体" w:eastAsia="仿宋_GB2312" w:cs="仿宋_GB2312"/>
                <w:kern w:val="0"/>
                <w:szCs w:val="21"/>
              </w:rPr>
              <w:t>预算配置情况</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auto" w:sz="4" w:space="0"/>
              <w:right w:val="single" w:color="auto" w:sz="4" w:space="0"/>
            </w:tcBorders>
            <w:vAlign w:val="center"/>
          </w:tcPr>
          <w:p w14:paraId="5F707B04">
            <w:pPr>
              <w:widowControl/>
              <w:spacing w:line="240" w:lineRule="exact"/>
              <w:ind w:firstLine="420" w:firstLineChars="200"/>
              <w:jc w:val="left"/>
              <w:rPr>
                <w:szCs w:val="21"/>
              </w:rPr>
            </w:pP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14:paraId="04E9CB4E">
            <w:pPr>
              <w:widowControl/>
              <w:spacing w:line="240" w:lineRule="exact"/>
              <w:ind w:firstLine="420" w:firstLineChars="200"/>
              <w:jc w:val="left"/>
              <w:rPr>
                <w:szCs w:val="21"/>
              </w:rPr>
            </w:pPr>
            <w:r>
              <w:rPr>
                <w:rFonts w:hint="eastAsia" w:ascii="仿宋_GB2312" w:hAnsi="新宋体" w:eastAsia="仿宋_GB2312" w:cs="仿宋_GB2312"/>
                <w:kern w:val="0"/>
                <w:szCs w:val="21"/>
              </w:rPr>
              <w:t>部门本年度实际在职人员数与编制数的比率，用以反映和评价部门对人员成本的控制程度。</w:t>
            </w:r>
          </w:p>
          <w:p w14:paraId="1183BB7A">
            <w:pPr>
              <w:widowControl/>
              <w:spacing w:line="240" w:lineRule="exact"/>
              <w:ind w:firstLine="420" w:firstLineChars="200"/>
              <w:jc w:val="left"/>
              <w:rPr>
                <w:szCs w:val="21"/>
              </w:rPr>
            </w:pP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（在职人员数</w:t>
            </w:r>
            <w:r>
              <w:rPr>
                <w:rFonts w:ascii="仿宋_GB2312" w:hAnsi="新宋体" w:eastAsia="仿宋_GB2312" w:cs="仿宋_GB2312"/>
                <w:kern w:val="0"/>
                <w:szCs w:val="21"/>
              </w:rPr>
              <w:t>/</w:t>
            </w:r>
            <w:r>
              <w:rPr>
                <w:rFonts w:hint="eastAsia" w:ascii="仿宋_GB2312" w:hAnsi="新宋体" w:eastAsia="仿宋_GB2312" w:cs="仿宋_GB2312"/>
                <w:kern w:val="0"/>
                <w:szCs w:val="21"/>
              </w:rPr>
              <w:t>编制数）×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14:paraId="67822055">
            <w:pPr>
              <w:widowControl/>
              <w:spacing w:line="240" w:lineRule="exact"/>
              <w:ind w:firstLine="420" w:firstLineChars="200"/>
              <w:jc w:val="left"/>
              <w:rPr>
                <w:szCs w:val="21"/>
              </w:rPr>
            </w:pPr>
            <w:r>
              <w:rPr>
                <w:rFonts w:hint="eastAsia"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6E33D5C9">
            <w:pPr>
              <w:widowControl/>
              <w:spacing w:line="240" w:lineRule="exact"/>
              <w:ind w:firstLine="420" w:firstLineChars="200"/>
              <w:jc w:val="left"/>
              <w:rPr>
                <w:szCs w:val="21"/>
              </w:rPr>
            </w:pPr>
            <w:r>
              <w:rPr>
                <w:rFonts w:hint="eastAsia"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50C56209">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在职人员控制率小于或等于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14:paraId="0D4AD845">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在职人员控制率大于或等于</w:t>
            </w:r>
            <w:r>
              <w:rPr>
                <w:rFonts w:ascii="仿宋_GB2312" w:hAnsi="新宋体" w:eastAsia="仿宋_GB2312" w:cs="仿宋_GB2312"/>
                <w:kern w:val="0"/>
                <w:szCs w:val="21"/>
              </w:rPr>
              <w:t>115%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0ED03784">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在职人员控制率在</w:t>
            </w:r>
            <w:r>
              <w:rPr>
                <w:rFonts w:ascii="仿宋_GB2312" w:hAnsi="新宋体" w:eastAsia="仿宋_GB2312" w:cs="仿宋_GB2312"/>
                <w:kern w:val="0"/>
                <w:szCs w:val="21"/>
              </w:rPr>
              <w:t>100%-115%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14:paraId="4095A4D9">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（在职人员控制率）－某部门在职人员控制率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14:paraId="30C5E2CA">
            <w:pPr>
              <w:widowControl/>
              <w:spacing w:line="240" w:lineRule="exact"/>
              <w:ind w:firstLine="420" w:firstLineChars="200"/>
              <w:jc w:val="left"/>
              <w:rPr>
                <w:szCs w:val="21"/>
              </w:rPr>
            </w:pPr>
            <w:r>
              <w:rPr>
                <w:szCs w:val="21"/>
              </w:rPr>
              <w:t>1</w:t>
            </w:r>
          </w:p>
        </w:tc>
      </w:tr>
      <w:tr w14:paraId="096F2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vAlign w:val="center"/>
          </w:tcPr>
          <w:p w14:paraId="2835CF9C">
            <w:pPr>
              <w:spacing w:line="240" w:lineRule="exact"/>
              <w:ind w:firstLine="420" w:firstLineChars="200"/>
              <w:rPr>
                <w:rFonts w:ascii="宋体"/>
                <w:szCs w:val="21"/>
              </w:rPr>
            </w:pPr>
          </w:p>
        </w:tc>
        <w:tc>
          <w:tcPr>
            <w:tcW w:w="743" w:type="dxa"/>
            <w:vMerge w:val="continue"/>
            <w:vAlign w:val="center"/>
          </w:tcPr>
          <w:p w14:paraId="5BC22A02">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right w:val="single" w:color="auto" w:sz="4" w:space="0"/>
            </w:tcBorders>
            <w:vAlign w:val="center"/>
          </w:tcPr>
          <w:p w14:paraId="3A19149B">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w:t>
            </w:r>
            <w:r>
              <w:rPr>
                <w:rFonts w:ascii="仿宋" w:hAnsi="仿宋" w:eastAsia="仿宋" w:cs="仿宋"/>
                <w:color w:val="000000"/>
                <w:kern w:val="0"/>
                <w:szCs w:val="21"/>
              </w:rPr>
              <w:t>2</w:t>
            </w:r>
            <w:r>
              <w:rPr>
                <w:rFonts w:hint="eastAsia" w:ascii="仿宋" w:hAnsi="仿宋" w:eastAsia="仿宋" w:cs="仿宋"/>
                <w:color w:val="000000"/>
                <w:kern w:val="0"/>
                <w:szCs w:val="21"/>
              </w:rPr>
              <w:t>分）</w:t>
            </w:r>
          </w:p>
        </w:tc>
        <w:tc>
          <w:tcPr>
            <w:tcW w:w="3436" w:type="dxa"/>
            <w:tcBorders>
              <w:top w:val="single" w:color="auto" w:sz="4" w:space="0"/>
              <w:left w:val="single" w:color="auto" w:sz="4" w:space="0"/>
              <w:right w:val="single" w:color="auto" w:sz="4" w:space="0"/>
            </w:tcBorders>
            <w:vAlign w:val="center"/>
          </w:tcPr>
          <w:p w14:paraId="0BB1307F">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w:t>
            </w:r>
            <w:r>
              <w:rPr>
                <w:rFonts w:ascii="仿宋" w:hAnsi="仿宋" w:eastAsia="仿宋" w:cs="仿宋"/>
                <w:color w:val="000000"/>
                <w:kern w:val="0"/>
                <w:szCs w:val="21"/>
              </w:rPr>
              <w:t>=[</w:t>
            </w:r>
            <w:r>
              <w:rPr>
                <w:rFonts w:hint="eastAsia" w:ascii="仿宋" w:hAnsi="仿宋" w:eastAsia="仿宋" w:cs="仿宋"/>
                <w:color w:val="000000"/>
                <w:kern w:val="0"/>
                <w:szCs w:val="21"/>
              </w:rPr>
              <w:t>（本年度“三公经费”总额</w:t>
            </w:r>
            <w:r>
              <w:rPr>
                <w:rFonts w:ascii="仿宋" w:hAnsi="仿宋" w:eastAsia="仿宋" w:cs="仿宋"/>
                <w:color w:val="000000"/>
                <w:kern w:val="0"/>
                <w:szCs w:val="21"/>
              </w:rPr>
              <w:t>-</w:t>
            </w:r>
            <w:r>
              <w:rPr>
                <w:rFonts w:hint="eastAsia" w:ascii="仿宋" w:hAnsi="仿宋" w:eastAsia="仿宋" w:cs="仿宋"/>
                <w:color w:val="000000"/>
                <w:kern w:val="0"/>
                <w:szCs w:val="21"/>
              </w:rPr>
              <w:t>上年度“三公经费”总额）</w:t>
            </w:r>
            <w:r>
              <w:rPr>
                <w:rFonts w:ascii="仿宋" w:hAnsi="仿宋" w:eastAsia="仿宋" w:cs="仿宋"/>
                <w:color w:val="000000"/>
                <w:kern w:val="0"/>
                <w:szCs w:val="21"/>
              </w:rPr>
              <w:t>/</w:t>
            </w:r>
            <w:r>
              <w:rPr>
                <w:rFonts w:hint="eastAsia" w:ascii="仿宋" w:hAnsi="仿宋" w:eastAsia="仿宋" w:cs="仿宋"/>
                <w:color w:val="000000"/>
                <w:kern w:val="0"/>
                <w:szCs w:val="21"/>
              </w:rPr>
              <w:t>上年度“三公经费”总额</w:t>
            </w:r>
            <w:r>
              <w:rPr>
                <w:rFonts w:ascii="仿宋" w:hAnsi="仿宋" w:eastAsia="仿宋" w:cs="仿宋"/>
                <w:color w:val="000000"/>
                <w:kern w:val="0"/>
                <w:szCs w:val="21"/>
              </w:rPr>
              <w:t>]</w:t>
            </w:r>
            <w:r>
              <w:rPr>
                <w:rFonts w:hint="eastAsia" w:ascii="仿宋" w:hAnsi="仿宋" w:eastAsia="仿宋" w:cs="仿宋"/>
                <w:color w:val="000000"/>
                <w:kern w:val="0"/>
                <w:szCs w:val="21"/>
              </w:rPr>
              <w:t>×</w:t>
            </w:r>
            <w:r>
              <w:rPr>
                <w:rFonts w:ascii="仿宋" w:hAnsi="仿宋" w:eastAsia="仿宋" w:cs="仿宋"/>
                <w:color w:val="000000"/>
                <w:kern w:val="0"/>
                <w:szCs w:val="21"/>
              </w:rPr>
              <w:t>100%</w:t>
            </w:r>
            <w:r>
              <w:rPr>
                <w:rFonts w:hint="eastAsia" w:ascii="仿宋" w:hAnsi="仿宋" w:eastAsia="仿宋" w:cs="仿宋"/>
                <w:color w:val="000000"/>
                <w:kern w:val="0"/>
                <w:szCs w:val="21"/>
              </w:rPr>
              <w:t>。</w:t>
            </w:r>
            <w:r>
              <w:rPr>
                <w:rFonts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5AD6B3C1">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小于或等于</w:t>
            </w:r>
            <w:r>
              <w:rPr>
                <w:rFonts w:ascii="仿宋_GB2312" w:hAnsi="新宋体" w:eastAsia="仿宋_GB2312" w:cs="仿宋_GB2312"/>
                <w:kern w:val="0"/>
                <w:szCs w:val="21"/>
              </w:rPr>
              <w:t>-5%</w:t>
            </w:r>
            <w:r>
              <w:rPr>
                <w:rFonts w:hint="eastAsia" w:ascii="仿宋_GB2312" w:hAnsi="新宋体" w:eastAsia="仿宋_GB2312" w:cs="仿宋_GB2312"/>
                <w:kern w:val="0"/>
                <w:szCs w:val="21"/>
              </w:rPr>
              <w:t>的，得满分；</w:t>
            </w:r>
          </w:p>
          <w:p w14:paraId="57DA9E99">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大于或等于</w:t>
            </w:r>
            <w:r>
              <w:rPr>
                <w:rFonts w:ascii="仿宋_GB2312" w:hAnsi="新宋体" w:eastAsia="仿宋_GB2312" w:cs="仿宋_GB2312"/>
                <w:kern w:val="0"/>
                <w:szCs w:val="21"/>
              </w:rPr>
              <w:t>10%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54FFBDE3">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在职人员控制率在</w:t>
            </w:r>
            <w:r>
              <w:rPr>
                <w:rFonts w:ascii="仿宋_GB2312" w:hAnsi="新宋体" w:eastAsia="仿宋_GB2312" w:cs="仿宋_GB2312"/>
                <w:kern w:val="0"/>
                <w:szCs w:val="21"/>
              </w:rPr>
              <w:t>-5%-10%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14:paraId="630FD22F">
            <w:pPr>
              <w:widowControl/>
              <w:spacing w:line="240" w:lineRule="exact"/>
              <w:ind w:firstLine="420" w:firstLineChars="200"/>
              <w:jc w:val="left"/>
              <w:textAlignment w:val="center"/>
              <w:rPr>
                <w:rFonts w:ascii="仿宋" w:hAnsi="仿宋" w:eastAsia="仿宋" w:cs="仿宋"/>
                <w:kern w:val="0"/>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14:paraId="013D1FEF">
            <w:pPr>
              <w:widowControl/>
              <w:spacing w:line="240" w:lineRule="exact"/>
              <w:ind w:firstLine="420" w:firstLineChars="200"/>
              <w:jc w:val="left"/>
              <w:rPr>
                <w:szCs w:val="21"/>
              </w:rPr>
            </w:pPr>
            <w:r>
              <w:rPr>
                <w:szCs w:val="21"/>
              </w:rPr>
              <w:t>2</w:t>
            </w:r>
          </w:p>
        </w:tc>
      </w:tr>
      <w:tr w14:paraId="74030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vAlign w:val="center"/>
          </w:tcPr>
          <w:p w14:paraId="0688A3E7">
            <w:pPr>
              <w:spacing w:line="240" w:lineRule="exact"/>
              <w:ind w:firstLine="420" w:firstLineChars="200"/>
              <w:rPr>
                <w:rFonts w:ascii="宋体"/>
                <w:szCs w:val="21"/>
              </w:rPr>
            </w:pPr>
          </w:p>
        </w:tc>
        <w:tc>
          <w:tcPr>
            <w:tcW w:w="743" w:type="dxa"/>
            <w:vMerge w:val="continue"/>
            <w:vAlign w:val="center"/>
          </w:tcPr>
          <w:p w14:paraId="38CA110A">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right w:val="single" w:color="auto" w:sz="4" w:space="0"/>
            </w:tcBorders>
            <w:vAlign w:val="center"/>
          </w:tcPr>
          <w:p w14:paraId="5433D3BD">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w:t>
            </w:r>
            <w:r>
              <w:rPr>
                <w:rFonts w:ascii="仿宋" w:hAnsi="仿宋" w:eastAsia="仿宋" w:cs="仿宋"/>
                <w:color w:val="000000"/>
                <w:kern w:val="0"/>
                <w:szCs w:val="21"/>
              </w:rPr>
              <w:t>2</w:t>
            </w:r>
            <w:r>
              <w:rPr>
                <w:rFonts w:hint="eastAsia" w:ascii="仿宋" w:hAnsi="仿宋" w:eastAsia="仿宋" w:cs="仿宋"/>
                <w:color w:val="000000"/>
                <w:kern w:val="0"/>
                <w:szCs w:val="21"/>
              </w:rPr>
              <w:t>分）</w:t>
            </w:r>
          </w:p>
        </w:tc>
        <w:tc>
          <w:tcPr>
            <w:tcW w:w="3436" w:type="dxa"/>
            <w:tcBorders>
              <w:top w:val="single" w:color="auto" w:sz="4" w:space="0"/>
              <w:left w:val="single" w:color="auto" w:sz="4" w:space="0"/>
              <w:right w:val="single" w:color="auto" w:sz="4" w:space="0"/>
            </w:tcBorders>
            <w:vAlign w:val="center"/>
          </w:tcPr>
          <w:p w14:paraId="3E269E21">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w:t>
            </w:r>
            <w:r>
              <w:rPr>
                <w:rFonts w:ascii="仿宋" w:hAnsi="仿宋" w:eastAsia="仿宋" w:cs="仿宋"/>
                <w:color w:val="000000"/>
                <w:kern w:val="0"/>
                <w:szCs w:val="21"/>
              </w:rPr>
              <w:t>=</w:t>
            </w:r>
            <w:r>
              <w:rPr>
                <w:rFonts w:hint="eastAsia" w:ascii="仿宋" w:hAnsi="仿宋" w:eastAsia="仿宋" w:cs="仿宋"/>
                <w:color w:val="000000"/>
                <w:kern w:val="0"/>
                <w:szCs w:val="21"/>
              </w:rPr>
              <w:t>（重点项目支出</w:t>
            </w:r>
            <w:r>
              <w:rPr>
                <w:rFonts w:ascii="仿宋" w:hAnsi="仿宋" w:eastAsia="仿宋" w:cs="仿宋"/>
                <w:color w:val="000000"/>
                <w:kern w:val="0"/>
                <w:szCs w:val="21"/>
              </w:rPr>
              <w:t>/</w:t>
            </w:r>
            <w:r>
              <w:rPr>
                <w:rFonts w:hint="eastAsia" w:ascii="仿宋" w:hAnsi="仿宋" w:eastAsia="仿宋" w:cs="仿宋"/>
                <w:color w:val="000000"/>
                <w:kern w:val="0"/>
                <w:szCs w:val="21"/>
              </w:rPr>
              <w:t>项目总支出）×</w:t>
            </w:r>
            <w:r>
              <w:rPr>
                <w:rFonts w:ascii="仿宋" w:hAnsi="仿宋" w:eastAsia="仿宋" w:cs="仿宋"/>
                <w:color w:val="000000"/>
                <w:kern w:val="0"/>
                <w:szCs w:val="21"/>
              </w:rPr>
              <w:t>100%</w:t>
            </w:r>
            <w:r>
              <w:rPr>
                <w:rFonts w:hint="eastAsia" w:ascii="仿宋" w:hAnsi="仿宋" w:eastAsia="仿宋" w:cs="仿宋"/>
                <w:color w:val="000000"/>
                <w:kern w:val="0"/>
                <w:szCs w:val="21"/>
              </w:rPr>
              <w:t>。</w:t>
            </w:r>
            <w:r>
              <w:rPr>
                <w:rFonts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777978A8">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14:paraId="68BDE6BA">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18B2D67E">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14:paraId="00C436B8">
            <w:pPr>
              <w:widowControl/>
              <w:spacing w:line="240" w:lineRule="exact"/>
              <w:ind w:firstLine="420" w:firstLineChars="200"/>
              <w:jc w:val="left"/>
              <w:textAlignment w:val="center"/>
              <w:rPr>
                <w:rFonts w:ascii="仿宋" w:hAnsi="仿宋" w:eastAsia="仿宋" w:cs="仿宋"/>
                <w:kern w:val="0"/>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14:paraId="4A6C0BD4">
            <w:pPr>
              <w:widowControl/>
              <w:spacing w:line="240" w:lineRule="exact"/>
              <w:ind w:firstLine="420" w:firstLineChars="200"/>
              <w:jc w:val="left"/>
              <w:rPr>
                <w:szCs w:val="21"/>
              </w:rPr>
            </w:pPr>
            <w:r>
              <w:rPr>
                <w:szCs w:val="21"/>
              </w:rPr>
              <w:t>2</w:t>
            </w:r>
          </w:p>
        </w:tc>
      </w:tr>
      <w:tr w14:paraId="5C2A3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14:paraId="3098D05E">
            <w:pPr>
              <w:widowControl/>
              <w:spacing w:line="240" w:lineRule="exact"/>
              <w:ind w:firstLine="420" w:firstLineChars="200"/>
              <w:jc w:val="left"/>
              <w:rPr>
                <w:szCs w:val="21"/>
              </w:rPr>
            </w:pPr>
            <w:r>
              <w:rPr>
                <w:rFonts w:hint="eastAsia" w:ascii="仿宋_GB2312" w:hAnsi="新宋体" w:eastAsia="仿宋_GB2312" w:cs="仿宋_GB2312"/>
                <w:kern w:val="0"/>
                <w:szCs w:val="21"/>
              </w:rPr>
              <w:t>过程</w:t>
            </w:r>
            <w:r>
              <w:rPr>
                <w:rFonts w:ascii="仿宋_GB2312" w:hAnsi="新宋体" w:eastAsia="仿宋_GB2312" w:cs="仿宋_GB2312"/>
                <w:kern w:val="0"/>
                <w:szCs w:val="21"/>
              </w:rPr>
              <w:t>(45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vAlign w:val="center"/>
          </w:tcPr>
          <w:p w14:paraId="12C63757">
            <w:pPr>
              <w:widowControl/>
              <w:spacing w:line="240" w:lineRule="exact"/>
              <w:ind w:firstLine="420" w:firstLineChars="200"/>
              <w:jc w:val="left"/>
              <w:rPr>
                <w:szCs w:val="21"/>
              </w:rPr>
            </w:pPr>
            <w:r>
              <w:rPr>
                <w:rFonts w:hint="eastAsia" w:ascii="仿宋_GB2312" w:hAnsi="新宋体" w:eastAsia="仿宋_GB2312" w:cs="仿宋_GB2312"/>
                <w:kern w:val="0"/>
                <w:szCs w:val="21"/>
              </w:rPr>
              <w:t>预算执行情况</w:t>
            </w:r>
            <w:r>
              <w:rPr>
                <w:rFonts w:ascii="仿宋_GB2312" w:hAnsi="新宋体" w:eastAsia="仿宋_GB2312" w:cs="仿宋_GB2312"/>
                <w:kern w:val="0"/>
                <w:szCs w:val="21"/>
              </w:rPr>
              <w:t>(25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right w:val="single" w:color="auto" w:sz="4" w:space="0"/>
            </w:tcBorders>
            <w:vAlign w:val="center"/>
          </w:tcPr>
          <w:p w14:paraId="29C881C8">
            <w:pPr>
              <w:widowControl/>
              <w:spacing w:line="240" w:lineRule="exact"/>
              <w:ind w:firstLine="420" w:firstLineChars="200"/>
              <w:jc w:val="left"/>
              <w:rPr>
                <w:szCs w:val="21"/>
              </w:rPr>
            </w:pP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00D68388">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通过对部门本年度预算完成数与预算数的比较，反映和评价部门预算的完成程度。</w:t>
            </w:r>
          </w:p>
          <w:p w14:paraId="1AD536D5">
            <w:pPr>
              <w:widowControl/>
              <w:spacing w:line="240" w:lineRule="exact"/>
              <w:ind w:firstLine="420" w:firstLineChars="200"/>
              <w:jc w:val="left"/>
              <w:rPr>
                <w:szCs w:val="21"/>
              </w:rPr>
            </w:pP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（预算完成数</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14:paraId="7445C1B1">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预算完成率大于或等于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14:paraId="6BFFA21D">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预算完成率小于或等于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59B8A0FC">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预算完成率在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14:paraId="69B34C89">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某部门预算完成率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left w:val="single" w:color="auto" w:sz="4" w:space="0"/>
            </w:tcBorders>
            <w:vAlign w:val="center"/>
          </w:tcPr>
          <w:p w14:paraId="691FB6E3">
            <w:pPr>
              <w:widowControl/>
              <w:spacing w:line="240" w:lineRule="exact"/>
              <w:ind w:firstLine="420" w:firstLineChars="200"/>
              <w:jc w:val="left"/>
              <w:rPr>
                <w:szCs w:val="21"/>
              </w:rPr>
            </w:pPr>
            <w:r>
              <w:rPr>
                <w:szCs w:val="21"/>
              </w:rPr>
              <w:t>5</w:t>
            </w:r>
          </w:p>
        </w:tc>
      </w:tr>
      <w:tr w14:paraId="100EF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144C826C">
            <w:pPr>
              <w:spacing w:line="240" w:lineRule="exact"/>
              <w:ind w:firstLine="420" w:firstLineChars="200"/>
              <w:rPr>
                <w:rFonts w:ascii="宋体"/>
                <w:szCs w:val="21"/>
              </w:rPr>
            </w:pPr>
          </w:p>
        </w:tc>
        <w:tc>
          <w:tcPr>
            <w:tcW w:w="743" w:type="dxa"/>
            <w:vMerge w:val="continue"/>
            <w:vAlign w:val="center"/>
          </w:tcPr>
          <w:p w14:paraId="2C4F3927">
            <w:pPr>
              <w:spacing w:line="240" w:lineRule="exact"/>
              <w:ind w:firstLine="420" w:firstLineChars="200"/>
              <w:rPr>
                <w:rFonts w:ascii="宋体"/>
                <w:szCs w:val="21"/>
              </w:rPr>
            </w:pPr>
          </w:p>
        </w:tc>
        <w:tc>
          <w:tcPr>
            <w:tcW w:w="1275" w:type="dxa"/>
            <w:tcBorders>
              <w:right w:val="single" w:color="auto" w:sz="4" w:space="0"/>
            </w:tcBorders>
            <w:vAlign w:val="center"/>
          </w:tcPr>
          <w:p w14:paraId="4E242D5F">
            <w:pPr>
              <w:widowControl/>
              <w:spacing w:line="240" w:lineRule="exact"/>
              <w:ind w:firstLine="420" w:firstLineChars="200"/>
              <w:jc w:val="left"/>
              <w:rPr>
                <w:szCs w:val="21"/>
              </w:rPr>
            </w:pP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752E88E6">
            <w:pPr>
              <w:widowControl/>
              <w:spacing w:line="240" w:lineRule="exact"/>
              <w:ind w:firstLine="420" w:firstLineChars="200"/>
              <w:jc w:val="left"/>
              <w:rPr>
                <w:szCs w:val="21"/>
              </w:rPr>
            </w:pPr>
            <w:r>
              <w:rPr>
                <w:rFonts w:hint="eastAsia" w:ascii="仿宋_GB2312" w:hAnsi="新宋体" w:eastAsia="仿宋_GB2312" w:cs="仿宋_GB2312"/>
                <w:kern w:val="0"/>
                <w:szCs w:val="21"/>
              </w:rPr>
              <w:t>部门本年度预算调整数与预算数的比率，用以反映和评价部门预算的调整程度。</w:t>
            </w:r>
          </w:p>
          <w:p w14:paraId="66F1B997">
            <w:pPr>
              <w:widowControl/>
              <w:spacing w:line="240" w:lineRule="exact"/>
              <w:ind w:firstLine="420" w:firstLineChars="200"/>
              <w:jc w:val="left"/>
              <w:rPr>
                <w:szCs w:val="21"/>
              </w:rPr>
            </w:pP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（预算调整数</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14:paraId="103946C0">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预算调整率等于</w:t>
            </w:r>
            <w:r>
              <w:rPr>
                <w:rFonts w:ascii="仿宋_GB2312" w:hAnsi="新宋体" w:eastAsia="仿宋_GB2312" w:cs="仿宋_GB2312"/>
                <w:kern w:val="0"/>
                <w:szCs w:val="21"/>
              </w:rPr>
              <w:t>0</w:t>
            </w:r>
            <w:r>
              <w:rPr>
                <w:rFonts w:hint="eastAsia" w:ascii="仿宋_GB2312" w:hAnsi="新宋体" w:eastAsia="仿宋_GB2312" w:cs="仿宋_GB2312"/>
                <w:kern w:val="0"/>
                <w:szCs w:val="21"/>
              </w:rPr>
              <w:t>的，得满分；</w:t>
            </w:r>
          </w:p>
          <w:p w14:paraId="7361B901">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预算调整率大于或等于</w:t>
            </w:r>
            <w:r>
              <w:rPr>
                <w:rFonts w:ascii="仿宋_GB2312" w:hAnsi="新宋体" w:eastAsia="仿宋_GB2312" w:cs="仿宋_GB2312"/>
                <w:kern w:val="0"/>
                <w:szCs w:val="21"/>
              </w:rPr>
              <w:t>10%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369A1CDD">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预算调整率在</w:t>
            </w:r>
            <w:r>
              <w:rPr>
                <w:rFonts w:ascii="仿宋_GB2312" w:hAnsi="新宋体" w:eastAsia="仿宋_GB2312" w:cs="仿宋_GB2312"/>
                <w:kern w:val="0"/>
                <w:szCs w:val="21"/>
              </w:rPr>
              <w:t>0-10%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分和满分之间确定：</w:t>
            </w:r>
          </w:p>
          <w:p w14:paraId="443532F1">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（预算调整率）］×该指标分值。</w:t>
            </w:r>
          </w:p>
        </w:tc>
        <w:tc>
          <w:tcPr>
            <w:tcW w:w="764" w:type="dxa"/>
            <w:tcBorders>
              <w:left w:val="single" w:color="auto" w:sz="4" w:space="0"/>
            </w:tcBorders>
            <w:vAlign w:val="center"/>
          </w:tcPr>
          <w:p w14:paraId="7EEC8E3D">
            <w:pPr>
              <w:widowControl/>
              <w:spacing w:line="240" w:lineRule="exact"/>
              <w:ind w:firstLine="420" w:firstLineChars="200"/>
              <w:jc w:val="left"/>
              <w:rPr>
                <w:szCs w:val="21"/>
              </w:rPr>
            </w:pPr>
            <w:r>
              <w:rPr>
                <w:szCs w:val="21"/>
              </w:rPr>
              <w:t>3</w:t>
            </w:r>
          </w:p>
        </w:tc>
      </w:tr>
      <w:tr w14:paraId="67B67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vAlign w:val="center"/>
          </w:tcPr>
          <w:p w14:paraId="45A669EF">
            <w:pPr>
              <w:spacing w:line="240" w:lineRule="exact"/>
              <w:ind w:firstLine="420" w:firstLineChars="200"/>
              <w:rPr>
                <w:rFonts w:ascii="宋体"/>
                <w:szCs w:val="21"/>
              </w:rPr>
            </w:pPr>
          </w:p>
        </w:tc>
        <w:tc>
          <w:tcPr>
            <w:tcW w:w="743" w:type="dxa"/>
            <w:vMerge w:val="continue"/>
            <w:vAlign w:val="center"/>
          </w:tcPr>
          <w:p w14:paraId="05F9095F">
            <w:pPr>
              <w:spacing w:line="240" w:lineRule="exact"/>
              <w:ind w:firstLine="420" w:firstLineChars="200"/>
              <w:rPr>
                <w:rFonts w:ascii="宋体"/>
                <w:szCs w:val="21"/>
              </w:rPr>
            </w:pPr>
          </w:p>
        </w:tc>
        <w:tc>
          <w:tcPr>
            <w:tcW w:w="1275" w:type="dxa"/>
            <w:tcBorders>
              <w:right w:val="single" w:color="auto" w:sz="4" w:space="0"/>
            </w:tcBorders>
            <w:vAlign w:val="center"/>
          </w:tcPr>
          <w:p w14:paraId="1397F1E6">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支付进度率</w:t>
            </w: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3CFB2BFA">
            <w:pPr>
              <w:widowControl/>
              <w:spacing w:line="240" w:lineRule="exact"/>
              <w:ind w:firstLine="420" w:firstLineChars="200"/>
              <w:jc w:val="left"/>
              <w:rPr>
                <w:szCs w:val="21"/>
              </w:rPr>
            </w:pPr>
            <w:r>
              <w:rPr>
                <w:rFonts w:hint="eastAsia" w:ascii="仿宋_GB2312" w:hAnsi="新宋体" w:eastAsia="仿宋_GB2312" w:cs="仿宋_GB2312"/>
                <w:kern w:val="0"/>
                <w:szCs w:val="21"/>
              </w:rPr>
              <w:t>部门年度支付数与年度任务数的比率，用以反映和评价部门预算执行的及时和均衡程度。</w:t>
            </w:r>
          </w:p>
          <w:p w14:paraId="17256EC8">
            <w:pPr>
              <w:widowControl/>
              <w:spacing w:line="240" w:lineRule="exact"/>
              <w:ind w:firstLine="420" w:firstLineChars="200"/>
              <w:jc w:val="left"/>
              <w:rPr>
                <w:szCs w:val="21"/>
              </w:rPr>
            </w:pPr>
            <w:r>
              <w:rPr>
                <w:rFonts w:hint="eastAsia" w:ascii="仿宋_GB2312" w:hAnsi="新宋体" w:eastAsia="仿宋_GB2312" w:cs="仿宋_GB2312"/>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（年度支付数</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年度任务数）×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14:paraId="50078EC8">
            <w:pPr>
              <w:widowControl/>
              <w:spacing w:line="240" w:lineRule="exact"/>
              <w:ind w:firstLine="420" w:firstLineChars="200"/>
              <w:jc w:val="left"/>
              <w:rPr>
                <w:szCs w:val="21"/>
              </w:rPr>
            </w:pPr>
            <w:r>
              <w:rPr>
                <w:rFonts w:hint="eastAsia" w:ascii="仿宋_GB2312" w:hAnsi="新宋体" w:eastAsia="仿宋_GB2312" w:cs="仿宋_GB2312"/>
                <w:kern w:val="0"/>
                <w:szCs w:val="21"/>
              </w:rPr>
              <w:t>按年度的执行情况进行打分。得分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年度支付数</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年度任务数×该指标分值。</w:t>
            </w:r>
          </w:p>
          <w:p w14:paraId="67E7F35C">
            <w:pPr>
              <w:widowControl/>
              <w:spacing w:line="240" w:lineRule="exact"/>
              <w:ind w:firstLine="420" w:firstLineChars="200"/>
              <w:jc w:val="left"/>
              <w:rPr>
                <w:szCs w:val="21"/>
              </w:rPr>
            </w:pPr>
          </w:p>
        </w:tc>
        <w:tc>
          <w:tcPr>
            <w:tcW w:w="764" w:type="dxa"/>
            <w:tcBorders>
              <w:left w:val="single" w:color="auto" w:sz="4" w:space="0"/>
            </w:tcBorders>
            <w:vAlign w:val="center"/>
          </w:tcPr>
          <w:p w14:paraId="5A83F46C">
            <w:pPr>
              <w:widowControl/>
              <w:spacing w:line="240" w:lineRule="exact"/>
              <w:ind w:firstLine="420" w:firstLineChars="200"/>
              <w:jc w:val="left"/>
              <w:rPr>
                <w:szCs w:val="21"/>
              </w:rPr>
            </w:pPr>
            <w:r>
              <w:rPr>
                <w:szCs w:val="21"/>
              </w:rPr>
              <w:t>5</w:t>
            </w:r>
          </w:p>
        </w:tc>
      </w:tr>
      <w:tr w14:paraId="615D9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vAlign w:val="center"/>
          </w:tcPr>
          <w:p w14:paraId="60B6BF66">
            <w:pPr>
              <w:spacing w:line="240" w:lineRule="exact"/>
              <w:ind w:firstLine="420" w:firstLineChars="200"/>
              <w:rPr>
                <w:rFonts w:ascii="宋体"/>
                <w:szCs w:val="21"/>
              </w:rPr>
            </w:pPr>
          </w:p>
        </w:tc>
        <w:tc>
          <w:tcPr>
            <w:tcW w:w="743" w:type="dxa"/>
            <w:vMerge w:val="continue"/>
            <w:vAlign w:val="center"/>
          </w:tcPr>
          <w:p w14:paraId="5F327FC5">
            <w:pPr>
              <w:spacing w:line="240" w:lineRule="exact"/>
              <w:ind w:firstLine="420" w:firstLineChars="200"/>
              <w:rPr>
                <w:rFonts w:ascii="宋体"/>
                <w:szCs w:val="21"/>
              </w:rPr>
            </w:pPr>
          </w:p>
        </w:tc>
        <w:tc>
          <w:tcPr>
            <w:tcW w:w="1275" w:type="dxa"/>
            <w:tcBorders>
              <w:right w:val="single" w:color="auto" w:sz="4" w:space="0"/>
            </w:tcBorders>
            <w:vAlign w:val="center"/>
          </w:tcPr>
          <w:p w14:paraId="526640FC">
            <w:pPr>
              <w:widowControl/>
              <w:spacing w:line="240" w:lineRule="exact"/>
              <w:ind w:firstLine="420" w:firstLineChars="200"/>
              <w:jc w:val="left"/>
              <w:rPr>
                <w:szCs w:val="21"/>
              </w:rPr>
            </w:pP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2C1299FB">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通过对部门本年度结转结余总额与支出预算数的比较，反映和评价部门对本年度结转结余资金的实际控制程度。</w:t>
            </w:r>
          </w:p>
          <w:p w14:paraId="06E35AC5">
            <w:pPr>
              <w:widowControl/>
              <w:spacing w:line="240" w:lineRule="exact"/>
              <w:ind w:firstLine="420" w:firstLineChars="200"/>
              <w:jc w:val="left"/>
              <w:rPr>
                <w:szCs w:val="21"/>
              </w:rPr>
            </w:pP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w:t>
            </w:r>
            <w:r>
              <w:rPr>
                <w:rFonts w:hint="eastAsia" w:ascii="仿宋_GB2312" w:hAnsi="新宋体" w:eastAsia="仿宋_GB2312" w:cs="仿宋_GB2312"/>
                <w:kern w:val="0"/>
                <w:szCs w:val="21"/>
              </w:rPr>
              <w:t>（结转结余总额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支出预算数）×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14:paraId="4BFE44D7">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结转结余率等于</w:t>
            </w:r>
            <w:r>
              <w:rPr>
                <w:rFonts w:ascii="仿宋_GB2312" w:hAnsi="新宋体" w:eastAsia="仿宋_GB2312" w:cs="仿宋_GB2312"/>
                <w:kern w:val="0"/>
                <w:szCs w:val="21"/>
              </w:rPr>
              <w:t>0</w:t>
            </w:r>
            <w:r>
              <w:rPr>
                <w:rFonts w:hint="eastAsia" w:ascii="仿宋_GB2312" w:hAnsi="新宋体" w:eastAsia="仿宋_GB2312" w:cs="仿宋_GB2312"/>
                <w:kern w:val="0"/>
                <w:szCs w:val="21"/>
              </w:rPr>
              <w:t>的，得满分；</w:t>
            </w:r>
          </w:p>
          <w:p w14:paraId="6A2A8C8C">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结转结余率大于或等于</w:t>
            </w:r>
            <w:r>
              <w:rPr>
                <w:rFonts w:ascii="仿宋_GB2312" w:hAnsi="新宋体" w:eastAsia="仿宋_GB2312" w:cs="仿宋_GB2312"/>
                <w:kern w:val="0"/>
                <w:szCs w:val="21"/>
              </w:rPr>
              <w:t>50%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504294FD">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结转结余率在</w:t>
            </w:r>
            <w:r>
              <w:rPr>
                <w:rFonts w:ascii="仿宋_GB2312" w:hAnsi="新宋体" w:eastAsia="仿宋_GB2312" w:cs="仿宋_GB2312"/>
                <w:kern w:val="0"/>
                <w:szCs w:val="21"/>
              </w:rPr>
              <w:t>0-50%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14:paraId="39232F7D">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（结转结余率）－某部门结转结余率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left w:val="single" w:color="auto" w:sz="4" w:space="0"/>
            </w:tcBorders>
            <w:vAlign w:val="center"/>
          </w:tcPr>
          <w:p w14:paraId="6CD69A97">
            <w:pPr>
              <w:widowControl/>
              <w:spacing w:line="240" w:lineRule="exact"/>
              <w:ind w:firstLine="420" w:firstLineChars="200"/>
              <w:jc w:val="left"/>
              <w:rPr>
                <w:szCs w:val="21"/>
              </w:rPr>
            </w:pPr>
            <w:r>
              <w:rPr>
                <w:szCs w:val="21"/>
              </w:rPr>
              <w:t>4</w:t>
            </w:r>
          </w:p>
        </w:tc>
      </w:tr>
      <w:tr w14:paraId="798A7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vAlign w:val="center"/>
          </w:tcPr>
          <w:p w14:paraId="6143714E">
            <w:pPr>
              <w:spacing w:line="240" w:lineRule="exact"/>
              <w:ind w:firstLine="420" w:firstLineChars="200"/>
              <w:rPr>
                <w:rFonts w:ascii="宋体"/>
                <w:szCs w:val="21"/>
              </w:rPr>
            </w:pPr>
          </w:p>
        </w:tc>
        <w:tc>
          <w:tcPr>
            <w:tcW w:w="743" w:type="dxa"/>
            <w:vMerge w:val="continue"/>
            <w:vAlign w:val="center"/>
          </w:tcPr>
          <w:p w14:paraId="0F4DD560">
            <w:pPr>
              <w:spacing w:line="240" w:lineRule="exact"/>
              <w:ind w:firstLine="420" w:firstLineChars="200"/>
              <w:rPr>
                <w:rFonts w:ascii="宋体"/>
                <w:szCs w:val="21"/>
              </w:rPr>
            </w:pPr>
          </w:p>
        </w:tc>
        <w:tc>
          <w:tcPr>
            <w:tcW w:w="1275" w:type="dxa"/>
            <w:tcBorders>
              <w:right w:val="single" w:color="auto" w:sz="4" w:space="0"/>
            </w:tcBorders>
            <w:vAlign w:val="center"/>
          </w:tcPr>
          <w:p w14:paraId="145F1FFB">
            <w:pPr>
              <w:widowControl/>
              <w:spacing w:line="240" w:lineRule="exact"/>
              <w:ind w:firstLine="420" w:firstLineChars="200"/>
              <w:jc w:val="left"/>
              <w:rPr>
                <w:szCs w:val="21"/>
              </w:rPr>
            </w:pP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74E70215">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5B16A465">
            <w:pPr>
              <w:widowControl/>
              <w:spacing w:line="240" w:lineRule="exact"/>
              <w:ind w:firstLine="420" w:firstLineChars="200"/>
              <w:jc w:val="left"/>
              <w:rPr>
                <w:szCs w:val="21"/>
              </w:rPr>
            </w:pP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（实际支出公用经费总额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预算安排公用经费总额）×</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14:paraId="1F240840">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公用经费控制率小于或等于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14:paraId="78F5DD70">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公用经费控制率大于或等于</w:t>
            </w:r>
            <w:r>
              <w:rPr>
                <w:rFonts w:ascii="仿宋_GB2312" w:hAnsi="新宋体" w:eastAsia="仿宋_GB2312" w:cs="仿宋_GB2312"/>
                <w:kern w:val="0"/>
                <w:szCs w:val="21"/>
              </w:rPr>
              <w:t>105%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5E63BF46">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公用经费控制率在</w:t>
            </w:r>
            <w:r>
              <w:rPr>
                <w:rFonts w:ascii="仿宋_GB2312" w:hAnsi="新宋体" w:eastAsia="仿宋_GB2312" w:cs="仿宋_GB2312"/>
                <w:kern w:val="0"/>
                <w:szCs w:val="21"/>
              </w:rPr>
              <w:t>100%-105%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14:paraId="4040088D">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（公用经费控制率）］×该指标分值。</w:t>
            </w:r>
          </w:p>
        </w:tc>
        <w:tc>
          <w:tcPr>
            <w:tcW w:w="764" w:type="dxa"/>
            <w:tcBorders>
              <w:left w:val="single" w:color="auto" w:sz="4" w:space="0"/>
            </w:tcBorders>
            <w:vAlign w:val="center"/>
          </w:tcPr>
          <w:p w14:paraId="422BB50B">
            <w:pPr>
              <w:widowControl/>
              <w:spacing w:line="240" w:lineRule="exact"/>
              <w:ind w:firstLine="420" w:firstLineChars="200"/>
              <w:jc w:val="left"/>
              <w:rPr>
                <w:szCs w:val="21"/>
              </w:rPr>
            </w:pPr>
            <w:r>
              <w:rPr>
                <w:szCs w:val="21"/>
              </w:rPr>
              <w:t>4</w:t>
            </w:r>
          </w:p>
        </w:tc>
      </w:tr>
      <w:tr w14:paraId="38DE2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vAlign w:val="center"/>
          </w:tcPr>
          <w:p w14:paraId="000C8FEA">
            <w:pPr>
              <w:spacing w:line="240" w:lineRule="exact"/>
              <w:ind w:firstLine="420" w:firstLineChars="200"/>
              <w:rPr>
                <w:rFonts w:ascii="宋体"/>
                <w:szCs w:val="21"/>
              </w:rPr>
            </w:pPr>
          </w:p>
        </w:tc>
        <w:tc>
          <w:tcPr>
            <w:tcW w:w="743" w:type="dxa"/>
            <w:vMerge w:val="continue"/>
            <w:vAlign w:val="center"/>
          </w:tcPr>
          <w:p w14:paraId="7C29A029">
            <w:pPr>
              <w:spacing w:line="240" w:lineRule="exact"/>
              <w:ind w:firstLine="420" w:firstLineChars="200"/>
              <w:rPr>
                <w:rFonts w:ascii="宋体"/>
                <w:szCs w:val="21"/>
              </w:rPr>
            </w:pPr>
          </w:p>
        </w:tc>
        <w:tc>
          <w:tcPr>
            <w:tcW w:w="1275" w:type="dxa"/>
            <w:tcBorders>
              <w:right w:val="single" w:color="auto" w:sz="4" w:space="0"/>
            </w:tcBorders>
            <w:vAlign w:val="center"/>
          </w:tcPr>
          <w:p w14:paraId="2C5A9D09">
            <w:pPr>
              <w:widowControl/>
              <w:spacing w:line="240" w:lineRule="exact"/>
              <w:ind w:firstLine="420" w:firstLineChars="200"/>
              <w:jc w:val="left"/>
              <w:rPr>
                <w:szCs w:val="21"/>
              </w:rPr>
            </w:pP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47D9435E">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0CE8D73F">
            <w:pPr>
              <w:widowControl/>
              <w:spacing w:line="240" w:lineRule="exact"/>
              <w:ind w:firstLine="420" w:firstLineChars="200"/>
              <w:jc w:val="left"/>
              <w:rPr>
                <w:szCs w:val="21"/>
              </w:rPr>
            </w:pP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（实际政府采购预算项目个数</w:t>
            </w:r>
            <w:r>
              <w:rPr>
                <w:rFonts w:ascii="仿宋_GB2312" w:hAnsi="新宋体" w:eastAsia="仿宋_GB2312" w:cs="仿宋_GB2312"/>
                <w:kern w:val="0"/>
                <w:szCs w:val="21"/>
              </w:rPr>
              <w:t>/</w:t>
            </w:r>
            <w:r>
              <w:rPr>
                <w:rFonts w:hint="eastAsia" w:ascii="仿宋_GB2312" w:hAnsi="新宋体" w:eastAsia="仿宋_GB2312" w:cs="仿宋_GB2312"/>
                <w:kern w:val="0"/>
                <w:szCs w:val="21"/>
              </w:rPr>
              <w:t>政府采购预算项目个数）×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14:paraId="18ABA1E1">
            <w:pPr>
              <w:widowControl/>
              <w:spacing w:line="240" w:lineRule="exact"/>
              <w:ind w:firstLine="420" w:firstLineChars="200"/>
              <w:jc w:val="left"/>
              <w:rPr>
                <w:szCs w:val="21"/>
              </w:rPr>
            </w:pPr>
            <w:r>
              <w:rPr>
                <w:rFonts w:hint="eastAsia" w:ascii="仿宋_GB2312" w:hAnsi="新宋体" w:eastAsia="仿宋_GB2312" w:cs="仿宋_GB2312"/>
                <w:kern w:val="0"/>
                <w:szCs w:val="21"/>
              </w:rPr>
              <w:t>政府采购项目中非预算内安排的项目除外。</w:t>
            </w:r>
          </w:p>
        </w:tc>
        <w:tc>
          <w:tcPr>
            <w:tcW w:w="2373" w:type="dxa"/>
            <w:tcBorders>
              <w:left w:val="single" w:color="auto" w:sz="4" w:space="0"/>
              <w:right w:val="single" w:color="auto" w:sz="4" w:space="0"/>
            </w:tcBorders>
            <w:vAlign w:val="center"/>
          </w:tcPr>
          <w:p w14:paraId="291EF396">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政府采购执行率等于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14:paraId="42FE7D43">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政府采购执行率小于或等于</w:t>
            </w:r>
            <w:r>
              <w:rPr>
                <w:rFonts w:ascii="仿宋_GB2312" w:hAnsi="新宋体" w:eastAsia="仿宋_GB2312" w:cs="仿宋_GB2312"/>
                <w:kern w:val="0"/>
                <w:szCs w:val="21"/>
              </w:rPr>
              <w:t>90%</w:t>
            </w:r>
            <w:r>
              <w:rPr>
                <w:rFonts w:hint="eastAsia" w:ascii="仿宋_GB2312" w:hAnsi="新宋体" w:eastAsia="仿宋_GB2312" w:cs="仿宋_GB2312"/>
                <w:kern w:val="0"/>
                <w:szCs w:val="21"/>
              </w:rPr>
              <w:t>的，</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5FDBC89F">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政府采购执行率在</w:t>
            </w:r>
            <w:r>
              <w:rPr>
                <w:rFonts w:ascii="仿宋_GB2312" w:hAnsi="新宋体" w:eastAsia="仿宋_GB2312" w:cs="仿宋_GB2312"/>
                <w:kern w:val="0"/>
                <w:szCs w:val="21"/>
              </w:rPr>
              <w:t>90%-100%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14:paraId="07289D33">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［某部门政府采购执行率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（政府采购执行率）］×该指标分值。</w:t>
            </w:r>
          </w:p>
        </w:tc>
        <w:tc>
          <w:tcPr>
            <w:tcW w:w="764" w:type="dxa"/>
            <w:tcBorders>
              <w:left w:val="single" w:color="auto" w:sz="4" w:space="0"/>
            </w:tcBorders>
            <w:vAlign w:val="center"/>
          </w:tcPr>
          <w:p w14:paraId="7820AC93">
            <w:pPr>
              <w:widowControl/>
              <w:spacing w:line="240" w:lineRule="exact"/>
              <w:ind w:firstLine="420" w:firstLineChars="200"/>
              <w:jc w:val="left"/>
              <w:rPr>
                <w:szCs w:val="21"/>
              </w:rPr>
            </w:pPr>
            <w:r>
              <w:rPr>
                <w:szCs w:val="21"/>
              </w:rPr>
              <w:t>4</w:t>
            </w:r>
          </w:p>
        </w:tc>
      </w:tr>
      <w:tr w14:paraId="75DC6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339EA02A">
            <w:pPr>
              <w:spacing w:line="240" w:lineRule="exact"/>
              <w:ind w:firstLine="420" w:firstLineChars="200"/>
              <w:rPr>
                <w:rFonts w:ascii="宋体"/>
                <w:szCs w:val="21"/>
              </w:rPr>
            </w:pPr>
          </w:p>
        </w:tc>
        <w:tc>
          <w:tcPr>
            <w:tcW w:w="743" w:type="dxa"/>
            <w:vMerge w:val="restart"/>
            <w:vAlign w:val="center"/>
          </w:tcPr>
          <w:p w14:paraId="53BB541D">
            <w:pPr>
              <w:widowControl/>
              <w:spacing w:line="240" w:lineRule="exact"/>
              <w:ind w:firstLine="420" w:firstLineChars="200"/>
              <w:jc w:val="left"/>
              <w:rPr>
                <w:szCs w:val="21"/>
              </w:rPr>
            </w:pPr>
            <w:r>
              <w:rPr>
                <w:rFonts w:hint="eastAsia" w:ascii="仿宋_GB2312" w:hAnsi="新宋体" w:eastAsia="仿宋_GB2312" w:cs="仿宋_GB2312"/>
                <w:kern w:val="0"/>
                <w:szCs w:val="21"/>
              </w:rPr>
              <w:t>预算管理情况</w:t>
            </w:r>
          </w:p>
          <w:p w14:paraId="58E96099">
            <w:pPr>
              <w:widowControl/>
              <w:spacing w:line="240" w:lineRule="exact"/>
              <w:ind w:firstLine="420" w:firstLineChars="200"/>
              <w:jc w:val="left"/>
              <w:rPr>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15</w:t>
            </w:r>
            <w:r>
              <w:rPr>
                <w:rFonts w:hint="eastAsia" w:ascii="仿宋_GB2312" w:hAnsi="新宋体" w:eastAsia="仿宋_GB2312" w:cs="仿宋_GB2312"/>
                <w:kern w:val="0"/>
                <w:szCs w:val="21"/>
              </w:rPr>
              <w:t>）</w:t>
            </w:r>
          </w:p>
        </w:tc>
        <w:tc>
          <w:tcPr>
            <w:tcW w:w="1275" w:type="dxa"/>
            <w:tcBorders>
              <w:right w:val="single" w:color="auto" w:sz="4" w:space="0"/>
            </w:tcBorders>
            <w:vAlign w:val="center"/>
          </w:tcPr>
          <w:p w14:paraId="40E44712">
            <w:pPr>
              <w:widowControl/>
              <w:spacing w:line="240" w:lineRule="exact"/>
              <w:ind w:firstLine="420" w:firstLineChars="200"/>
              <w:jc w:val="left"/>
              <w:rPr>
                <w:szCs w:val="21"/>
              </w:rPr>
            </w:pPr>
            <w:r>
              <w:rPr>
                <w:rFonts w:hint="eastAsia" w:ascii="仿宋_GB2312" w:hAnsi="新宋体" w:eastAsia="仿宋_GB2312" w:cs="仿宋_GB2312"/>
                <w:kern w:val="0"/>
                <w:szCs w:val="21"/>
              </w:rPr>
              <w:t>资金使用合规性（</w:t>
            </w:r>
            <w:r>
              <w:rPr>
                <w:rFonts w:ascii="仿宋_GB2312" w:hAnsi="新宋体" w:eastAsia="仿宋_GB2312" w:cs="仿宋_GB2312"/>
                <w:kern w:val="0"/>
                <w:szCs w:val="21"/>
              </w:rPr>
              <w:t>8</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5EF396C2">
            <w:pPr>
              <w:widowControl/>
              <w:spacing w:line="240" w:lineRule="exact"/>
              <w:ind w:firstLine="420" w:firstLineChars="200"/>
              <w:jc w:val="left"/>
              <w:rPr>
                <w:szCs w:val="21"/>
              </w:rPr>
            </w:pPr>
            <w:r>
              <w:rPr>
                <w:rFonts w:hint="eastAsia" w:ascii="仿宋_GB2312" w:hAnsi="新宋体" w:eastAsia="仿宋_GB2312" w:cs="仿宋_GB2312"/>
                <w:kern w:val="0"/>
                <w:szCs w:val="21"/>
              </w:rPr>
              <w:t>部门使用预算资金是否符合相关的预算财务管理制度的规定，反映和评价部门预算资金的规范运行情况。</w:t>
            </w:r>
          </w:p>
          <w:p w14:paraId="23F561FD">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14:paraId="455E4517">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符合国家财经法规和财务管理制度规定以及有关部门资金管理办法的规定；</w:t>
            </w:r>
          </w:p>
          <w:p w14:paraId="31D04983">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资金的拨付有完整的审批过程和手续；</w:t>
            </w:r>
          </w:p>
          <w:p w14:paraId="4FCF31F8">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项目的重大开支经过评估论证；</w:t>
            </w:r>
          </w:p>
          <w:p w14:paraId="0BB1C02F">
            <w:pPr>
              <w:widowControl/>
              <w:spacing w:line="240" w:lineRule="exact"/>
              <w:ind w:firstLine="420" w:firstLineChars="200"/>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符合部门预算批复的用途；</w:t>
            </w:r>
          </w:p>
          <w:p w14:paraId="3EE045AC">
            <w:pPr>
              <w:widowControl/>
              <w:spacing w:line="240" w:lineRule="exact"/>
              <w:ind w:firstLine="420" w:firstLineChars="200"/>
              <w:jc w:val="left"/>
              <w:rPr>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不存在截留情况；</w:t>
            </w:r>
          </w:p>
          <w:p w14:paraId="4E08C12B">
            <w:pPr>
              <w:widowControl/>
              <w:spacing w:line="240" w:lineRule="exact"/>
              <w:ind w:firstLine="420" w:firstLineChars="200"/>
              <w:jc w:val="left"/>
              <w:rPr>
                <w:szCs w:val="21"/>
              </w:rPr>
            </w:pPr>
            <w:r>
              <w:rPr>
                <w:rFonts w:ascii="仿宋_GB2312" w:hAnsi="新宋体" w:eastAsia="仿宋_GB2312" w:cs="仿宋_GB2312"/>
                <w:kern w:val="0"/>
                <w:szCs w:val="21"/>
              </w:rPr>
              <w:t>6.</w:t>
            </w:r>
            <w:r>
              <w:rPr>
                <w:rFonts w:hint="eastAsia" w:ascii="仿宋_GB2312" w:hAnsi="新宋体" w:eastAsia="仿宋_GB2312" w:cs="仿宋_GB2312"/>
                <w:kern w:val="0"/>
                <w:szCs w:val="21"/>
              </w:rPr>
              <w:t>不存在挤占情况；</w:t>
            </w:r>
          </w:p>
          <w:p w14:paraId="226A5622">
            <w:pPr>
              <w:widowControl/>
              <w:spacing w:line="240" w:lineRule="exact"/>
              <w:ind w:firstLine="420" w:firstLineChars="200"/>
              <w:jc w:val="left"/>
              <w:rPr>
                <w:szCs w:val="21"/>
              </w:rPr>
            </w:pPr>
            <w:r>
              <w:rPr>
                <w:rFonts w:ascii="仿宋_GB2312" w:hAnsi="新宋体" w:eastAsia="仿宋_GB2312" w:cs="仿宋_GB2312"/>
                <w:kern w:val="0"/>
                <w:szCs w:val="21"/>
              </w:rPr>
              <w:t>7.</w:t>
            </w:r>
            <w:r>
              <w:rPr>
                <w:rFonts w:hint="eastAsia" w:ascii="仿宋_GB2312" w:hAnsi="新宋体" w:eastAsia="仿宋_GB2312" w:cs="仿宋_GB2312"/>
                <w:kern w:val="0"/>
                <w:szCs w:val="21"/>
              </w:rPr>
              <w:t>不存在挪用情况；</w:t>
            </w:r>
          </w:p>
          <w:p w14:paraId="720CCC9B">
            <w:pPr>
              <w:widowControl/>
              <w:spacing w:line="240" w:lineRule="exact"/>
              <w:ind w:firstLine="420" w:firstLineChars="200"/>
              <w:jc w:val="left"/>
              <w:rPr>
                <w:szCs w:val="21"/>
              </w:rPr>
            </w:pPr>
            <w:r>
              <w:rPr>
                <w:rFonts w:ascii="仿宋_GB2312" w:hAnsi="新宋体" w:eastAsia="仿宋_GB2312" w:cs="仿宋_GB2312"/>
                <w:kern w:val="0"/>
                <w:szCs w:val="21"/>
              </w:rPr>
              <w:t>8.</w:t>
            </w:r>
            <w:r>
              <w:rPr>
                <w:rFonts w:hint="eastAsia" w:ascii="仿宋_GB2312" w:hAnsi="新宋体" w:eastAsia="仿宋_GB2312" w:cs="仿宋_GB2312"/>
                <w:kern w:val="0"/>
                <w:szCs w:val="21"/>
              </w:rPr>
              <w:t>不存在虚列支出情况。</w:t>
            </w:r>
          </w:p>
        </w:tc>
        <w:tc>
          <w:tcPr>
            <w:tcW w:w="2373" w:type="dxa"/>
            <w:tcBorders>
              <w:left w:val="single" w:color="auto" w:sz="4" w:space="0"/>
              <w:right w:val="single" w:color="auto" w:sz="4" w:space="0"/>
            </w:tcBorders>
            <w:vAlign w:val="center"/>
          </w:tcPr>
          <w:p w14:paraId="3634880A">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8</w:t>
            </w:r>
            <w:r>
              <w:rPr>
                <w:rFonts w:hint="eastAsia" w:ascii="仿宋_GB2312" w:hAnsi="新宋体" w:eastAsia="仿宋_GB2312" w:cs="仿宋_GB2312"/>
                <w:kern w:val="0"/>
                <w:szCs w:val="21"/>
              </w:rPr>
              <w:t>）；</w:t>
            </w:r>
          </w:p>
          <w:p w14:paraId="4E99A8DD">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符合其中七项（</w:t>
            </w:r>
            <w:r>
              <w:rPr>
                <w:rFonts w:ascii="仿宋_GB2312" w:hAnsi="新宋体" w:eastAsia="仿宋_GB2312" w:cs="仿宋_GB2312"/>
                <w:kern w:val="0"/>
                <w:szCs w:val="21"/>
              </w:rPr>
              <w:t>6</w:t>
            </w:r>
            <w:r>
              <w:rPr>
                <w:rFonts w:hint="eastAsia" w:ascii="仿宋_GB2312" w:hAnsi="新宋体" w:eastAsia="仿宋_GB2312" w:cs="仿宋_GB2312"/>
                <w:kern w:val="0"/>
                <w:szCs w:val="21"/>
              </w:rPr>
              <w:t>）；</w:t>
            </w:r>
          </w:p>
          <w:p w14:paraId="611446F3">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符合其中六项（</w:t>
            </w:r>
            <w:r>
              <w:rPr>
                <w:rFonts w:ascii="仿宋_GB2312" w:hAnsi="新宋体" w:eastAsia="仿宋_GB2312" w:cs="仿宋_GB2312"/>
                <w:kern w:val="0"/>
                <w:szCs w:val="21"/>
              </w:rPr>
              <w:t>4</w:t>
            </w:r>
            <w:r>
              <w:rPr>
                <w:rFonts w:hint="eastAsia" w:ascii="仿宋_GB2312" w:hAnsi="新宋体" w:eastAsia="仿宋_GB2312" w:cs="仿宋_GB2312"/>
                <w:kern w:val="0"/>
                <w:szCs w:val="21"/>
              </w:rPr>
              <w:t>）；</w:t>
            </w:r>
          </w:p>
          <w:p w14:paraId="34942DE4">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符合其中五项（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4B106C4F">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符合其中四项及以下（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14:paraId="39DD2E67">
            <w:pPr>
              <w:widowControl/>
              <w:spacing w:line="240" w:lineRule="exact"/>
              <w:ind w:firstLine="420" w:firstLineChars="200"/>
              <w:jc w:val="left"/>
              <w:rPr>
                <w:szCs w:val="21"/>
              </w:rPr>
            </w:pPr>
            <w:r>
              <w:rPr>
                <w:szCs w:val="21"/>
              </w:rPr>
              <w:t>8</w:t>
            </w:r>
          </w:p>
        </w:tc>
      </w:tr>
      <w:tr w14:paraId="4B4B8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10CEA927">
            <w:pPr>
              <w:spacing w:line="240" w:lineRule="exact"/>
              <w:ind w:firstLine="420" w:firstLineChars="200"/>
              <w:rPr>
                <w:rFonts w:ascii="宋体"/>
                <w:szCs w:val="21"/>
              </w:rPr>
            </w:pPr>
          </w:p>
        </w:tc>
        <w:tc>
          <w:tcPr>
            <w:tcW w:w="743" w:type="dxa"/>
            <w:vMerge w:val="continue"/>
            <w:vAlign w:val="center"/>
          </w:tcPr>
          <w:p w14:paraId="2EC8B30A">
            <w:pPr>
              <w:spacing w:line="240" w:lineRule="exact"/>
              <w:ind w:firstLine="420" w:firstLineChars="200"/>
              <w:rPr>
                <w:rFonts w:ascii="宋体"/>
                <w:szCs w:val="21"/>
              </w:rPr>
            </w:pPr>
          </w:p>
        </w:tc>
        <w:tc>
          <w:tcPr>
            <w:tcW w:w="1275" w:type="dxa"/>
            <w:tcBorders>
              <w:right w:val="single" w:color="auto" w:sz="4" w:space="0"/>
            </w:tcBorders>
            <w:vAlign w:val="center"/>
          </w:tcPr>
          <w:p w14:paraId="7C16F8F8">
            <w:pPr>
              <w:widowControl/>
              <w:spacing w:line="240" w:lineRule="exact"/>
              <w:ind w:firstLine="420" w:firstLineChars="200"/>
              <w:jc w:val="left"/>
              <w:rPr>
                <w:szCs w:val="21"/>
              </w:rPr>
            </w:pPr>
            <w:r>
              <w:rPr>
                <w:rFonts w:hint="eastAsia" w:ascii="仿宋_GB2312" w:hAnsi="新宋体" w:eastAsia="仿宋_GB2312" w:cs="仿宋_GB2312"/>
                <w:kern w:val="0"/>
                <w:szCs w:val="21"/>
              </w:rPr>
              <w:t>预决算信息公开性（</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7B13B697">
            <w:pPr>
              <w:widowControl/>
              <w:spacing w:line="240" w:lineRule="exact"/>
              <w:ind w:firstLine="420" w:firstLineChars="200"/>
              <w:jc w:val="left"/>
              <w:rPr>
                <w:szCs w:val="21"/>
              </w:rPr>
            </w:pPr>
            <w:r>
              <w:rPr>
                <w:rFonts w:hint="eastAsia" w:ascii="仿宋_GB2312" w:hAnsi="新宋体" w:eastAsia="仿宋_GB2312" w:cs="仿宋_GB2312"/>
                <w:kern w:val="0"/>
                <w:szCs w:val="21"/>
              </w:rPr>
              <w:t>部门是否按照政府信息公开有关规定公开相关预决算信息，用以反映和评价部门预决算管理的公开透明情况。</w:t>
            </w:r>
          </w:p>
          <w:p w14:paraId="2CE5F072">
            <w:pPr>
              <w:widowControl/>
              <w:spacing w:line="240" w:lineRule="exact"/>
              <w:ind w:firstLine="420" w:firstLineChars="200"/>
              <w:jc w:val="left"/>
              <w:rPr>
                <w:szCs w:val="21"/>
              </w:rPr>
            </w:pPr>
            <w:r>
              <w:rPr>
                <w:rFonts w:hint="eastAsia" w:ascii="仿宋_GB2312" w:hAnsi="新宋体" w:eastAsia="仿宋_GB2312" w:cs="仿宋_GB2312"/>
                <w:kern w:val="0"/>
                <w:szCs w:val="21"/>
              </w:rPr>
              <w:t>预决算信息是指与部门预算、执行、决算、监督、绩效等管理相关的信息。</w:t>
            </w:r>
          </w:p>
          <w:p w14:paraId="56C701E2">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14:paraId="13D44125">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公开预决算信息；</w:t>
            </w:r>
          </w:p>
          <w:p w14:paraId="6FDFF5CB">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按规定内容公开预决算信息；</w:t>
            </w:r>
          </w:p>
          <w:p w14:paraId="4806B92C">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按规定时限公开预决算信息。</w:t>
            </w:r>
          </w:p>
        </w:tc>
        <w:tc>
          <w:tcPr>
            <w:tcW w:w="2373" w:type="dxa"/>
            <w:tcBorders>
              <w:left w:val="single" w:color="auto" w:sz="4" w:space="0"/>
              <w:right w:val="single" w:color="auto" w:sz="4" w:space="0"/>
            </w:tcBorders>
            <w:vAlign w:val="center"/>
          </w:tcPr>
          <w:p w14:paraId="760F84E3">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3</w:t>
            </w:r>
            <w:r>
              <w:rPr>
                <w:rFonts w:hint="eastAsia" w:ascii="仿宋_GB2312" w:hAnsi="新宋体" w:eastAsia="仿宋_GB2312" w:cs="仿宋_GB2312"/>
                <w:kern w:val="0"/>
                <w:szCs w:val="21"/>
              </w:rPr>
              <w:t>）；</w:t>
            </w:r>
          </w:p>
          <w:p w14:paraId="7F12DD00">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190186D7">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符合其中一项及以下（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14:paraId="48979D57">
            <w:pPr>
              <w:widowControl/>
              <w:spacing w:line="240" w:lineRule="exact"/>
              <w:ind w:firstLine="420" w:firstLineChars="200"/>
              <w:jc w:val="left"/>
              <w:rPr>
                <w:szCs w:val="21"/>
              </w:rPr>
            </w:pPr>
            <w:r>
              <w:rPr>
                <w:szCs w:val="21"/>
              </w:rPr>
              <w:t>3</w:t>
            </w:r>
          </w:p>
        </w:tc>
      </w:tr>
      <w:tr w14:paraId="36EDC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17E1863D">
            <w:pPr>
              <w:spacing w:line="240" w:lineRule="exact"/>
              <w:ind w:firstLine="420" w:firstLineChars="200"/>
              <w:rPr>
                <w:rFonts w:ascii="宋体"/>
                <w:szCs w:val="21"/>
              </w:rPr>
            </w:pPr>
          </w:p>
        </w:tc>
        <w:tc>
          <w:tcPr>
            <w:tcW w:w="743" w:type="dxa"/>
            <w:vMerge w:val="continue"/>
            <w:vAlign w:val="center"/>
          </w:tcPr>
          <w:p w14:paraId="5C4BEB07">
            <w:pPr>
              <w:spacing w:line="240" w:lineRule="exact"/>
              <w:ind w:firstLine="420" w:firstLineChars="200"/>
              <w:rPr>
                <w:rFonts w:ascii="宋体"/>
                <w:szCs w:val="21"/>
              </w:rPr>
            </w:pPr>
          </w:p>
        </w:tc>
        <w:tc>
          <w:tcPr>
            <w:tcW w:w="1275" w:type="dxa"/>
            <w:tcBorders>
              <w:right w:val="single" w:color="auto" w:sz="4" w:space="0"/>
            </w:tcBorders>
            <w:vAlign w:val="center"/>
          </w:tcPr>
          <w:p w14:paraId="0E25EE13">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基础信息完善性</w:t>
            </w:r>
            <w:r>
              <w:rPr>
                <w:rFonts w:hint="eastAsia" w:ascii="仿宋_GB2312" w:hAnsi="新宋体" w:eastAsia="仿宋_GB2312" w:cs="仿宋_GB2312"/>
                <w:kern w:val="0"/>
                <w:szCs w:val="21"/>
              </w:rPr>
              <w:t>（</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00A156D8">
            <w:pPr>
              <w:widowControl/>
              <w:spacing w:line="240" w:lineRule="exact"/>
              <w:ind w:firstLine="420" w:firstLineChars="200"/>
              <w:jc w:val="left"/>
              <w:rPr>
                <w:szCs w:val="21"/>
              </w:rPr>
            </w:pPr>
            <w:r>
              <w:rPr>
                <w:rFonts w:hint="eastAsia" w:ascii="仿宋_GB2312" w:hAnsi="新宋体" w:eastAsia="仿宋_GB2312" w:cs="仿宋_GB2312"/>
                <w:kern w:val="0"/>
                <w:szCs w:val="21"/>
              </w:rPr>
              <w:t>部门基础信息是否完善，用以反映和评价基础信息对预算管理工作的支撑情况。</w:t>
            </w:r>
          </w:p>
          <w:p w14:paraId="0DECC812">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14:paraId="6D685CF5">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基本财务管理制度健全；</w:t>
            </w:r>
          </w:p>
          <w:p w14:paraId="605B00ED">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基础数据信息和会计信息资料真实；</w:t>
            </w:r>
          </w:p>
          <w:p w14:paraId="6E24BAA4">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基础数据信息和会计信息资料完整；</w:t>
            </w:r>
          </w:p>
          <w:p w14:paraId="13B02848">
            <w:pPr>
              <w:widowControl/>
              <w:spacing w:line="240" w:lineRule="exact"/>
              <w:ind w:firstLine="420" w:firstLineChars="200"/>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基础数据信息和会计信息资料准确。</w:t>
            </w:r>
          </w:p>
        </w:tc>
        <w:tc>
          <w:tcPr>
            <w:tcW w:w="2373" w:type="dxa"/>
            <w:tcBorders>
              <w:left w:val="single" w:color="auto" w:sz="4" w:space="0"/>
              <w:right w:val="single" w:color="auto" w:sz="4" w:space="0"/>
            </w:tcBorders>
            <w:vAlign w:val="center"/>
          </w:tcPr>
          <w:p w14:paraId="1A09E39D">
            <w:pPr>
              <w:widowControl/>
              <w:spacing w:line="240" w:lineRule="exact"/>
              <w:ind w:firstLine="420" w:firstLineChars="200"/>
              <w:jc w:val="left"/>
              <w:rPr>
                <w:szCs w:val="21"/>
              </w:rPr>
            </w:pPr>
            <w:r>
              <w:rPr>
                <w:rFonts w:hint="eastAsia" w:ascii="仿宋_GB2312" w:hAnsi="新宋体" w:eastAsia="仿宋_GB2312" w:cs="仿宋_GB2312"/>
                <w:kern w:val="0"/>
                <w:szCs w:val="21"/>
              </w:rPr>
              <w:t>符合全部四项（</w:t>
            </w:r>
            <w:r>
              <w:rPr>
                <w:rFonts w:ascii="仿宋_GB2312" w:hAnsi="新宋体" w:eastAsia="仿宋_GB2312" w:cs="仿宋_GB2312"/>
                <w:kern w:val="0"/>
                <w:szCs w:val="21"/>
              </w:rPr>
              <w:t>4</w:t>
            </w:r>
            <w:r>
              <w:rPr>
                <w:rFonts w:hint="eastAsia" w:ascii="仿宋_GB2312" w:hAnsi="新宋体" w:eastAsia="仿宋_GB2312" w:cs="仿宋_GB2312"/>
                <w:kern w:val="0"/>
                <w:szCs w:val="21"/>
              </w:rPr>
              <w:t>）；</w:t>
            </w:r>
          </w:p>
          <w:p w14:paraId="748341D5">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符合其中三项（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26907DEF">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14:paraId="114C1CA0">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符合其中一项及以下（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14:paraId="32A4818F">
            <w:pPr>
              <w:widowControl/>
              <w:spacing w:line="240" w:lineRule="exact"/>
              <w:ind w:firstLine="420" w:firstLineChars="200"/>
              <w:jc w:val="left"/>
              <w:rPr>
                <w:szCs w:val="21"/>
              </w:rPr>
            </w:pPr>
            <w:r>
              <w:rPr>
                <w:szCs w:val="21"/>
              </w:rPr>
              <w:t>4</w:t>
            </w:r>
          </w:p>
        </w:tc>
      </w:tr>
      <w:tr w14:paraId="28BE3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3029DA46">
            <w:pPr>
              <w:spacing w:line="240" w:lineRule="exact"/>
              <w:ind w:firstLine="420" w:firstLineChars="200"/>
              <w:rPr>
                <w:rFonts w:ascii="宋体"/>
                <w:szCs w:val="21"/>
              </w:rPr>
            </w:pPr>
          </w:p>
        </w:tc>
        <w:tc>
          <w:tcPr>
            <w:tcW w:w="743" w:type="dxa"/>
            <w:vMerge w:val="restart"/>
            <w:vAlign w:val="center"/>
          </w:tcPr>
          <w:p w14:paraId="763FE4D7">
            <w:pPr>
              <w:widowControl/>
              <w:spacing w:line="240" w:lineRule="exact"/>
              <w:ind w:firstLine="420" w:firstLineChars="200"/>
              <w:jc w:val="left"/>
              <w:rPr>
                <w:szCs w:val="21"/>
              </w:rPr>
            </w:pPr>
            <w:r>
              <w:rPr>
                <w:rFonts w:hint="eastAsia" w:ascii="仿宋_GB2312" w:hAnsi="新宋体" w:eastAsia="仿宋_GB2312" w:cs="仿宋_GB2312"/>
                <w:kern w:val="0"/>
                <w:szCs w:val="21"/>
              </w:rPr>
              <w:t>资产管理情况（</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1275" w:type="dxa"/>
            <w:tcBorders>
              <w:top w:val="single" w:color="auto" w:sz="4" w:space="0"/>
              <w:right w:val="single" w:color="auto" w:sz="4" w:space="0"/>
            </w:tcBorders>
            <w:vAlign w:val="center"/>
          </w:tcPr>
          <w:p w14:paraId="27E60376">
            <w:pPr>
              <w:widowControl/>
              <w:spacing w:line="240" w:lineRule="exact"/>
              <w:ind w:firstLine="420" w:firstLineChars="200"/>
              <w:jc w:val="left"/>
              <w:rPr>
                <w:szCs w:val="21"/>
              </w:rPr>
            </w:pPr>
            <w:r>
              <w:rPr>
                <w:rFonts w:hint="eastAsia" w:ascii="仿宋_GB2312" w:hAnsi="新宋体" w:eastAsia="仿宋_GB2312" w:cs="仿宋_GB2312"/>
                <w:kern w:val="0"/>
                <w:szCs w:val="21"/>
              </w:rPr>
              <w:t>资产管理完整性（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14:paraId="2B5E36BA">
            <w:pPr>
              <w:widowControl/>
              <w:spacing w:line="240" w:lineRule="exact"/>
              <w:ind w:firstLine="420" w:firstLineChars="200"/>
              <w:jc w:val="left"/>
              <w:rPr>
                <w:szCs w:val="21"/>
              </w:rPr>
            </w:pPr>
            <w:r>
              <w:rPr>
                <w:rFonts w:hint="eastAsia" w:ascii="仿宋_GB2312" w:hAnsi="新宋体" w:eastAsia="仿宋_GB2312" w:cs="仿宋_GB2312"/>
                <w:kern w:val="0"/>
                <w:szCs w:val="21"/>
              </w:rPr>
              <w:t>部门的资产是否保存完整、使用合规、收入及时足额上缴，用以反映和评价部门资产运行情况。</w:t>
            </w:r>
          </w:p>
          <w:p w14:paraId="5E7A3C84">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14:paraId="195C5252">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资产保存完整；</w:t>
            </w:r>
          </w:p>
          <w:p w14:paraId="38090371">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资产账务管理是否合规，帐实相符；</w:t>
            </w:r>
          </w:p>
          <w:p w14:paraId="2118A178">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资产有偿使用及处置收入及时足额上缴。</w:t>
            </w:r>
          </w:p>
        </w:tc>
        <w:tc>
          <w:tcPr>
            <w:tcW w:w="2373" w:type="dxa"/>
            <w:tcBorders>
              <w:top w:val="single" w:color="auto" w:sz="4" w:space="0"/>
              <w:left w:val="single" w:color="auto" w:sz="4" w:space="0"/>
              <w:right w:val="single" w:color="auto" w:sz="4" w:space="0"/>
            </w:tcBorders>
            <w:vAlign w:val="center"/>
          </w:tcPr>
          <w:p w14:paraId="66A8B749">
            <w:pPr>
              <w:widowControl/>
              <w:spacing w:line="240" w:lineRule="exact"/>
              <w:ind w:firstLine="420" w:firstLineChars="200"/>
              <w:jc w:val="left"/>
              <w:rPr>
                <w:szCs w:val="21"/>
              </w:rPr>
            </w:pPr>
            <w:r>
              <w:rPr>
                <w:rFonts w:hint="eastAsia" w:ascii="仿宋_GB2312" w:hAnsi="新宋体" w:eastAsia="仿宋_GB2312" w:cs="仿宋_GB2312"/>
                <w:kern w:val="0"/>
                <w:szCs w:val="21"/>
              </w:rPr>
              <w:t>符合全部三项（</w:t>
            </w:r>
            <w:r>
              <w:rPr>
                <w:rFonts w:ascii="仿宋_GB2312" w:hAnsi="新宋体" w:eastAsia="仿宋_GB2312" w:cs="仿宋_GB2312"/>
                <w:kern w:val="0"/>
                <w:szCs w:val="21"/>
              </w:rPr>
              <w:t>3</w:t>
            </w:r>
            <w:r>
              <w:rPr>
                <w:rFonts w:hint="eastAsia" w:ascii="仿宋_GB2312" w:hAnsi="新宋体" w:eastAsia="仿宋_GB2312" w:cs="仿宋_GB2312"/>
                <w:kern w:val="0"/>
                <w:szCs w:val="21"/>
              </w:rPr>
              <w:t>）；</w:t>
            </w:r>
          </w:p>
          <w:p w14:paraId="178BA521">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1ED7F16E">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符合其中一项（</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14:paraId="779DF67D">
            <w:pPr>
              <w:widowControl/>
              <w:spacing w:line="240" w:lineRule="exact"/>
              <w:ind w:firstLine="420" w:firstLineChars="200"/>
              <w:jc w:val="left"/>
              <w:rPr>
                <w:szCs w:val="21"/>
              </w:rPr>
            </w:pPr>
            <w:r>
              <w:rPr>
                <w:rFonts w:hint="eastAsia" w:ascii="仿宋_GB2312" w:hAnsi="新宋体" w:eastAsia="仿宋_GB2312" w:cs="仿宋_GB2312"/>
                <w:kern w:val="0"/>
                <w:szCs w:val="21"/>
              </w:rPr>
              <w:t>符合零项（</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top w:val="single" w:color="auto" w:sz="4" w:space="0"/>
              <w:left w:val="single" w:color="auto" w:sz="4" w:space="0"/>
            </w:tcBorders>
            <w:vAlign w:val="center"/>
          </w:tcPr>
          <w:p w14:paraId="456148C3">
            <w:pPr>
              <w:widowControl/>
              <w:spacing w:line="240" w:lineRule="exact"/>
              <w:ind w:firstLine="420" w:firstLineChars="200"/>
              <w:jc w:val="left"/>
              <w:rPr>
                <w:szCs w:val="21"/>
              </w:rPr>
            </w:pPr>
            <w:r>
              <w:rPr>
                <w:szCs w:val="21"/>
              </w:rPr>
              <w:t>2</w:t>
            </w:r>
          </w:p>
        </w:tc>
      </w:tr>
      <w:tr w14:paraId="6A062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50C0C689">
            <w:pPr>
              <w:spacing w:line="240" w:lineRule="exact"/>
              <w:ind w:firstLine="420" w:firstLineChars="200"/>
              <w:rPr>
                <w:rFonts w:ascii="宋体"/>
                <w:szCs w:val="21"/>
              </w:rPr>
            </w:pPr>
          </w:p>
        </w:tc>
        <w:tc>
          <w:tcPr>
            <w:tcW w:w="743" w:type="dxa"/>
            <w:vMerge w:val="continue"/>
            <w:vAlign w:val="center"/>
          </w:tcPr>
          <w:p w14:paraId="0B34F72A">
            <w:pPr>
              <w:spacing w:line="240" w:lineRule="exact"/>
              <w:ind w:firstLine="420" w:firstLineChars="200"/>
              <w:rPr>
                <w:rFonts w:ascii="宋体"/>
                <w:szCs w:val="21"/>
              </w:rPr>
            </w:pPr>
          </w:p>
        </w:tc>
        <w:tc>
          <w:tcPr>
            <w:tcW w:w="1275" w:type="dxa"/>
            <w:tcBorders>
              <w:top w:val="single" w:color="auto" w:sz="4" w:space="0"/>
              <w:right w:val="single" w:color="auto" w:sz="4" w:space="0"/>
            </w:tcBorders>
            <w:vAlign w:val="center"/>
          </w:tcPr>
          <w:p w14:paraId="63802AF1">
            <w:pPr>
              <w:widowControl/>
              <w:spacing w:line="240" w:lineRule="exact"/>
              <w:ind w:firstLine="420" w:firstLineChars="200"/>
              <w:jc w:val="left"/>
              <w:rPr>
                <w:szCs w:val="21"/>
              </w:rPr>
            </w:pP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14:paraId="42787EAA">
            <w:pPr>
              <w:widowControl/>
              <w:spacing w:line="240" w:lineRule="exact"/>
              <w:ind w:firstLine="420" w:firstLineChars="200"/>
              <w:jc w:val="left"/>
              <w:rPr>
                <w:szCs w:val="21"/>
              </w:rPr>
            </w:pPr>
            <w:r>
              <w:rPr>
                <w:rFonts w:hint="eastAsia" w:ascii="仿宋_GB2312" w:hAnsi="新宋体" w:eastAsia="仿宋_GB2312" w:cs="仿宋_GB2312"/>
                <w:kern w:val="0"/>
                <w:szCs w:val="21"/>
              </w:rPr>
              <w:t>部门实际在用固定资产总额与所有固定资产总额的比率，用以反映和评价部门固定资产使用效率。</w:t>
            </w:r>
          </w:p>
          <w:p w14:paraId="674DB46C">
            <w:pPr>
              <w:widowControl/>
              <w:spacing w:line="240" w:lineRule="exact"/>
              <w:ind w:firstLine="420" w:firstLineChars="200"/>
              <w:jc w:val="left"/>
              <w:rPr>
                <w:szCs w:val="21"/>
              </w:rPr>
            </w:pP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（实际在用固定资产总额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所有固定资产总额）×</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top w:val="single" w:color="auto" w:sz="4" w:space="0"/>
              <w:left w:val="single" w:color="auto" w:sz="4" w:space="0"/>
              <w:right w:val="single" w:color="auto" w:sz="4" w:space="0"/>
            </w:tcBorders>
            <w:vAlign w:val="center"/>
          </w:tcPr>
          <w:p w14:paraId="39B0C98F">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固定资产利用率大于或等于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14:paraId="04BADA75">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固定资产利用率小于或等于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4CC3DD9B">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固定资产利用率在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14:paraId="1E45F6A1">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［某部门固定资产利用率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（固定资产利用率）］×该指标分值。</w:t>
            </w:r>
          </w:p>
        </w:tc>
        <w:tc>
          <w:tcPr>
            <w:tcW w:w="764" w:type="dxa"/>
            <w:tcBorders>
              <w:top w:val="single" w:color="auto" w:sz="4" w:space="0"/>
              <w:left w:val="single" w:color="auto" w:sz="4" w:space="0"/>
            </w:tcBorders>
            <w:vAlign w:val="center"/>
          </w:tcPr>
          <w:p w14:paraId="6C284802">
            <w:pPr>
              <w:widowControl/>
              <w:spacing w:line="240" w:lineRule="exact"/>
              <w:ind w:firstLine="420" w:firstLineChars="200"/>
              <w:jc w:val="left"/>
              <w:rPr>
                <w:szCs w:val="21"/>
              </w:rPr>
            </w:pPr>
            <w:r>
              <w:rPr>
                <w:szCs w:val="21"/>
              </w:rPr>
              <w:t>3</w:t>
            </w:r>
          </w:p>
        </w:tc>
      </w:tr>
      <w:tr w14:paraId="3AC6B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14:paraId="6DF12EEC">
            <w:pPr>
              <w:widowControl/>
              <w:spacing w:line="240" w:lineRule="exact"/>
              <w:ind w:firstLine="420" w:firstLineChars="200"/>
              <w:jc w:val="left"/>
              <w:rPr>
                <w:szCs w:val="21"/>
              </w:rPr>
            </w:pPr>
            <w:r>
              <w:rPr>
                <w:rFonts w:hint="eastAsia" w:ascii="仿宋_GB2312" w:hAnsi="新宋体" w:eastAsia="仿宋_GB2312" w:cs="仿宋_GB2312"/>
                <w:kern w:val="0"/>
                <w:szCs w:val="21"/>
              </w:rPr>
              <w:t>产出</w:t>
            </w:r>
            <w:r>
              <w:rPr>
                <w:rFonts w:ascii="仿宋_GB2312" w:hAnsi="新宋体" w:eastAsia="仿宋_GB2312" w:cs="仿宋_GB2312"/>
                <w:kern w:val="0"/>
                <w:szCs w:val="21"/>
              </w:rPr>
              <w:t>(25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vAlign w:val="center"/>
          </w:tcPr>
          <w:p w14:paraId="3FE09526">
            <w:pPr>
              <w:widowControl/>
              <w:spacing w:line="240" w:lineRule="exact"/>
              <w:ind w:firstLine="420" w:firstLineChars="200"/>
              <w:jc w:val="left"/>
              <w:rPr>
                <w:szCs w:val="21"/>
              </w:rPr>
            </w:pPr>
            <w:r>
              <w:rPr>
                <w:rFonts w:hint="eastAsia" w:ascii="仿宋_GB2312" w:hAnsi="新宋体" w:eastAsia="仿宋_GB2312" w:cs="仿宋_GB2312"/>
                <w:kern w:val="0"/>
                <w:szCs w:val="21"/>
              </w:rPr>
              <w:t>职责履行情况（</w:t>
            </w:r>
            <w:r>
              <w:rPr>
                <w:rFonts w:ascii="仿宋_GB2312" w:hAnsi="新宋体" w:eastAsia="仿宋_GB2312" w:cs="仿宋_GB2312"/>
                <w:kern w:val="0"/>
                <w:szCs w:val="21"/>
              </w:rPr>
              <w:t>25</w:t>
            </w:r>
            <w:r>
              <w:rPr>
                <w:rFonts w:hint="eastAsia" w:ascii="仿宋_GB2312" w:hAnsi="新宋体" w:eastAsia="仿宋_GB2312" w:cs="仿宋_GB2312"/>
                <w:kern w:val="0"/>
                <w:szCs w:val="21"/>
              </w:rPr>
              <w:t>）</w:t>
            </w:r>
          </w:p>
        </w:tc>
        <w:tc>
          <w:tcPr>
            <w:tcW w:w="1275" w:type="dxa"/>
            <w:tcBorders>
              <w:bottom w:val="single" w:color="auto" w:sz="4" w:space="0"/>
              <w:right w:val="single" w:color="auto" w:sz="4" w:space="0"/>
            </w:tcBorders>
            <w:vAlign w:val="center"/>
          </w:tcPr>
          <w:p w14:paraId="5DBBCC20">
            <w:pPr>
              <w:widowControl/>
              <w:spacing w:line="240" w:lineRule="exact"/>
              <w:ind w:firstLine="420" w:firstLineChars="200"/>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10</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14:paraId="6FCD288C">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每项任务是否已制定了明确、具体、可量化、可衡量的绩效指标；</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每项任务绩效指标的完成情况，是全部完成、基本完成、未完成，还是未实施；</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每项任务实施效果情况，是优秀、良好、一般，还是无效果；</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每项任务是否建立了目标责任制，是否落实到具体部门和人员负责。</w:t>
            </w:r>
          </w:p>
        </w:tc>
        <w:tc>
          <w:tcPr>
            <w:tcW w:w="2373" w:type="dxa"/>
            <w:tcBorders>
              <w:left w:val="single" w:color="auto" w:sz="4" w:space="0"/>
              <w:bottom w:val="single" w:color="auto" w:sz="4" w:space="0"/>
              <w:right w:val="single" w:color="auto" w:sz="4" w:space="0"/>
            </w:tcBorders>
            <w:vAlign w:val="center"/>
          </w:tcPr>
          <w:p w14:paraId="620AA935">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left w:val="single" w:color="auto" w:sz="4" w:space="0"/>
              <w:bottom w:val="single" w:color="auto" w:sz="4" w:space="0"/>
            </w:tcBorders>
            <w:vAlign w:val="center"/>
          </w:tcPr>
          <w:p w14:paraId="0C2125F6">
            <w:pPr>
              <w:widowControl/>
              <w:spacing w:line="240" w:lineRule="exact"/>
              <w:jc w:val="left"/>
              <w:rPr>
                <w:szCs w:val="21"/>
              </w:rPr>
            </w:pPr>
            <w:r>
              <w:rPr>
                <w:szCs w:val="21"/>
              </w:rPr>
              <w:t>10</w:t>
            </w:r>
          </w:p>
        </w:tc>
      </w:tr>
      <w:tr w14:paraId="637B9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vAlign w:val="center"/>
          </w:tcPr>
          <w:p w14:paraId="5E5B3737">
            <w:pPr>
              <w:spacing w:line="240" w:lineRule="exact"/>
              <w:ind w:firstLine="420" w:firstLineChars="200"/>
              <w:rPr>
                <w:rFonts w:ascii="宋体"/>
                <w:szCs w:val="21"/>
              </w:rPr>
            </w:pPr>
          </w:p>
        </w:tc>
        <w:tc>
          <w:tcPr>
            <w:tcW w:w="743" w:type="dxa"/>
            <w:vMerge w:val="continue"/>
            <w:vAlign w:val="center"/>
          </w:tcPr>
          <w:p w14:paraId="59EC292B">
            <w:pPr>
              <w:spacing w:line="240" w:lineRule="exact"/>
              <w:ind w:firstLine="420" w:firstLineChars="200"/>
              <w:rPr>
                <w:rFonts w:ascii="宋体"/>
                <w:szCs w:val="21"/>
              </w:rPr>
            </w:pPr>
          </w:p>
        </w:tc>
        <w:tc>
          <w:tcPr>
            <w:tcW w:w="1275" w:type="dxa"/>
            <w:tcBorders>
              <w:right w:val="single" w:color="auto" w:sz="4" w:space="0"/>
            </w:tcBorders>
            <w:vAlign w:val="center"/>
          </w:tcPr>
          <w:p w14:paraId="64684424">
            <w:pPr>
              <w:widowControl/>
              <w:spacing w:line="240" w:lineRule="exact"/>
              <w:ind w:firstLine="420" w:firstLineChars="200"/>
              <w:jc w:val="left"/>
              <w:rPr>
                <w:szCs w:val="21"/>
              </w:rPr>
            </w:pPr>
            <w:r>
              <w:rPr>
                <w:rFonts w:hint="eastAsia" w:ascii="仿宋_GB2312" w:hAnsi="新宋体" w:eastAsia="仿宋_GB2312" w:cs="仿宋_GB2312"/>
                <w:kern w:val="0"/>
                <w:szCs w:val="21"/>
              </w:rPr>
              <w:t>项目完成质量达标率（</w:t>
            </w:r>
            <w:r>
              <w:rPr>
                <w:rFonts w:ascii="仿宋_GB2312" w:hAnsi="新宋体" w:eastAsia="仿宋_GB2312" w:cs="仿宋_GB2312"/>
                <w:kern w:val="0"/>
                <w:szCs w:val="21"/>
              </w:rPr>
              <w:t>15</w:t>
            </w:r>
            <w:r>
              <w:rPr>
                <w:rFonts w:hint="eastAsia" w:ascii="仿宋_GB2312" w:hAnsi="新宋体" w:eastAsia="仿宋_GB2312" w:cs="仿宋_GB2312"/>
                <w:kern w:val="0"/>
                <w:szCs w:val="21"/>
              </w:rPr>
              <w:t>）</w:t>
            </w:r>
          </w:p>
        </w:tc>
        <w:tc>
          <w:tcPr>
            <w:tcW w:w="3436" w:type="dxa"/>
            <w:tcBorders>
              <w:left w:val="single" w:color="auto" w:sz="4" w:space="0"/>
              <w:right w:val="single" w:color="auto" w:sz="4" w:space="0"/>
            </w:tcBorders>
            <w:vAlign w:val="center"/>
          </w:tcPr>
          <w:p w14:paraId="2482FBD0">
            <w:pPr>
              <w:widowControl/>
              <w:spacing w:line="240" w:lineRule="exact"/>
              <w:ind w:firstLine="420" w:firstLineChars="200"/>
              <w:jc w:val="left"/>
              <w:rPr>
                <w:szCs w:val="21"/>
              </w:rPr>
            </w:pPr>
            <w:r>
              <w:rPr>
                <w:rFonts w:hint="eastAsia" w:ascii="仿宋_GB2312" w:hAnsi="新宋体" w:eastAsia="仿宋_GB2312" w:cs="仿宋_GB2312"/>
                <w:kern w:val="0"/>
                <w:szCs w:val="21"/>
              </w:rPr>
              <w:t>部门已完成项目中质量达标项目个数占已完成项目个数的比率</w:t>
            </w:r>
            <w:r>
              <w:rPr>
                <w:rFonts w:ascii="仿宋_GB2312" w:hAnsi="新宋体" w:eastAsia="仿宋_GB2312" w:cs="仿宋_GB2312"/>
                <w:kern w:val="0"/>
                <w:szCs w:val="21"/>
              </w:rPr>
              <w:t>,</w:t>
            </w:r>
            <w:r>
              <w:rPr>
                <w:rFonts w:hint="eastAsia" w:ascii="仿宋_GB2312" w:hAnsi="新宋体" w:eastAsia="仿宋_GB2312" w:cs="仿宋_GB2312"/>
                <w:kern w:val="0"/>
                <w:szCs w:val="21"/>
              </w:rPr>
              <w:t>用以反映和评价部门履职质量目标的实现程度。</w:t>
            </w:r>
          </w:p>
          <w:p w14:paraId="1BC20D31">
            <w:pPr>
              <w:widowControl/>
              <w:spacing w:line="240" w:lineRule="exact"/>
              <w:ind w:firstLine="420" w:firstLineChars="200"/>
              <w:jc w:val="left"/>
              <w:rPr>
                <w:szCs w:val="21"/>
              </w:rPr>
            </w:pP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w:t>
            </w:r>
            <w:r>
              <w:rPr>
                <w:rFonts w:hint="eastAsia" w:ascii="仿宋_GB2312" w:hAnsi="新宋体" w:eastAsia="仿宋_GB2312" w:cs="仿宋_GB2312"/>
                <w:kern w:val="0"/>
                <w:szCs w:val="21"/>
              </w:rPr>
              <w:t>（已完成项目中质量达标项目个数</w:t>
            </w:r>
            <w:r>
              <w:rPr>
                <w:rFonts w:ascii="仿宋_GB2312" w:hAnsi="新宋体" w:eastAsia="仿宋_GB2312" w:cs="仿宋_GB2312"/>
                <w:kern w:val="0"/>
                <w:szCs w:val="21"/>
              </w:rPr>
              <w:t>/</w:t>
            </w:r>
            <w:r>
              <w:rPr>
                <w:rFonts w:hint="eastAsia" w:ascii="仿宋_GB2312" w:hAnsi="新宋体" w:eastAsia="仿宋_GB2312" w:cs="仿宋_GB2312"/>
                <w:kern w:val="0"/>
                <w:szCs w:val="21"/>
              </w:rPr>
              <w:t>已完成项目个数）×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14:paraId="04CCC7DC">
            <w:pPr>
              <w:widowControl/>
              <w:spacing w:line="240" w:lineRule="exact"/>
              <w:ind w:firstLine="420" w:firstLineChars="200"/>
              <w:jc w:val="left"/>
              <w:rPr>
                <w:szCs w:val="21"/>
              </w:rPr>
            </w:pPr>
            <w:r>
              <w:rPr>
                <w:rFonts w:hint="eastAsia" w:ascii="仿宋_GB2312" w:hAnsi="新宋体" w:eastAsia="仿宋_GB2312" w:cs="仿宋_GB2312"/>
                <w:kern w:val="0"/>
                <w:szCs w:val="21"/>
              </w:rPr>
              <w:t>项目质量达标是指项目决算验收合格。</w:t>
            </w:r>
          </w:p>
        </w:tc>
        <w:tc>
          <w:tcPr>
            <w:tcW w:w="2373" w:type="dxa"/>
            <w:tcBorders>
              <w:left w:val="single" w:color="auto" w:sz="4" w:space="0"/>
              <w:right w:val="single" w:color="auto" w:sz="4" w:space="0"/>
            </w:tcBorders>
            <w:vAlign w:val="center"/>
          </w:tcPr>
          <w:p w14:paraId="7306AA68">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项目质量达标率等于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14:paraId="43AC4FC3">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项目质量达标率小于或等于</w:t>
            </w:r>
            <w:r>
              <w:rPr>
                <w:rFonts w:ascii="仿宋_GB2312" w:hAnsi="新宋体" w:eastAsia="仿宋_GB2312" w:cs="仿宋_GB2312"/>
                <w:kern w:val="0"/>
                <w:szCs w:val="21"/>
              </w:rPr>
              <w:t>99%</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38308799">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项目质量达标率在</w:t>
            </w:r>
            <w:r>
              <w:rPr>
                <w:rFonts w:ascii="仿宋_GB2312" w:hAnsi="新宋体" w:eastAsia="仿宋_GB2312" w:cs="仿宋_GB2312"/>
                <w:kern w:val="0"/>
                <w:szCs w:val="21"/>
              </w:rPr>
              <w:t>99%-100%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14:paraId="2764BE0A">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［某部门项目质量达标率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（项目质量达标率）］×该指标分值。</w:t>
            </w:r>
          </w:p>
        </w:tc>
        <w:tc>
          <w:tcPr>
            <w:tcW w:w="764" w:type="dxa"/>
            <w:tcBorders>
              <w:left w:val="single" w:color="auto" w:sz="4" w:space="0"/>
              <w:bottom w:val="single" w:color="auto" w:sz="4" w:space="0"/>
            </w:tcBorders>
            <w:vAlign w:val="center"/>
          </w:tcPr>
          <w:p w14:paraId="4F47415C">
            <w:pPr>
              <w:widowControl/>
              <w:spacing w:line="240" w:lineRule="exact"/>
              <w:jc w:val="left"/>
              <w:rPr>
                <w:szCs w:val="21"/>
              </w:rPr>
            </w:pPr>
            <w:r>
              <w:rPr>
                <w:szCs w:val="21"/>
              </w:rPr>
              <w:t>15</w:t>
            </w:r>
          </w:p>
        </w:tc>
      </w:tr>
      <w:tr w14:paraId="075ED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14:paraId="3F3995CC">
            <w:pPr>
              <w:widowControl/>
              <w:spacing w:line="240" w:lineRule="exact"/>
              <w:ind w:firstLine="420" w:firstLineChars="200"/>
              <w:jc w:val="left"/>
              <w:rPr>
                <w:szCs w:val="21"/>
              </w:rPr>
            </w:pPr>
            <w:r>
              <w:rPr>
                <w:rFonts w:hint="eastAsia" w:ascii="仿宋_GB2312" w:hAnsi="新宋体" w:eastAsia="仿宋_GB2312" w:cs="仿宋_GB2312"/>
                <w:kern w:val="0"/>
                <w:szCs w:val="21"/>
              </w:rPr>
              <w:t>效果（</w:t>
            </w:r>
            <w:r>
              <w:rPr>
                <w:rFonts w:ascii="仿宋_GB2312" w:hAnsi="新宋体" w:eastAsia="仿宋_GB2312" w:cs="仿宋_GB2312"/>
                <w:kern w:val="0"/>
                <w:szCs w:val="21"/>
              </w:rPr>
              <w:t>20</w:t>
            </w:r>
            <w:r>
              <w:rPr>
                <w:rFonts w:hint="eastAsia" w:ascii="仿宋_GB2312" w:hAnsi="新宋体" w:eastAsia="仿宋_GB2312" w:cs="仿宋_GB2312"/>
                <w:kern w:val="0"/>
                <w:szCs w:val="21"/>
              </w:rPr>
              <w:t>分）</w:t>
            </w:r>
          </w:p>
        </w:tc>
        <w:tc>
          <w:tcPr>
            <w:tcW w:w="743" w:type="dxa"/>
            <w:vMerge w:val="restart"/>
            <w:tcBorders>
              <w:top w:val="single" w:color="auto" w:sz="4" w:space="0"/>
            </w:tcBorders>
            <w:vAlign w:val="center"/>
          </w:tcPr>
          <w:p w14:paraId="0F0292FB">
            <w:pPr>
              <w:widowControl/>
              <w:spacing w:line="240" w:lineRule="exact"/>
              <w:ind w:firstLine="420" w:firstLineChars="200"/>
              <w:jc w:val="left"/>
              <w:rPr>
                <w:rFonts w:ascii="仿宋_GB2312" w:hAnsi="新宋体" w:eastAsia="仿宋_GB2312" w:cs="仿宋_GB2312"/>
                <w:kern w:val="0"/>
                <w:szCs w:val="21"/>
              </w:rPr>
            </w:pPr>
          </w:p>
          <w:p w14:paraId="25A1CAD5">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2673D802">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20</w:t>
            </w:r>
            <w:r>
              <w:rPr>
                <w:rFonts w:hint="eastAsia" w:ascii="仿宋_GB2312" w:hAnsi="新宋体" w:eastAsia="仿宋_GB2312" w:cs="仿宋_GB2312"/>
                <w:kern w:val="0"/>
                <w:szCs w:val="21"/>
              </w:rPr>
              <w:t>分）</w:t>
            </w:r>
          </w:p>
        </w:tc>
        <w:tc>
          <w:tcPr>
            <w:tcW w:w="1275" w:type="dxa"/>
            <w:tcBorders>
              <w:right w:val="single" w:color="auto" w:sz="4" w:space="0"/>
            </w:tcBorders>
            <w:vAlign w:val="center"/>
          </w:tcPr>
          <w:p w14:paraId="4251AB4F">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经济效益</w:t>
            </w: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41C0729C">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107118B3">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通过部门所属企事业单位改革，促进了企事业单位效益增长情况；</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通过预算支出项目的实施，促进了行业生产能力增长，从而带动行业经济效益增长；</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通过预算支出项目的实施，有效提高劳动效率，节约成本费用；</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通过预算支出项目的实施，降低了损耗，从而提高了生产效益；</w:t>
            </w:r>
            <w:r>
              <w:rPr>
                <w:rFonts w:ascii="仿宋" w:hAnsi="仿宋" w:eastAsia="仿宋" w:cs="仿宋"/>
                <w:color w:val="000000"/>
                <w:kern w:val="0"/>
                <w:szCs w:val="21"/>
              </w:rPr>
              <w:br w:type="textWrapping"/>
            </w:r>
            <w:r>
              <w:rPr>
                <w:rFonts w:ascii="仿宋" w:hAnsi="仿宋" w:eastAsia="仿宋" w:cs="仿宋"/>
                <w:color w:val="000000"/>
                <w:kern w:val="0"/>
                <w:szCs w:val="21"/>
              </w:rPr>
              <w:t>5.</w:t>
            </w:r>
            <w:r>
              <w:rPr>
                <w:rFonts w:hint="eastAsia" w:ascii="仿宋" w:hAnsi="仿宋" w:eastAsia="仿宋" w:cs="仿宋"/>
                <w:color w:val="000000"/>
                <w:kern w:val="0"/>
                <w:szCs w:val="21"/>
              </w:rPr>
              <w:t>通过预算支出项目的实施，完善了突发情况的监测预警，保障了生产安全，降低了生产损失。</w:t>
            </w:r>
          </w:p>
        </w:tc>
        <w:tc>
          <w:tcPr>
            <w:tcW w:w="2373" w:type="dxa"/>
            <w:tcBorders>
              <w:left w:val="single" w:color="auto" w:sz="4" w:space="0"/>
              <w:right w:val="single" w:color="auto" w:sz="4" w:space="0"/>
            </w:tcBorders>
            <w:vAlign w:val="center"/>
          </w:tcPr>
          <w:p w14:paraId="27D8BFA6">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left w:val="single" w:color="auto" w:sz="4" w:space="0"/>
            </w:tcBorders>
            <w:vAlign w:val="center"/>
          </w:tcPr>
          <w:p w14:paraId="7D29A8C6">
            <w:pPr>
              <w:widowControl/>
              <w:spacing w:line="240" w:lineRule="exact"/>
              <w:ind w:firstLine="420" w:firstLineChars="200"/>
              <w:jc w:val="left"/>
              <w:rPr>
                <w:szCs w:val="21"/>
              </w:rPr>
            </w:pPr>
            <w:r>
              <w:rPr>
                <w:szCs w:val="21"/>
              </w:rPr>
              <w:t>5</w:t>
            </w:r>
          </w:p>
        </w:tc>
      </w:tr>
      <w:tr w14:paraId="267FF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0CD9196D">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vAlign w:val="center"/>
          </w:tcPr>
          <w:p w14:paraId="5D3CCE57">
            <w:pPr>
              <w:widowControl/>
              <w:spacing w:line="240" w:lineRule="exact"/>
              <w:ind w:firstLine="420" w:firstLineChars="200"/>
              <w:jc w:val="left"/>
              <w:rPr>
                <w:rFonts w:ascii="仿宋_GB2312" w:hAnsi="新宋体" w:eastAsia="仿宋_GB2312" w:cs="仿宋_GB2312"/>
                <w:kern w:val="0"/>
                <w:szCs w:val="21"/>
              </w:rPr>
            </w:pPr>
          </w:p>
        </w:tc>
        <w:tc>
          <w:tcPr>
            <w:tcW w:w="1275" w:type="dxa"/>
            <w:tcBorders>
              <w:right w:val="single" w:color="auto" w:sz="4" w:space="0"/>
            </w:tcBorders>
            <w:vAlign w:val="center"/>
          </w:tcPr>
          <w:p w14:paraId="2FBCFE07">
            <w:pPr>
              <w:widowControl/>
              <w:spacing w:line="240" w:lineRule="exact"/>
              <w:ind w:firstLine="420" w:firstLineChars="200"/>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w:t>
            </w:r>
            <w:r>
              <w:rPr>
                <w:rFonts w:ascii="仿宋_GB2312" w:hAnsi="新宋体" w:eastAsia="仿宋_GB2312" w:cs="仿宋_GB2312"/>
                <w:color w:val="000000"/>
                <w:kern w:val="0"/>
                <w:szCs w:val="21"/>
              </w:rPr>
              <w:t>5</w:t>
            </w:r>
            <w:r>
              <w:rPr>
                <w:rFonts w:hint="eastAsia" w:ascii="仿宋_GB2312" w:hAnsi="新宋体" w:eastAsia="仿宋_GB2312" w:cs="仿宋_GB2312"/>
                <w:color w:val="000000"/>
                <w:kern w:val="0"/>
                <w:szCs w:val="21"/>
              </w:rPr>
              <w:t>分）</w:t>
            </w:r>
          </w:p>
        </w:tc>
        <w:tc>
          <w:tcPr>
            <w:tcW w:w="3436" w:type="dxa"/>
            <w:tcBorders>
              <w:left w:val="single" w:color="auto" w:sz="4" w:space="0"/>
              <w:right w:val="single" w:color="auto" w:sz="4" w:space="0"/>
            </w:tcBorders>
            <w:vAlign w:val="center"/>
          </w:tcPr>
          <w:p w14:paraId="351B4450">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7535C7DE">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通过部门所属企事业单位的改革，促进了企事业单位可持续发展，带动就业增长情况；</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通过预算支出项目的实施，是否明显促进了行业精神文明建设；</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通过部门履职是否明显提高城乡居民生活水平，满足了人们日益增长的物质与文化生活需求；</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通过预算项目的实施，是否提高了劳动生产率，降低了劳动强度，促进了劳动人民的身心健康；</w:t>
            </w:r>
            <w:r>
              <w:rPr>
                <w:rFonts w:ascii="仿宋" w:hAnsi="仿宋" w:eastAsia="仿宋" w:cs="仿宋"/>
                <w:color w:val="000000"/>
                <w:kern w:val="0"/>
                <w:szCs w:val="21"/>
              </w:rPr>
              <w:br w:type="textWrapping"/>
            </w:r>
            <w:r>
              <w:rPr>
                <w:rFonts w:ascii="仿宋" w:hAnsi="仿宋" w:eastAsia="仿宋" w:cs="仿宋"/>
                <w:color w:val="000000"/>
                <w:kern w:val="0"/>
                <w:szCs w:val="21"/>
              </w:rPr>
              <w:t>5.</w:t>
            </w:r>
            <w:r>
              <w:rPr>
                <w:rFonts w:hint="eastAsia" w:ascii="仿宋" w:hAnsi="仿宋" w:eastAsia="仿宋" w:cs="仿宋"/>
                <w:color w:val="000000"/>
                <w:kern w:val="0"/>
                <w:szCs w:val="21"/>
              </w:rPr>
              <w:t>通过部门履职行业形象是否得到了大大提升了，增强了部门影响力。</w:t>
            </w:r>
          </w:p>
        </w:tc>
        <w:tc>
          <w:tcPr>
            <w:tcW w:w="2373" w:type="dxa"/>
            <w:tcBorders>
              <w:left w:val="single" w:color="auto" w:sz="4" w:space="0"/>
              <w:right w:val="single" w:color="auto" w:sz="4" w:space="0"/>
            </w:tcBorders>
            <w:vAlign w:val="center"/>
          </w:tcPr>
          <w:p w14:paraId="426AD9D0">
            <w:pPr>
              <w:widowControl/>
              <w:spacing w:line="240" w:lineRule="exact"/>
              <w:ind w:firstLine="420" w:firstLineChars="200"/>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left w:val="single" w:color="auto" w:sz="4" w:space="0"/>
            </w:tcBorders>
            <w:vAlign w:val="center"/>
          </w:tcPr>
          <w:p w14:paraId="18A433CC">
            <w:pPr>
              <w:widowControl/>
              <w:spacing w:line="240" w:lineRule="exact"/>
              <w:ind w:firstLine="420" w:firstLineChars="200"/>
              <w:jc w:val="left"/>
              <w:rPr>
                <w:szCs w:val="21"/>
              </w:rPr>
            </w:pPr>
            <w:r>
              <w:rPr>
                <w:szCs w:val="21"/>
              </w:rPr>
              <w:t>5</w:t>
            </w:r>
          </w:p>
        </w:tc>
      </w:tr>
      <w:tr w14:paraId="63C9C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6E0327E3">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vAlign w:val="center"/>
          </w:tcPr>
          <w:p w14:paraId="0A2A87D3">
            <w:pPr>
              <w:widowControl/>
              <w:spacing w:line="240" w:lineRule="exact"/>
              <w:ind w:firstLine="420" w:firstLineChars="200"/>
              <w:jc w:val="left"/>
              <w:rPr>
                <w:rFonts w:ascii="仿宋_GB2312" w:hAnsi="新宋体" w:eastAsia="仿宋_GB2312" w:cs="仿宋_GB2312"/>
                <w:kern w:val="0"/>
                <w:szCs w:val="21"/>
              </w:rPr>
            </w:pPr>
          </w:p>
        </w:tc>
        <w:tc>
          <w:tcPr>
            <w:tcW w:w="1275" w:type="dxa"/>
            <w:tcBorders>
              <w:right w:val="single" w:color="auto" w:sz="4" w:space="0"/>
            </w:tcBorders>
            <w:vAlign w:val="center"/>
          </w:tcPr>
          <w:p w14:paraId="51FAE663">
            <w:pPr>
              <w:widowControl/>
              <w:spacing w:line="240" w:lineRule="exact"/>
              <w:ind w:firstLine="420" w:firstLineChars="200"/>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w:t>
            </w:r>
            <w:r>
              <w:rPr>
                <w:rFonts w:ascii="仿宋_GB2312" w:hAnsi="新宋体" w:eastAsia="仿宋_GB2312" w:cs="仿宋_GB2312"/>
                <w:color w:val="000000"/>
                <w:kern w:val="0"/>
                <w:szCs w:val="21"/>
              </w:rPr>
              <w:t>5</w:t>
            </w:r>
            <w:r>
              <w:rPr>
                <w:rFonts w:hint="eastAsia" w:ascii="仿宋_GB2312" w:hAnsi="新宋体" w:eastAsia="仿宋_GB2312" w:cs="仿宋_GB2312"/>
                <w:color w:val="000000"/>
                <w:kern w:val="0"/>
                <w:szCs w:val="21"/>
              </w:rPr>
              <w:t>分）</w:t>
            </w:r>
          </w:p>
        </w:tc>
        <w:tc>
          <w:tcPr>
            <w:tcW w:w="3436" w:type="dxa"/>
            <w:tcBorders>
              <w:left w:val="single" w:color="auto" w:sz="4" w:space="0"/>
              <w:right w:val="single" w:color="auto" w:sz="4" w:space="0"/>
            </w:tcBorders>
            <w:vAlign w:val="center"/>
          </w:tcPr>
          <w:p w14:paraId="759480E6">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405FC82D">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通过预算支出项目的实施，绿色、节能环保新技术的应用和推广，明显带动各环节的节能减排，也具有一定的环境效益；</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通过履职有效地控制虚假、伪劣、霉变等劣质产品进入市场，影响了人民生活质量，净化地市场环境；</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通过预算支出项目的实施，是否达到减少污染物排放；</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通过预算支出项目的实施，周围环境得到了整治，面貌得到了改善。</w:t>
            </w:r>
          </w:p>
        </w:tc>
        <w:tc>
          <w:tcPr>
            <w:tcW w:w="2373" w:type="dxa"/>
            <w:tcBorders>
              <w:left w:val="single" w:color="auto" w:sz="4" w:space="0"/>
              <w:right w:val="single" w:color="auto" w:sz="4" w:space="0"/>
            </w:tcBorders>
            <w:vAlign w:val="center"/>
          </w:tcPr>
          <w:p w14:paraId="2979E6E1">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left w:val="single" w:color="auto" w:sz="4" w:space="0"/>
            </w:tcBorders>
            <w:vAlign w:val="center"/>
          </w:tcPr>
          <w:p w14:paraId="05ADF75F">
            <w:pPr>
              <w:widowControl/>
              <w:spacing w:line="240" w:lineRule="exact"/>
              <w:ind w:firstLine="420" w:firstLineChars="200"/>
              <w:jc w:val="left"/>
              <w:rPr>
                <w:szCs w:val="21"/>
              </w:rPr>
            </w:pPr>
            <w:r>
              <w:rPr>
                <w:szCs w:val="21"/>
              </w:rPr>
              <w:t>5</w:t>
            </w:r>
          </w:p>
        </w:tc>
      </w:tr>
      <w:tr w14:paraId="05881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610230FD">
            <w:pPr>
              <w:spacing w:line="240" w:lineRule="exact"/>
              <w:ind w:firstLine="420" w:firstLineChars="200"/>
              <w:rPr>
                <w:rFonts w:ascii="宋体"/>
                <w:szCs w:val="21"/>
              </w:rPr>
            </w:pPr>
          </w:p>
        </w:tc>
        <w:tc>
          <w:tcPr>
            <w:tcW w:w="743" w:type="dxa"/>
            <w:vMerge w:val="continue"/>
            <w:tcBorders>
              <w:bottom w:val="single" w:color="auto" w:sz="4" w:space="0"/>
            </w:tcBorders>
            <w:vAlign w:val="center"/>
          </w:tcPr>
          <w:p w14:paraId="57253093">
            <w:pPr>
              <w:widowControl/>
              <w:spacing w:line="240" w:lineRule="exact"/>
              <w:ind w:firstLine="420" w:firstLineChars="200"/>
              <w:jc w:val="left"/>
              <w:rPr>
                <w:szCs w:val="21"/>
              </w:rPr>
            </w:pPr>
          </w:p>
        </w:tc>
        <w:tc>
          <w:tcPr>
            <w:tcW w:w="1275" w:type="dxa"/>
            <w:tcBorders>
              <w:right w:val="single" w:color="auto" w:sz="4" w:space="0"/>
            </w:tcBorders>
            <w:vAlign w:val="center"/>
          </w:tcPr>
          <w:p w14:paraId="5D5880DB">
            <w:pPr>
              <w:widowControl/>
              <w:spacing w:line="240" w:lineRule="exact"/>
              <w:ind w:firstLine="420" w:firstLineChars="200"/>
              <w:jc w:val="left"/>
              <w:rPr>
                <w:szCs w:val="21"/>
              </w:rPr>
            </w:pPr>
            <w:r>
              <w:rPr>
                <w:rFonts w:hint="eastAsia" w:ascii="仿宋_GB2312" w:hAnsi="新宋体" w:eastAsia="仿宋_GB2312" w:cs="仿宋_GB2312"/>
                <w:kern w:val="0"/>
                <w:szCs w:val="21"/>
              </w:rPr>
              <w:t>服务对象满意度（</w:t>
            </w:r>
            <w:r>
              <w:rPr>
                <w:rFonts w:ascii="仿宋_GB2312" w:hAnsi="新宋体" w:eastAsia="仿宋_GB2312" w:cs="仿宋_GB2312"/>
                <w:kern w:val="0"/>
                <w:szCs w:val="21"/>
              </w:rPr>
              <w:t>5</w:t>
            </w:r>
            <w:r>
              <w:rPr>
                <w:rFonts w:hint="eastAsia" w:ascii="仿宋_GB2312" w:hAnsi="新宋体" w:eastAsia="仿宋_GB2312" w:cs="仿宋_GB2312"/>
                <w:kern w:val="0"/>
                <w:szCs w:val="21"/>
              </w:rPr>
              <w:t>）</w:t>
            </w:r>
          </w:p>
        </w:tc>
        <w:tc>
          <w:tcPr>
            <w:tcW w:w="3436" w:type="dxa"/>
            <w:tcBorders>
              <w:left w:val="single" w:color="auto" w:sz="4" w:space="0"/>
              <w:right w:val="single" w:color="auto" w:sz="4" w:space="0"/>
            </w:tcBorders>
            <w:vAlign w:val="center"/>
          </w:tcPr>
          <w:p w14:paraId="08EAA53D">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left w:val="single" w:color="auto" w:sz="4" w:space="0"/>
              <w:right w:val="single" w:color="auto" w:sz="4" w:space="0"/>
            </w:tcBorders>
            <w:vAlign w:val="center"/>
          </w:tcPr>
          <w:p w14:paraId="55B2583A">
            <w:pPr>
              <w:widowControl/>
              <w:spacing w:line="240" w:lineRule="exact"/>
              <w:ind w:firstLine="420" w:firstLineChars="200"/>
              <w:rPr>
                <w:rFonts w:ascii="仿宋" w:hAnsi="仿宋" w:eastAsia="仿宋" w:cs="宋体"/>
                <w:kern w:val="0"/>
                <w:szCs w:val="21"/>
              </w:rPr>
            </w:pPr>
            <w:r>
              <w:rPr>
                <w:rFonts w:hint="eastAsia" w:ascii="仿宋" w:hAnsi="仿宋" w:eastAsia="仿宋" w:cs="Arial"/>
                <w:kern w:val="0"/>
                <w:szCs w:val="21"/>
              </w:rPr>
              <w:t>按照满意度调查的优秀、良好、合格、不合格给予该项指标打分：</w:t>
            </w:r>
          </w:p>
          <w:p w14:paraId="68F3B928">
            <w:pPr>
              <w:widowControl/>
              <w:spacing w:line="240" w:lineRule="exact"/>
              <w:ind w:firstLine="420" w:firstLineChars="200"/>
              <w:rPr>
                <w:szCs w:val="21"/>
              </w:rPr>
            </w:pPr>
            <w:r>
              <w:rPr>
                <w:rFonts w:hint="eastAsia" w:ascii="仿宋" w:hAnsi="仿宋" w:eastAsia="仿宋" w:cs="Arial"/>
                <w:kern w:val="0"/>
                <w:szCs w:val="21"/>
              </w:rPr>
              <w:t>优秀（</w:t>
            </w:r>
            <w:r>
              <w:rPr>
                <w:rFonts w:ascii="仿宋" w:hAnsi="仿宋" w:eastAsia="仿宋" w:cs="Arial"/>
                <w:kern w:val="0"/>
                <w:szCs w:val="21"/>
              </w:rPr>
              <w:t>5</w:t>
            </w:r>
            <w:r>
              <w:rPr>
                <w:rFonts w:hint="eastAsia" w:ascii="仿宋" w:hAnsi="仿宋" w:eastAsia="仿宋" w:cs="Arial"/>
                <w:kern w:val="0"/>
                <w:szCs w:val="21"/>
              </w:rPr>
              <w:t>）；良好（</w:t>
            </w:r>
            <w:r>
              <w:rPr>
                <w:rFonts w:ascii="仿宋" w:hAnsi="仿宋" w:eastAsia="仿宋" w:cs="Arial"/>
                <w:kern w:val="0"/>
                <w:szCs w:val="21"/>
              </w:rPr>
              <w:t>3</w:t>
            </w:r>
            <w:r>
              <w:rPr>
                <w:rFonts w:hint="eastAsia" w:ascii="仿宋" w:hAnsi="仿宋" w:eastAsia="仿宋" w:cs="Arial"/>
                <w:kern w:val="0"/>
                <w:szCs w:val="21"/>
              </w:rPr>
              <w:t>）；合格（</w:t>
            </w:r>
            <w:r>
              <w:rPr>
                <w:rFonts w:ascii="仿宋" w:hAnsi="仿宋" w:eastAsia="仿宋" w:cs="Arial"/>
                <w:kern w:val="0"/>
                <w:szCs w:val="21"/>
              </w:rPr>
              <w:t>1</w:t>
            </w:r>
            <w:r>
              <w:rPr>
                <w:rFonts w:hint="eastAsia" w:ascii="仿宋" w:hAnsi="仿宋" w:eastAsia="仿宋" w:cs="Arial"/>
                <w:kern w:val="0"/>
                <w:szCs w:val="21"/>
              </w:rPr>
              <w:t>）；不合格（</w:t>
            </w:r>
            <w:r>
              <w:rPr>
                <w:rFonts w:ascii="仿宋" w:hAnsi="仿宋" w:eastAsia="仿宋" w:cs="Arial"/>
                <w:kern w:val="0"/>
                <w:szCs w:val="21"/>
              </w:rPr>
              <w:t>0</w:t>
            </w:r>
            <w:r>
              <w:rPr>
                <w:rFonts w:hint="eastAsia" w:ascii="仿宋" w:hAnsi="仿宋" w:eastAsia="仿宋" w:cs="Arial"/>
                <w:kern w:val="0"/>
                <w:szCs w:val="21"/>
              </w:rPr>
              <w:t>）。</w:t>
            </w:r>
          </w:p>
        </w:tc>
        <w:tc>
          <w:tcPr>
            <w:tcW w:w="764" w:type="dxa"/>
            <w:tcBorders>
              <w:left w:val="single" w:color="auto" w:sz="4" w:space="0"/>
            </w:tcBorders>
            <w:vAlign w:val="center"/>
          </w:tcPr>
          <w:p w14:paraId="054B82DA">
            <w:pPr>
              <w:widowControl/>
              <w:spacing w:line="240" w:lineRule="exact"/>
              <w:ind w:firstLine="420" w:firstLineChars="200"/>
              <w:jc w:val="left"/>
              <w:rPr>
                <w:szCs w:val="21"/>
              </w:rPr>
            </w:pPr>
            <w:r>
              <w:rPr>
                <w:szCs w:val="21"/>
              </w:rPr>
              <w:t>5</w:t>
            </w:r>
          </w:p>
        </w:tc>
      </w:tr>
    </w:tbl>
    <w:p w14:paraId="78C9D390">
      <w:pPr>
        <w:spacing w:line="240" w:lineRule="exact"/>
        <w:ind w:firstLine="640" w:firstLineChars="200"/>
        <w:rPr>
          <w:rFonts w:ascii="仿宋" w:hAnsi="仿宋" w:eastAsia="仿宋" w:cs="仿宋"/>
          <w:sz w:val="32"/>
          <w:szCs w:val="32"/>
        </w:rPr>
      </w:pPr>
    </w:p>
    <w:p w14:paraId="23CD29FF">
      <w:pPr>
        <w:spacing w:line="240" w:lineRule="exact"/>
        <w:ind w:firstLine="640" w:firstLineChars="200"/>
        <w:rPr>
          <w:rFonts w:ascii="仿宋" w:hAnsi="仿宋" w:eastAsia="仿宋" w:cs="仿宋"/>
          <w:sz w:val="32"/>
          <w:szCs w:val="32"/>
        </w:rPr>
      </w:pPr>
    </w:p>
    <w:p w14:paraId="7572C07B">
      <w:pPr>
        <w:spacing w:line="240" w:lineRule="exact"/>
        <w:ind w:firstLine="640" w:firstLineChars="200"/>
        <w:rPr>
          <w:rFonts w:ascii="仿宋" w:hAnsi="仿宋" w:eastAsia="仿宋" w:cs="仿宋"/>
          <w:sz w:val="32"/>
          <w:szCs w:val="32"/>
        </w:rPr>
      </w:pPr>
    </w:p>
    <w:p w14:paraId="2401800A">
      <w:pPr>
        <w:ind w:firstLine="602" w:firstLineChars="200"/>
        <w:rPr>
          <w:rFonts w:ascii="仿宋" w:hAnsi="仿宋" w:eastAsia="仿宋" w:cs="仿宋"/>
          <w:b/>
          <w:bCs/>
          <w:sz w:val="30"/>
          <w:szCs w:val="30"/>
        </w:rPr>
      </w:pPr>
    </w:p>
    <w:p w14:paraId="23991C37">
      <w:pPr>
        <w:ind w:firstLine="602" w:firstLineChars="200"/>
        <w:rPr>
          <w:rFonts w:ascii="仿宋" w:hAnsi="仿宋" w:eastAsia="仿宋" w:cs="仿宋"/>
          <w:b/>
          <w:bCs/>
          <w:sz w:val="30"/>
          <w:szCs w:val="30"/>
        </w:rPr>
      </w:pPr>
    </w:p>
    <w:p w14:paraId="7F6F2E04">
      <w:pPr>
        <w:ind w:firstLine="602" w:firstLineChars="200"/>
        <w:rPr>
          <w:rFonts w:ascii="仿宋" w:hAnsi="仿宋" w:eastAsia="仿宋" w:cs="仿宋"/>
          <w:b/>
          <w:bCs/>
          <w:sz w:val="30"/>
          <w:szCs w:val="30"/>
        </w:rPr>
      </w:pPr>
    </w:p>
    <w:p w14:paraId="14C0F56D">
      <w:pPr>
        <w:ind w:firstLine="602" w:firstLineChars="200"/>
        <w:rPr>
          <w:rFonts w:ascii="仿宋" w:hAnsi="仿宋" w:eastAsia="仿宋" w:cs="仿宋"/>
          <w:b/>
          <w:bCs/>
          <w:sz w:val="30"/>
          <w:szCs w:val="30"/>
        </w:rPr>
      </w:pPr>
    </w:p>
    <w:p w14:paraId="0DEAB8D2">
      <w:pPr>
        <w:ind w:firstLine="602" w:firstLineChars="200"/>
        <w:rPr>
          <w:rFonts w:ascii="仿宋" w:hAnsi="仿宋" w:eastAsia="仿宋" w:cs="仿宋"/>
          <w:b/>
          <w:bCs/>
          <w:sz w:val="30"/>
          <w:szCs w:val="30"/>
        </w:rPr>
      </w:pPr>
    </w:p>
    <w:p w14:paraId="78292EED">
      <w:pPr>
        <w:ind w:firstLine="602" w:firstLineChars="200"/>
        <w:rPr>
          <w:rFonts w:ascii="仿宋" w:hAnsi="仿宋" w:eastAsia="仿宋" w:cs="仿宋"/>
          <w:b/>
          <w:bCs/>
          <w:sz w:val="30"/>
          <w:szCs w:val="30"/>
        </w:rPr>
      </w:pPr>
    </w:p>
    <w:p w14:paraId="5B877113">
      <w:pPr>
        <w:ind w:firstLine="602" w:firstLineChars="200"/>
        <w:rPr>
          <w:rFonts w:ascii="仿宋" w:hAnsi="仿宋" w:eastAsia="仿宋" w:cs="仿宋"/>
          <w:b/>
          <w:bCs/>
          <w:sz w:val="30"/>
          <w:szCs w:val="30"/>
        </w:rPr>
      </w:pPr>
    </w:p>
    <w:p w14:paraId="3FF0107B">
      <w:pPr>
        <w:ind w:firstLine="1316" w:firstLineChars="298"/>
        <w:rPr>
          <w:rFonts w:ascii="仿宋" w:hAnsi="仿宋" w:eastAsia="仿宋" w:cs="仿宋"/>
          <w:b/>
          <w:bCs/>
          <w:sz w:val="44"/>
          <w:szCs w:val="44"/>
        </w:rPr>
      </w:pPr>
      <w:r>
        <w:rPr>
          <w:rFonts w:hint="eastAsia" w:ascii="仿宋" w:hAnsi="仿宋" w:eastAsia="仿宋" w:cs="仿宋"/>
          <w:b/>
          <w:bCs/>
          <w:sz w:val="44"/>
          <w:szCs w:val="44"/>
        </w:rPr>
        <w:t>节固中心整体支出绩效评价报告</w:t>
      </w:r>
    </w:p>
    <w:p w14:paraId="09A8027F">
      <w:pPr>
        <w:ind w:firstLine="643" w:firstLineChars="200"/>
        <w:rPr>
          <w:rFonts w:ascii="仿宋" w:hAnsi="仿宋" w:eastAsia="仿宋" w:cs="仿宋"/>
          <w:b/>
          <w:sz w:val="32"/>
          <w:szCs w:val="32"/>
        </w:rPr>
      </w:pPr>
      <w:r>
        <w:rPr>
          <w:rFonts w:hint="eastAsia" w:ascii="仿宋" w:hAnsi="仿宋" w:eastAsia="仿宋" w:cs="仿宋"/>
          <w:b/>
          <w:sz w:val="32"/>
          <w:szCs w:val="32"/>
        </w:rPr>
        <w:t>一、基本概况。</w:t>
      </w:r>
    </w:p>
    <w:p w14:paraId="30F028B5">
      <w:pPr>
        <w:ind w:firstLine="643"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14:paraId="3D361638">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平乡县节固中心小学隶属于平乡县教育局，主要职责是实施小学义务教育，促进学生德智体美劳全面发展。学校编制114人，2020年实有教职工86人，26个教学班，学生1061人。</w:t>
      </w:r>
    </w:p>
    <w:p w14:paraId="4F0CB4AA">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学校加强基础教育，以推进义务教育均衡发展为重点，深入推进基础教育教学改革，切实减轻中小学生的课业负担，加强中小学德育教育工作，全面实施素质教育。加强公共文化服务体系建设，推动全民健身，推进青少年体育工作，构建多元化体育服务体系。</w:t>
      </w:r>
    </w:p>
    <w:p w14:paraId="18A9EDBD">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14:paraId="73466EB9">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（二）负责学校教育的统筹规划和协调管理，组织实施设置标准，指导学校的教育教学改革，负责教育基本信息的统计、分析和发布。</w:t>
      </w:r>
    </w:p>
    <w:p w14:paraId="5AE96C1C">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（三）综合管理教师队伍建设的中长期规划及教师培养、培训的政策、规划制定和组织实施工作</w:t>
      </w:r>
    </w:p>
    <w:p w14:paraId="79928E31">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（四）负责推进并指导学校的教育教学改革和科研工作；负责全面实施素质教育，提高教学质量和水平。</w:t>
      </w:r>
    </w:p>
    <w:p w14:paraId="3F6792BE">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（五）负责指导学校的教育督导工作，负责并指导基础教育发展水平、质量的监测工作；负责组织指导学校的招生考试工作。</w:t>
      </w:r>
    </w:p>
    <w:p w14:paraId="7D196F6B">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（六）负责管理本部门教育经费和上级拨教育经费并对各项经费使用情况；监测教育经费（含人员经费）的投入和执行情况；实施对家庭困难学生的资助工作。</w:t>
      </w:r>
    </w:p>
    <w:p w14:paraId="1024288F">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（七）执行上级制定教育系统劳动工资及人事管理工作的有关方案和规章制度。</w:t>
      </w:r>
    </w:p>
    <w:p w14:paraId="223E2E92">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区教育系统及各级各类学校的法制建设和安全稳定工作的监督管理；负责管理并指导中小学心理健康教育工作。</w:t>
      </w:r>
    </w:p>
    <w:p w14:paraId="2A56B6C3">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（九）负责实施教师继续教育和专业技术职务资格评审的有关工作，指导教师资格证制度的实施和抓好教育系统人才队伍建设。</w:t>
      </w:r>
    </w:p>
    <w:p w14:paraId="37E93FF3">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（十）负责学区内社会力量办学的中小学幼儿园的监督管理及小学幼儿园的考察、审批、督查和管理工作；负责学校学籍管理工作；负责辖区青少年学生校外教育活动的管理工作。</w:t>
      </w:r>
    </w:p>
    <w:p w14:paraId="4059F784">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（十一）负责规划、指导学区教育教学工作；根据教学大纲，落实学科教学计划，负责教学常规管理、课程改革和教育教学改革试点及推广工作。</w:t>
      </w:r>
    </w:p>
    <w:p w14:paraId="04DF4C40">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（十二）负责和申报资金，改善学区学校教学条件、教学装备信息化建设；实施教育资源库和学校校园网站建设。</w:t>
      </w:r>
    </w:p>
    <w:p w14:paraId="14809616">
      <w:pPr>
        <w:ind w:firstLine="643"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14:paraId="1CB322CE">
      <w:pPr>
        <w:spacing w:line="600" w:lineRule="exact"/>
        <w:ind w:firstLine="640" w:firstLineChars="20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学区教育系统将全面贯彻十九大精神和省、市、县重大决策部署，以习近平新时代中国特色社会主义思想为指导，贯彻党的教育方针，落实“立德树人”根本任务，纵深推进教育改革，提升教育品质，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为实现“小县办大教育”的目标、奠定坚实基础。</w:t>
      </w:r>
    </w:p>
    <w:p w14:paraId="2A05567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（一）、着力加强党的领导，统领教育各项工作</w:t>
      </w:r>
    </w:p>
    <w:p w14:paraId="3F2C2277">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w:t>
      </w:r>
      <w:r>
        <w:rPr>
          <w:rFonts w:hint="eastAsia" w:ascii="仿宋" w:hAnsi="仿宋" w:eastAsia="仿宋" w:cs="仿宋"/>
          <w:sz w:val="32"/>
          <w:szCs w:val="32"/>
          <w:lang w:eastAsia="zh-CN"/>
        </w:rPr>
        <w:t>“不忘初心、牢记使命”主题教育</w:t>
      </w:r>
      <w:r>
        <w:rPr>
          <w:rFonts w:hint="eastAsia" w:ascii="仿宋" w:hAnsi="仿宋" w:eastAsia="仿宋" w:cs="仿宋"/>
          <w:sz w:val="32"/>
          <w:szCs w:val="32"/>
        </w:rPr>
        <w:t>，广泛开展十九大精神进校园等系列活动，坚持在“学懂”“弄通”“做实”上狠下功夫，深刻领会十九大精神实质，理清发展思路，明确奋斗目标，狠抓工作落实。</w:t>
      </w:r>
    </w:p>
    <w:p w14:paraId="5FD3308E">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规范党的组织建设。规范学校党支部设置，配强党务干部，倡导书记、校长“一肩挑”。建立党组织书记任职备案制度，学区（学校）党组织书记由局党组（党总支）任免。</w:t>
      </w:r>
      <w:r>
        <w:rPr>
          <w:rFonts w:ascii="仿宋" w:hAnsi="仿宋" w:eastAsia="仿宋" w:cs="仿宋"/>
          <w:sz w:val="32"/>
          <w:szCs w:val="32"/>
        </w:rPr>
        <w:br w:type="textWrapping"/>
      </w:r>
      <w:r>
        <w:rPr>
          <w:rFonts w:ascii="仿宋" w:hAnsi="仿宋" w:eastAsia="仿宋" w:cs="仿宋"/>
          <w:sz w:val="32"/>
          <w:szCs w:val="32"/>
        </w:rPr>
        <w:t xml:space="preserve">    3.</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w:t>
      </w:r>
      <w:r>
        <w:rPr>
          <w:rFonts w:hint="eastAsia" w:ascii="仿宋" w:hAnsi="仿宋" w:eastAsia="仿宋" w:cs="仿宋"/>
          <w:sz w:val="32"/>
          <w:szCs w:val="32"/>
        </w:rPr>
        <w:t>规范党建制度建设。一是规范学习教育制度。制定年度学习教育计划，党员每参加党组织举办的集中性学习活动。建立健全学习培训档案，全面准确记录党员学习培训情况。二是规范发展党员制度。严格贯彻党员发展制度，严把“入口”关，规范入党发展对象、入党积极分子、预备党员保持比例，推进党员后备力量建设。三是党员示范岗制度。党组织要在教室、办公室、公益活动中合理设置党员示范岗，充分发挥基层党组织的战斗堡垒和党员的先锋模范作用，引领学校正风正气。</w:t>
      </w:r>
    </w:p>
    <w:p w14:paraId="1D65F292">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狠抓党风廉政建设。认真落实党风廉政建设责任制，深化廉政风险防控机制建设工作，健全廉政风险防控体系，实现重点领域、关键环节和重点岗位廉政监管全覆盖。严格执行“中央八项规定”和省、市、县有关规定，进一步开展廉洁文化进校园活动，继续推进教育系统纠正“四风”专项整治，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14:paraId="3A17828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（二）、奋力补齐发展短板，不断优化教育体系</w:t>
      </w:r>
    </w:p>
    <w:p w14:paraId="624A10C4">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学区幼儿教师业务素质得到新的提高。二是继续加强对幼儿园的管理和督导检查，使我学区学前教育小学化倾向得到改善，保教水平得到明显提高；三是开展好“自制玩教具评比”“优质课观摩”等活动</w:t>
      </w:r>
      <w:r>
        <w:rPr>
          <w:rFonts w:ascii="仿宋" w:hAnsi="仿宋" w:eastAsia="仿宋" w:cs="仿宋"/>
          <w:sz w:val="32"/>
          <w:szCs w:val="32"/>
        </w:rPr>
        <w:t>;</w:t>
      </w:r>
    </w:p>
    <w:p w14:paraId="20954D2F">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推进义务教育优质均衡发展。以迎接教育部对我单位义务教育基本均衡县复核认定为契机，加快推进县域内城乡义务教育一体化进程，通过区域内资源共享、优势互补，缩小差距、校际差距，整体提升义务教育办学条件和教育质量，推进义务教育优质均衡发展。继续克服困难，努力改善办学条件，以及现有校舍的维修改造。做好留守儿童关爱及随迁子女就学保障工作，促进教育公平。</w:t>
      </w:r>
    </w:p>
    <w:p w14:paraId="5CFA325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（三）、深入推进教育改革，全面提高教育质量</w:t>
      </w:r>
    </w:p>
    <w:p w14:paraId="0E61BCF6">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加强中小学学校管理工作。以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学校建设。发挥先进单位引领作用，带动学区学校面貌和管理水平全面提升。打造一批亮点学校。</w:t>
      </w:r>
    </w:p>
    <w:p w14:paraId="21C6AEFB">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持之以恒抓两支队伍建设。严格队伍管理，加强师德师风建设，强化师资培训，缩小教师的教学水平差距，提高队伍整体素质。</w:t>
      </w:r>
    </w:p>
    <w:p w14:paraId="46E7D658">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14:paraId="672A6C4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（四）、抓好德育管理和活动育人，贯彻立德树人根本任务</w:t>
      </w:r>
    </w:p>
    <w:p w14:paraId="76E2C733">
      <w:pPr>
        <w:spacing w:line="600"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14:paraId="2C5BDDFE">
      <w:pPr>
        <w:spacing w:line="600"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w:t>
      </w:r>
    </w:p>
    <w:p w14:paraId="0AB00611">
      <w:pPr>
        <w:spacing w:line="600" w:lineRule="exact"/>
        <w:ind w:firstLine="640" w:firstLineChars="2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着力减轻学生过重课业负担。落实中央提出的“着力解决中小学生课业负担重，大班额等突出问题”的要求，坚决遏制极少数教师热衷课外家教，加重学生和家长负担、谋取不当利益的行为。</w:t>
      </w:r>
    </w:p>
    <w:p w14:paraId="282541C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（五）、大力保障教育民生，不断提升公共服务水平</w:t>
      </w:r>
    </w:p>
    <w:p w14:paraId="5758E338">
      <w:pPr>
        <w:spacing w:line="600" w:lineRule="exact"/>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完善基本公共服务。落实义务教育经费保障机制，保障学校正常运转。全面实行义务教育学生营养改善计划，确保食品安全。全面落实各项资助政策，认真做好控辍保学，确保各项教育指标达到要求。继续做好各类学生资助工作，认真做好各项教育资助的告知、审核、公示、发放等工作，确保应助尽助。</w:t>
      </w:r>
    </w:p>
    <w:p w14:paraId="649964F8">
      <w:pPr>
        <w:spacing w:line="600" w:lineRule="exact"/>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保障校园平安稳定。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14:paraId="2B7D761C">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14:paraId="414F9F60">
      <w:pPr>
        <w:pStyle w:val="8"/>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ascii="仿宋" w:hAnsi="仿宋" w:eastAsia="仿宋" w:cs="仿宋"/>
          <w:kern w:val="2"/>
          <w:sz w:val="32"/>
          <w:szCs w:val="32"/>
        </w:rPr>
        <w:t>20</w:t>
      </w:r>
      <w:r>
        <w:rPr>
          <w:rFonts w:hint="eastAsia" w:ascii="仿宋" w:hAnsi="仿宋" w:eastAsia="仿宋" w:cs="仿宋"/>
          <w:kern w:val="2"/>
          <w:sz w:val="32"/>
          <w:szCs w:val="32"/>
        </w:rPr>
        <w:t>20年，我学区按照省市县的考核要求，积极开展预算绩效管理工作，实现预算绩效管理全过程化。</w:t>
      </w:r>
    </w:p>
    <w:p w14:paraId="02797090">
      <w:pPr>
        <w:pStyle w:val="19"/>
        <w:ind w:firstLine="643"/>
        <w:rPr>
          <w:rFonts w:ascii="仿宋" w:hAnsi="仿宋" w:eastAsia="仿宋" w:cs="仿宋"/>
          <w:b/>
          <w:sz w:val="32"/>
          <w:szCs w:val="32"/>
        </w:rPr>
      </w:pPr>
      <w:r>
        <w:rPr>
          <w:rFonts w:hint="eastAsia" w:ascii="仿宋" w:hAnsi="仿宋" w:eastAsia="仿宋" w:cs="仿宋"/>
          <w:b/>
          <w:sz w:val="32"/>
          <w:szCs w:val="32"/>
        </w:rPr>
        <w:t>三、预算资金安排及资金支出情况。</w:t>
      </w:r>
    </w:p>
    <w:p w14:paraId="1B594EFB">
      <w:pPr>
        <w:pStyle w:val="19"/>
        <w:ind w:firstLine="640"/>
        <w:rPr>
          <w:rFonts w:ascii="仿宋" w:hAnsi="仿宋" w:eastAsia="仿宋" w:cs="仿宋"/>
          <w:sz w:val="32"/>
          <w:szCs w:val="32"/>
        </w:rPr>
      </w:pPr>
      <w:r>
        <w:rPr>
          <w:rFonts w:hint="eastAsia" w:ascii="仿宋" w:hAnsi="仿宋" w:eastAsia="仿宋" w:cs="仿宋"/>
          <w:sz w:val="32"/>
          <w:szCs w:val="32"/>
        </w:rPr>
        <w:t>2020年教育预算资金安排共计956.2708万元，其中一、一般公共预算财政拨款956.2708万元，；支出956.2708万元，其中工资福利支出781.98.27万元，商品和服务支出174.2881 万元，资本性支出</w:t>
      </w:r>
      <w:r>
        <w:rPr>
          <w:rFonts w:ascii="仿宋" w:hAnsi="仿宋" w:eastAsia="仿宋" w:cs="仿宋"/>
          <w:sz w:val="32"/>
          <w:szCs w:val="32"/>
        </w:rPr>
        <w:t>0</w:t>
      </w:r>
      <w:r>
        <w:rPr>
          <w:rFonts w:hint="eastAsia" w:ascii="仿宋" w:hAnsi="仿宋" w:eastAsia="仿宋" w:cs="仿宋"/>
          <w:sz w:val="32"/>
          <w:szCs w:val="32"/>
        </w:rPr>
        <w:t>万元。</w:t>
      </w:r>
    </w:p>
    <w:p w14:paraId="094092DE">
      <w:pPr>
        <w:ind w:left="640"/>
        <w:rPr>
          <w:rFonts w:ascii="仿宋" w:hAnsi="仿宋" w:eastAsia="仿宋" w:cs="仿宋"/>
          <w:b/>
          <w:sz w:val="32"/>
          <w:szCs w:val="32"/>
        </w:rPr>
      </w:pPr>
      <w:r>
        <w:rPr>
          <w:rFonts w:hint="eastAsia" w:ascii="仿宋" w:hAnsi="仿宋" w:eastAsia="仿宋" w:cs="仿宋"/>
          <w:b/>
          <w:sz w:val="32"/>
          <w:szCs w:val="32"/>
        </w:rPr>
        <w:t>四、各项绩效目标的实现程度</w:t>
      </w:r>
    </w:p>
    <w:p w14:paraId="4D1EEB6C">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14:paraId="57680904">
      <w:pPr>
        <w:ind w:left="643"/>
        <w:rPr>
          <w:rFonts w:ascii="仿宋" w:hAnsi="仿宋" w:eastAsia="仿宋" w:cs="仿宋"/>
          <w:b/>
          <w:sz w:val="32"/>
          <w:szCs w:val="32"/>
        </w:rPr>
      </w:pPr>
      <w:r>
        <w:rPr>
          <w:rFonts w:hint="eastAsia" w:ascii="仿宋" w:hAnsi="仿宋" w:eastAsia="仿宋" w:cs="仿宋"/>
          <w:b/>
          <w:sz w:val="32"/>
          <w:szCs w:val="32"/>
        </w:rPr>
        <w:t>五、存在问题、采取的纠偏措施及改进绩效管理建议。</w:t>
      </w:r>
    </w:p>
    <w:p w14:paraId="141D599A">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14:paraId="00BFAEEF">
      <w:pPr>
        <w:ind w:left="643"/>
        <w:rPr>
          <w:rFonts w:ascii="仿宋" w:hAnsi="仿宋" w:eastAsia="仿宋" w:cs="仿宋"/>
          <w:b/>
          <w:sz w:val="32"/>
          <w:szCs w:val="32"/>
        </w:rPr>
      </w:pPr>
      <w:r>
        <w:rPr>
          <w:rFonts w:hint="eastAsia" w:ascii="仿宋" w:hAnsi="仿宋" w:eastAsia="仿宋" w:cs="仿宋"/>
          <w:b/>
          <w:sz w:val="32"/>
          <w:szCs w:val="32"/>
        </w:rPr>
        <w:t>六、其他需要说明的问题。</w:t>
      </w:r>
    </w:p>
    <w:p w14:paraId="376FC17C">
      <w:pPr>
        <w:ind w:firstLine="640" w:firstLineChars="200"/>
        <w:rPr>
          <w:rFonts w:ascii="仿宋" w:hAnsi="仿宋" w:eastAsia="仿宋" w:cs="仿宋"/>
          <w:sz w:val="32"/>
          <w:szCs w:val="32"/>
        </w:rPr>
      </w:pPr>
      <w:r>
        <w:rPr>
          <w:rFonts w:hint="eastAsia" w:ascii="仿宋" w:hAnsi="仿宋" w:eastAsia="仿宋" w:cs="仿宋"/>
          <w:sz w:val="32"/>
          <w:szCs w:val="32"/>
        </w:rPr>
        <w:t>无</w:t>
      </w:r>
    </w:p>
    <w:p w14:paraId="690DF7DE">
      <w:pPr>
        <w:ind w:firstLine="602" w:firstLineChars="200"/>
        <w:rPr>
          <w:rFonts w:ascii="仿宋" w:hAnsi="仿宋" w:eastAsia="仿宋" w:cs="仿宋"/>
          <w:b/>
          <w:bCs/>
          <w:sz w:val="30"/>
          <w:szCs w:val="30"/>
        </w:rPr>
      </w:pPr>
    </w:p>
    <w:p w14:paraId="3B22E386">
      <w:pPr>
        <w:ind w:firstLine="602" w:firstLineChars="200"/>
        <w:rPr>
          <w:rFonts w:ascii="仿宋" w:hAnsi="仿宋" w:eastAsia="仿宋" w:cs="仿宋"/>
          <w:b/>
          <w:bCs/>
          <w:sz w:val="30"/>
          <w:szCs w:val="30"/>
        </w:rPr>
      </w:pPr>
    </w:p>
    <w:sectPr>
      <w:footerReference r:id="rId3" w:type="default"/>
      <w:footerReference r:id="rId4" w:type="even"/>
      <w:pgSz w:w="11906" w:h="16838"/>
      <w:pgMar w:top="1985"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34D6">
    <w:pPr>
      <w:pStyle w:val="6"/>
      <w:framePr w:wrap="around" w:vAnchor="text" w:hAnchor="margin" w:xAlign="center" w:y="1"/>
      <w:rPr>
        <w:rStyle w:val="12"/>
        <w:rFonts w:ascii="宋体"/>
        <w:sz w:val="28"/>
        <w:szCs w:val="28"/>
      </w:rPr>
    </w:pPr>
    <w:r>
      <w:rPr>
        <w:rStyle w:val="12"/>
        <w:rFonts w:asci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9</w:t>
    </w:r>
    <w:r>
      <w:rPr>
        <w:rStyle w:val="12"/>
        <w:rFonts w:ascii="宋体" w:hAnsi="宋体"/>
        <w:sz w:val="28"/>
        <w:szCs w:val="28"/>
      </w:rPr>
      <w:fldChar w:fldCharType="end"/>
    </w:r>
    <w:r>
      <w:rPr>
        <w:rStyle w:val="12"/>
        <w:rFonts w:ascii="宋体"/>
        <w:sz w:val="28"/>
        <w:szCs w:val="28"/>
      </w:rPr>
      <w:t>-</w:t>
    </w:r>
  </w:p>
  <w:p w14:paraId="3DA6CEC1">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7116D">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1E1CC958">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33"/>
    <w:rsid w:val="00002F2C"/>
    <w:rsid w:val="000070A8"/>
    <w:rsid w:val="00016CA4"/>
    <w:rsid w:val="000324AE"/>
    <w:rsid w:val="00042933"/>
    <w:rsid w:val="0008033E"/>
    <w:rsid w:val="0008759D"/>
    <w:rsid w:val="00094F2B"/>
    <w:rsid w:val="000B0A83"/>
    <w:rsid w:val="000B6322"/>
    <w:rsid w:val="000C2CC1"/>
    <w:rsid w:val="000E34B8"/>
    <w:rsid w:val="000E4A5A"/>
    <w:rsid w:val="000F0949"/>
    <w:rsid w:val="00103547"/>
    <w:rsid w:val="00145BF9"/>
    <w:rsid w:val="00150417"/>
    <w:rsid w:val="0017068B"/>
    <w:rsid w:val="00185A3C"/>
    <w:rsid w:val="00192D5A"/>
    <w:rsid w:val="00194AD1"/>
    <w:rsid w:val="001C59B3"/>
    <w:rsid w:val="001D2E41"/>
    <w:rsid w:val="001E0886"/>
    <w:rsid w:val="001F7E31"/>
    <w:rsid w:val="002071BC"/>
    <w:rsid w:val="00225AE6"/>
    <w:rsid w:val="00235F0F"/>
    <w:rsid w:val="00255783"/>
    <w:rsid w:val="00290BA1"/>
    <w:rsid w:val="002A6AEA"/>
    <w:rsid w:val="002F2268"/>
    <w:rsid w:val="003C50C2"/>
    <w:rsid w:val="0041099F"/>
    <w:rsid w:val="00436A1D"/>
    <w:rsid w:val="004379D7"/>
    <w:rsid w:val="0044319F"/>
    <w:rsid w:val="004A68B1"/>
    <w:rsid w:val="004B0686"/>
    <w:rsid w:val="004B403E"/>
    <w:rsid w:val="004B64F3"/>
    <w:rsid w:val="004E34D4"/>
    <w:rsid w:val="004E3B64"/>
    <w:rsid w:val="004F7327"/>
    <w:rsid w:val="005020C5"/>
    <w:rsid w:val="00525A32"/>
    <w:rsid w:val="00567FE6"/>
    <w:rsid w:val="0058162A"/>
    <w:rsid w:val="005B3616"/>
    <w:rsid w:val="005C2747"/>
    <w:rsid w:val="005E12FA"/>
    <w:rsid w:val="00683167"/>
    <w:rsid w:val="006A5056"/>
    <w:rsid w:val="006E64C9"/>
    <w:rsid w:val="006F547E"/>
    <w:rsid w:val="007048FF"/>
    <w:rsid w:val="00712100"/>
    <w:rsid w:val="0071700D"/>
    <w:rsid w:val="00742652"/>
    <w:rsid w:val="00772600"/>
    <w:rsid w:val="00784951"/>
    <w:rsid w:val="007939C5"/>
    <w:rsid w:val="007B35B1"/>
    <w:rsid w:val="007D5D41"/>
    <w:rsid w:val="007F01F9"/>
    <w:rsid w:val="00831B72"/>
    <w:rsid w:val="00856BA1"/>
    <w:rsid w:val="00867620"/>
    <w:rsid w:val="008709E0"/>
    <w:rsid w:val="0088227A"/>
    <w:rsid w:val="008A6A10"/>
    <w:rsid w:val="008A6A31"/>
    <w:rsid w:val="00904AF4"/>
    <w:rsid w:val="00905542"/>
    <w:rsid w:val="00917700"/>
    <w:rsid w:val="00934C1C"/>
    <w:rsid w:val="00956F74"/>
    <w:rsid w:val="009640D2"/>
    <w:rsid w:val="00964ECB"/>
    <w:rsid w:val="009B0B5F"/>
    <w:rsid w:val="009B7F2F"/>
    <w:rsid w:val="009C04DA"/>
    <w:rsid w:val="009C4C62"/>
    <w:rsid w:val="009C6740"/>
    <w:rsid w:val="009E3627"/>
    <w:rsid w:val="009F48D0"/>
    <w:rsid w:val="009F53E7"/>
    <w:rsid w:val="00A11BF8"/>
    <w:rsid w:val="00A14A33"/>
    <w:rsid w:val="00A62FDB"/>
    <w:rsid w:val="00A6449D"/>
    <w:rsid w:val="00A72433"/>
    <w:rsid w:val="00A768DB"/>
    <w:rsid w:val="00AA09C8"/>
    <w:rsid w:val="00AA7EF6"/>
    <w:rsid w:val="00AD07D5"/>
    <w:rsid w:val="00AD5F30"/>
    <w:rsid w:val="00AE7819"/>
    <w:rsid w:val="00B0681D"/>
    <w:rsid w:val="00B17F16"/>
    <w:rsid w:val="00B31479"/>
    <w:rsid w:val="00B4371D"/>
    <w:rsid w:val="00B9023F"/>
    <w:rsid w:val="00BC1FDC"/>
    <w:rsid w:val="00BD0FD8"/>
    <w:rsid w:val="00C44804"/>
    <w:rsid w:val="00C6362A"/>
    <w:rsid w:val="00C81363"/>
    <w:rsid w:val="00CA4E03"/>
    <w:rsid w:val="00CB27A5"/>
    <w:rsid w:val="00CC2C2C"/>
    <w:rsid w:val="00CD55ED"/>
    <w:rsid w:val="00CD63C0"/>
    <w:rsid w:val="00CE62A0"/>
    <w:rsid w:val="00CF7E02"/>
    <w:rsid w:val="00D21786"/>
    <w:rsid w:val="00D21F0C"/>
    <w:rsid w:val="00D366C1"/>
    <w:rsid w:val="00D877F7"/>
    <w:rsid w:val="00DB2D43"/>
    <w:rsid w:val="00DD58FF"/>
    <w:rsid w:val="00DF71EF"/>
    <w:rsid w:val="00E25D40"/>
    <w:rsid w:val="00E266F1"/>
    <w:rsid w:val="00E33E94"/>
    <w:rsid w:val="00E34845"/>
    <w:rsid w:val="00E56530"/>
    <w:rsid w:val="00E91A8E"/>
    <w:rsid w:val="00E974BC"/>
    <w:rsid w:val="00EB16A8"/>
    <w:rsid w:val="00EB25EC"/>
    <w:rsid w:val="00EC7904"/>
    <w:rsid w:val="00EE1D4D"/>
    <w:rsid w:val="00EF355E"/>
    <w:rsid w:val="00F47A94"/>
    <w:rsid w:val="00F57FC7"/>
    <w:rsid w:val="00F72E93"/>
    <w:rsid w:val="00F87A11"/>
    <w:rsid w:val="00FA0851"/>
    <w:rsid w:val="00FB7E01"/>
    <w:rsid w:val="00FE5F4C"/>
    <w:rsid w:val="00FF39F6"/>
    <w:rsid w:val="04052C5D"/>
    <w:rsid w:val="05374814"/>
    <w:rsid w:val="0F8F6BFC"/>
    <w:rsid w:val="1F1927F0"/>
    <w:rsid w:val="34B06BD0"/>
    <w:rsid w:val="3791647A"/>
    <w:rsid w:val="455969D8"/>
    <w:rsid w:val="526A3656"/>
    <w:rsid w:val="56FD3EFC"/>
    <w:rsid w:val="5D643D56"/>
    <w:rsid w:val="69BD0A47"/>
    <w:rsid w:val="71A911C9"/>
    <w:rsid w:val="7CCC21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spacing w:before="100" w:beforeAutospacing="1" w:after="100" w:afterAutospacing="1"/>
      <w:jc w:val="left"/>
      <w:outlineLvl w:val="0"/>
    </w:pPr>
    <w:rPr>
      <w:rFonts w:ascii="宋体" w:hAnsi="宋体" w:cs="宋体"/>
      <w:b/>
      <w:kern w:val="44"/>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14"/>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5"/>
    <w:qFormat/>
    <w:uiPriority w:val="99"/>
    <w:rPr>
      <w:rFonts w:ascii="宋体" w:hAnsi="Courier New" w:cs="Courier New"/>
      <w:szCs w:val="21"/>
    </w:rPr>
  </w:style>
  <w:style w:type="paragraph" w:styleId="5">
    <w:name w:val="Balloon Text"/>
    <w:basedOn w:val="1"/>
    <w:link w:val="22"/>
    <w:semiHidden/>
    <w:unhideWhenUsed/>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99"/>
    <w:rPr>
      <w:rFonts w:cs="Times New Roman"/>
      <w:b/>
      <w:bCs/>
    </w:rPr>
  </w:style>
  <w:style w:type="character" w:styleId="12">
    <w:name w:val="page number"/>
    <w:basedOn w:val="10"/>
    <w:semiHidden/>
    <w:uiPriority w:val="99"/>
    <w:rPr>
      <w:rFonts w:cs="Times New Roman"/>
    </w:rPr>
  </w:style>
  <w:style w:type="character" w:customStyle="1" w:styleId="13">
    <w:name w:val="标题 1 字符"/>
    <w:basedOn w:val="10"/>
    <w:link w:val="2"/>
    <w:locked/>
    <w:uiPriority w:val="99"/>
    <w:rPr>
      <w:rFonts w:ascii="宋体" w:hAnsi="宋体" w:eastAsia="宋体" w:cs="宋体"/>
      <w:b/>
      <w:kern w:val="44"/>
      <w:sz w:val="48"/>
      <w:szCs w:val="48"/>
    </w:rPr>
  </w:style>
  <w:style w:type="character" w:customStyle="1" w:styleId="14">
    <w:name w:val="正文文本 字符"/>
    <w:basedOn w:val="10"/>
    <w:link w:val="3"/>
    <w:semiHidden/>
    <w:qFormat/>
    <w:uiPriority w:val="99"/>
    <w:rPr>
      <w:rFonts w:ascii="Calibri" w:hAnsi="Calibri"/>
    </w:rPr>
  </w:style>
  <w:style w:type="character" w:customStyle="1" w:styleId="15">
    <w:name w:val="纯文本 字符"/>
    <w:basedOn w:val="10"/>
    <w:link w:val="4"/>
    <w:qFormat/>
    <w:locked/>
    <w:uiPriority w:val="99"/>
    <w:rPr>
      <w:rFonts w:ascii="宋体" w:hAnsi="Courier New" w:eastAsia="宋体" w:cs="Courier New"/>
      <w:sz w:val="21"/>
      <w:szCs w:val="21"/>
    </w:rPr>
  </w:style>
  <w:style w:type="character" w:customStyle="1" w:styleId="16">
    <w:name w:val="页脚 字符"/>
    <w:basedOn w:val="10"/>
    <w:link w:val="6"/>
    <w:locked/>
    <w:uiPriority w:val="99"/>
    <w:rPr>
      <w:rFonts w:cs="Times New Roman"/>
      <w:sz w:val="18"/>
      <w:szCs w:val="18"/>
    </w:rPr>
  </w:style>
  <w:style w:type="character" w:customStyle="1" w:styleId="17">
    <w:name w:val="页眉 字符"/>
    <w:basedOn w:val="10"/>
    <w:link w:val="7"/>
    <w:locked/>
    <w:uiPriority w:val="99"/>
    <w:rPr>
      <w:rFonts w:cs="Times New Roman"/>
      <w:sz w:val="18"/>
      <w:szCs w:val="18"/>
    </w:rPr>
  </w:style>
  <w:style w:type="character" w:customStyle="1" w:styleId="18">
    <w:name w:val="font31"/>
    <w:basedOn w:val="10"/>
    <w:uiPriority w:val="99"/>
    <w:rPr>
      <w:rFonts w:ascii="宋体" w:hAnsi="宋体" w:eastAsia="宋体" w:cs="宋体"/>
      <w:b/>
      <w:color w:val="000000"/>
      <w:sz w:val="36"/>
      <w:szCs w:val="36"/>
      <w:u w:val="none"/>
    </w:rPr>
  </w:style>
  <w:style w:type="paragraph" w:styleId="19">
    <w:name w:val="List Paragraph"/>
    <w:basedOn w:val="1"/>
    <w:qFormat/>
    <w:uiPriority w:val="99"/>
    <w:pPr>
      <w:ind w:firstLine="420" w:firstLineChars="200"/>
    </w:pPr>
  </w:style>
  <w:style w:type="paragraph" w:customStyle="1" w:styleId="20">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21">
    <w:name w:val="p01"/>
    <w:basedOn w:val="1"/>
    <w:uiPriority w:val="99"/>
    <w:pPr>
      <w:widowControl/>
      <w:spacing w:line="408" w:lineRule="auto"/>
      <w:ind w:left="1"/>
    </w:pPr>
    <w:rPr>
      <w:rFonts w:ascii="Times New Roman" w:hAnsi="Times New Roman"/>
      <w:color w:val="000000"/>
      <w:kern w:val="0"/>
      <w:szCs w:val="20"/>
      <w:lang w:eastAsia="en-US"/>
    </w:rPr>
  </w:style>
  <w:style w:type="character" w:customStyle="1" w:styleId="22">
    <w:name w:val="批注框文本 字符"/>
    <w:basedOn w:val="10"/>
    <w:link w:val="5"/>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8414</Words>
  <Characters>8809</Characters>
  <Lines>65</Lines>
  <Paragraphs>18</Paragraphs>
  <TotalTime>3</TotalTime>
  <ScaleCrop>false</ScaleCrop>
  <LinksUpToDate>false</LinksUpToDate>
  <CharactersWithSpaces>8818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2020-06-10T08:22:00Z</dcterms:created>
  <dc:creator>Administrator</dc:creator>
  <cp:lastModifiedBy>DODO</cp:lastModifiedBy>
  <cp:lastPrinted>2020-06-10T03:55:00Z</cp:lastPrinted>
  <dcterms:modified xsi:type="dcterms:W3CDTF">2025-05-30T12:05:10Z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DBCB23E5D33C43A4BF9A7A559A07377C_12</vt:lpwstr>
  </property>
</Properties>
</file>