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327EF">
      <w:pPr>
        <w:widowControl/>
        <w:spacing w:line="400" w:lineRule="exact"/>
        <w:jc w:val="left"/>
        <w:rPr>
          <w:rFonts w:hint="eastAsia" w:ascii="宋体" w:hAnsi="宋体" w:eastAsia="宋体" w:cs="仿宋"/>
          <w:b/>
          <w:kern w:val="0"/>
          <w:sz w:val="44"/>
          <w:szCs w:val="44"/>
          <w:shd w:val="clear" w:color="auto" w:fill="FFFFFF"/>
        </w:rPr>
      </w:pPr>
      <w:bookmarkStart w:id="0" w:name="_GoBack"/>
      <w:bookmarkEnd w:id="0"/>
      <w:r>
        <w:rPr>
          <w:rFonts w:hint="eastAsia" w:ascii="宋体" w:hAnsi="宋体" w:eastAsia="宋体" w:cs="仿宋"/>
          <w:b/>
          <w:kern w:val="0"/>
          <w:sz w:val="44"/>
          <w:szCs w:val="44"/>
          <w:shd w:val="clear" w:color="auto" w:fill="FFFFFF"/>
        </w:rPr>
        <w:t xml:space="preserve">  </w:t>
      </w:r>
    </w:p>
    <w:p w14:paraId="3A1D6484">
      <w:pPr>
        <w:spacing w:line="480" w:lineRule="exact"/>
        <w:jc w:val="center"/>
        <w:rPr>
          <w:rFonts w:hint="eastAsia" w:ascii="宋体" w:hAnsi="宋体"/>
          <w:b/>
          <w:sz w:val="44"/>
          <w:szCs w:val="44"/>
        </w:rPr>
      </w:pPr>
      <w:r>
        <w:rPr>
          <w:rFonts w:hint="eastAsia" w:ascii="宋体" w:hAnsi="宋体"/>
          <w:b/>
          <w:sz w:val="44"/>
          <w:szCs w:val="44"/>
        </w:rPr>
        <w:t>平乡县教师进修学校</w:t>
      </w:r>
    </w:p>
    <w:p w14:paraId="4EE71546">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71294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1979C16">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108B8B4">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411DC660">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2C16964C">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07A00F2F">
            <w:pPr>
              <w:widowControl/>
              <w:spacing w:line="240" w:lineRule="exact"/>
              <w:jc w:val="left"/>
              <w:rPr>
                <w:b/>
              </w:rPr>
            </w:pPr>
            <w:r>
              <w:rPr>
                <w:rFonts w:ascii="仿宋_GB2312" w:hAnsi="新宋体" w:eastAsia="仿宋_GB2312" w:cs="仿宋_GB2312"/>
                <w:b/>
                <w:kern w:val="0"/>
                <w:sz w:val="24"/>
                <w:szCs w:val="24"/>
              </w:rPr>
              <w:t>得分</w:t>
            </w:r>
          </w:p>
        </w:tc>
      </w:tr>
      <w:tr w14:paraId="7C2B2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20B1DEF">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DB24DFA">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42869CB">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2B5BFAD7">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1CCA755">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4A30649D">
            <w:pPr>
              <w:rPr>
                <w:rFonts w:ascii="宋体"/>
                <w:szCs w:val="21"/>
              </w:rPr>
            </w:pPr>
          </w:p>
        </w:tc>
      </w:tr>
      <w:tr w14:paraId="0117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1397B7D">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D845A00">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59E9DEC2">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4BAFF68E">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0B4BA94">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13B276E2">
            <w:pPr>
              <w:widowControl/>
              <w:spacing w:line="240" w:lineRule="exact"/>
              <w:jc w:val="left"/>
              <w:rPr>
                <w:szCs w:val="21"/>
              </w:rPr>
            </w:pPr>
            <w:r>
              <w:rPr>
                <w:rFonts w:ascii="仿宋_GB2312" w:hAnsi="新宋体" w:eastAsia="仿宋_GB2312" w:cs="仿宋_GB2312"/>
                <w:kern w:val="0"/>
                <w:szCs w:val="21"/>
              </w:rPr>
              <w:t>符合（1）；</w:t>
            </w:r>
          </w:p>
          <w:p w14:paraId="4F5DB0B1">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514AFAF">
            <w:pPr>
              <w:widowControl/>
              <w:spacing w:line="240" w:lineRule="exact"/>
              <w:jc w:val="left"/>
              <w:rPr>
                <w:szCs w:val="21"/>
              </w:rPr>
            </w:pPr>
            <w:r>
              <w:rPr>
                <w:rFonts w:hint="eastAsia"/>
                <w:szCs w:val="21"/>
              </w:rPr>
              <w:t>1</w:t>
            </w:r>
          </w:p>
        </w:tc>
      </w:tr>
      <w:tr w14:paraId="4A261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0C29DA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884D9E9">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36705A43">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2236D03">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1156DADD">
            <w:pPr>
              <w:widowControl/>
              <w:spacing w:line="240" w:lineRule="exact"/>
              <w:jc w:val="left"/>
              <w:rPr>
                <w:szCs w:val="21"/>
              </w:rPr>
            </w:pPr>
            <w:r>
              <w:rPr>
                <w:rFonts w:ascii="仿宋_GB2312" w:hAnsi="新宋体" w:eastAsia="仿宋_GB2312" w:cs="仿宋_GB2312"/>
                <w:kern w:val="0"/>
                <w:szCs w:val="21"/>
              </w:rPr>
              <w:t>评价要点：</w:t>
            </w:r>
          </w:p>
          <w:p w14:paraId="1F1832F3">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47092AE0">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622835E2">
            <w:pPr>
              <w:widowControl/>
              <w:spacing w:line="240" w:lineRule="exact"/>
              <w:jc w:val="left"/>
              <w:rPr>
                <w:szCs w:val="21"/>
              </w:rPr>
            </w:pPr>
            <w:r>
              <w:rPr>
                <w:rFonts w:ascii="仿宋_GB2312" w:hAnsi="新宋体" w:eastAsia="仿宋_GB2312" w:cs="仿宋_GB2312"/>
                <w:kern w:val="0"/>
                <w:szCs w:val="21"/>
              </w:rPr>
              <w:t>全部符合（2）；</w:t>
            </w:r>
          </w:p>
          <w:p w14:paraId="4BFFAEB5">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78CEE7F">
            <w:pPr>
              <w:widowControl/>
              <w:spacing w:line="240" w:lineRule="exact"/>
              <w:jc w:val="left"/>
              <w:rPr>
                <w:szCs w:val="21"/>
              </w:rPr>
            </w:pPr>
            <w:r>
              <w:rPr>
                <w:rFonts w:hint="eastAsia"/>
                <w:szCs w:val="21"/>
              </w:rPr>
              <w:t>2</w:t>
            </w:r>
          </w:p>
        </w:tc>
      </w:tr>
      <w:tr w14:paraId="793FF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C848AE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0C213F7">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31F79A4">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02AE4151">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6080ABA3">
            <w:pPr>
              <w:widowControl/>
              <w:spacing w:line="240" w:lineRule="exact"/>
              <w:jc w:val="left"/>
              <w:rPr>
                <w:szCs w:val="21"/>
              </w:rPr>
            </w:pPr>
            <w:r>
              <w:rPr>
                <w:rFonts w:ascii="仿宋_GB2312" w:hAnsi="新宋体" w:eastAsia="仿宋_GB2312" w:cs="仿宋_GB2312"/>
                <w:kern w:val="0"/>
                <w:szCs w:val="21"/>
              </w:rPr>
              <w:t>评价要点：</w:t>
            </w:r>
          </w:p>
          <w:p w14:paraId="1C25AE46">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271B0630">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6C248A56">
            <w:pPr>
              <w:widowControl/>
              <w:spacing w:line="240" w:lineRule="exact"/>
              <w:jc w:val="left"/>
              <w:rPr>
                <w:szCs w:val="21"/>
              </w:rPr>
            </w:pPr>
            <w:r>
              <w:rPr>
                <w:rFonts w:ascii="仿宋_GB2312" w:hAnsi="新宋体" w:eastAsia="仿宋_GB2312" w:cs="仿宋_GB2312"/>
                <w:kern w:val="0"/>
                <w:szCs w:val="21"/>
              </w:rPr>
              <w:t>全部符合（2）；</w:t>
            </w:r>
          </w:p>
          <w:p w14:paraId="72EC6D9F">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DB9BC47">
            <w:pPr>
              <w:widowControl/>
              <w:spacing w:line="240" w:lineRule="exact"/>
              <w:jc w:val="left"/>
              <w:rPr>
                <w:szCs w:val="21"/>
              </w:rPr>
            </w:pPr>
            <w:r>
              <w:rPr>
                <w:rFonts w:hint="eastAsia"/>
                <w:szCs w:val="21"/>
              </w:rPr>
              <w:t>2</w:t>
            </w:r>
          </w:p>
        </w:tc>
      </w:tr>
      <w:tr w14:paraId="22FA1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4259437">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169BB6C6">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5FAD5CFF">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5C2A1C3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1F0503F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433FC20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722B3DB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20FFAD0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6029E1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521AD5B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1EDA2B1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74224AC">
            <w:pPr>
              <w:widowControl/>
              <w:spacing w:line="240" w:lineRule="exact"/>
              <w:jc w:val="left"/>
              <w:rPr>
                <w:szCs w:val="21"/>
              </w:rPr>
            </w:pPr>
            <w:r>
              <w:rPr>
                <w:rFonts w:hint="eastAsia"/>
                <w:szCs w:val="21"/>
              </w:rPr>
              <w:t>0</w:t>
            </w:r>
          </w:p>
        </w:tc>
      </w:tr>
      <w:tr w14:paraId="356AE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41E17C21">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06240AFC">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5FF02238">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3B0CA096">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1745C3B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3B482CA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37B5450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1E033AF9">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A5F760B">
            <w:pPr>
              <w:widowControl/>
              <w:spacing w:line="240" w:lineRule="exact"/>
              <w:jc w:val="left"/>
              <w:rPr>
                <w:szCs w:val="21"/>
              </w:rPr>
            </w:pPr>
            <w:r>
              <w:rPr>
                <w:rFonts w:hint="eastAsia"/>
                <w:szCs w:val="21"/>
              </w:rPr>
              <w:t>2</w:t>
            </w:r>
          </w:p>
        </w:tc>
      </w:tr>
      <w:tr w14:paraId="6149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3FD32250">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64CF834E">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33AA4B90">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0D339C37">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3A045B1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46AB589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4E5FD69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504791D6">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2F1A75D">
            <w:pPr>
              <w:widowControl/>
              <w:spacing w:line="240" w:lineRule="exact"/>
              <w:jc w:val="left"/>
              <w:rPr>
                <w:szCs w:val="21"/>
              </w:rPr>
            </w:pPr>
            <w:r>
              <w:rPr>
                <w:rFonts w:hint="eastAsia"/>
                <w:szCs w:val="21"/>
              </w:rPr>
              <w:t>2</w:t>
            </w:r>
          </w:p>
        </w:tc>
      </w:tr>
      <w:tr w14:paraId="5AF0A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F719BEC">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0252850">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7CBFF9C9">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746916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039A40E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3737E9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402EBF5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1AE961B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3863D69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3A6EF50">
            <w:pPr>
              <w:widowControl/>
              <w:spacing w:line="240" w:lineRule="exact"/>
              <w:jc w:val="left"/>
              <w:rPr>
                <w:szCs w:val="21"/>
              </w:rPr>
            </w:pPr>
            <w:r>
              <w:rPr>
                <w:rFonts w:hint="eastAsia"/>
                <w:szCs w:val="21"/>
              </w:rPr>
              <w:t>5</w:t>
            </w:r>
          </w:p>
        </w:tc>
      </w:tr>
      <w:tr w14:paraId="18C4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F87BD8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707503B">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20CA6C4">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52967DA">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7A242323">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5A52B72">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53F16F13">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231A2F7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01E7C61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12BB86A">
            <w:pPr>
              <w:widowControl/>
              <w:spacing w:line="240" w:lineRule="exact"/>
              <w:jc w:val="left"/>
              <w:rPr>
                <w:szCs w:val="21"/>
              </w:rPr>
            </w:pPr>
            <w:r>
              <w:rPr>
                <w:rFonts w:hint="eastAsia"/>
                <w:szCs w:val="21"/>
              </w:rPr>
              <w:t>3</w:t>
            </w:r>
          </w:p>
        </w:tc>
      </w:tr>
      <w:tr w14:paraId="41274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8572DA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112937C">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7DCDD4C">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3FD1C31">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57B94A6E">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C3138BB">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4092ABFA">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19D61F06">
            <w:pPr>
              <w:widowControl/>
              <w:spacing w:line="240" w:lineRule="exact"/>
              <w:jc w:val="left"/>
              <w:rPr>
                <w:szCs w:val="21"/>
              </w:rPr>
            </w:pPr>
            <w:r>
              <w:rPr>
                <w:rFonts w:hint="eastAsia"/>
                <w:szCs w:val="21"/>
              </w:rPr>
              <w:t>5</w:t>
            </w:r>
          </w:p>
        </w:tc>
      </w:tr>
      <w:tr w14:paraId="5F403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4E5F63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2E85DA7">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C23B2F0">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917E320">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49E6A2DC">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093EC0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40E205D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446C7ED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628F902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7E7EC72">
            <w:pPr>
              <w:widowControl/>
              <w:spacing w:line="240" w:lineRule="exact"/>
              <w:jc w:val="left"/>
              <w:rPr>
                <w:szCs w:val="21"/>
              </w:rPr>
            </w:pPr>
            <w:r>
              <w:rPr>
                <w:rFonts w:hint="eastAsia"/>
                <w:szCs w:val="21"/>
              </w:rPr>
              <w:t>4</w:t>
            </w:r>
          </w:p>
        </w:tc>
      </w:tr>
      <w:tr w14:paraId="69309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602E3C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8FF80C1">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64010E3">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057E47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1764CFC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4DA794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3FF6D3D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0028570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2F79656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9603D8E">
            <w:pPr>
              <w:widowControl/>
              <w:spacing w:line="240" w:lineRule="exact"/>
              <w:jc w:val="left"/>
              <w:rPr>
                <w:szCs w:val="21"/>
              </w:rPr>
            </w:pPr>
            <w:r>
              <w:rPr>
                <w:rFonts w:hint="eastAsia"/>
                <w:szCs w:val="21"/>
              </w:rPr>
              <w:t>4</w:t>
            </w:r>
          </w:p>
        </w:tc>
      </w:tr>
      <w:tr w14:paraId="419ED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40B6A8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C655DF4">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5038446">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1528AE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3A6D4CF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5188017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0CB7659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3FAC7D7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6CE884F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2A3C8A6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7A138D2">
            <w:pPr>
              <w:widowControl/>
              <w:spacing w:line="240" w:lineRule="exact"/>
              <w:jc w:val="left"/>
              <w:rPr>
                <w:szCs w:val="21"/>
              </w:rPr>
            </w:pPr>
            <w:r>
              <w:rPr>
                <w:rFonts w:hint="eastAsia"/>
                <w:szCs w:val="21"/>
              </w:rPr>
              <w:t>4</w:t>
            </w:r>
          </w:p>
        </w:tc>
      </w:tr>
      <w:tr w14:paraId="3AB72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57C19FE">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517E833">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45D59E24">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75BC3372">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90716E4">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2D40AAD6">
            <w:pPr>
              <w:widowControl/>
              <w:spacing w:line="240" w:lineRule="exact"/>
              <w:jc w:val="left"/>
              <w:rPr>
                <w:szCs w:val="21"/>
              </w:rPr>
            </w:pPr>
            <w:r>
              <w:rPr>
                <w:rFonts w:ascii="仿宋_GB2312" w:hAnsi="新宋体" w:eastAsia="仿宋_GB2312" w:cs="仿宋_GB2312"/>
                <w:kern w:val="0"/>
                <w:szCs w:val="21"/>
              </w:rPr>
              <w:t>评价要点：</w:t>
            </w:r>
          </w:p>
          <w:p w14:paraId="4D1CCFDD">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47100B01">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5DD3789E">
            <w:pPr>
              <w:widowControl/>
              <w:spacing w:line="240" w:lineRule="exact"/>
              <w:jc w:val="left"/>
              <w:rPr>
                <w:szCs w:val="21"/>
              </w:rPr>
            </w:pPr>
            <w:r>
              <w:rPr>
                <w:rFonts w:ascii="仿宋_GB2312" w:hAnsi="新宋体" w:eastAsia="仿宋_GB2312" w:cs="仿宋_GB2312"/>
                <w:kern w:val="0"/>
                <w:szCs w:val="21"/>
              </w:rPr>
              <w:t>3.项目的重大开支经过评估论证；</w:t>
            </w:r>
          </w:p>
          <w:p w14:paraId="14360A36">
            <w:pPr>
              <w:widowControl/>
              <w:spacing w:line="240" w:lineRule="exact"/>
              <w:jc w:val="left"/>
              <w:rPr>
                <w:szCs w:val="21"/>
              </w:rPr>
            </w:pPr>
            <w:r>
              <w:rPr>
                <w:rFonts w:ascii="仿宋_GB2312" w:hAnsi="新宋体" w:eastAsia="仿宋_GB2312" w:cs="仿宋_GB2312"/>
                <w:kern w:val="0"/>
                <w:szCs w:val="21"/>
              </w:rPr>
              <w:t>4.符合部门预算批复的用途；</w:t>
            </w:r>
          </w:p>
          <w:p w14:paraId="37226357">
            <w:pPr>
              <w:widowControl/>
              <w:spacing w:line="240" w:lineRule="exact"/>
              <w:jc w:val="left"/>
              <w:rPr>
                <w:szCs w:val="21"/>
              </w:rPr>
            </w:pPr>
            <w:r>
              <w:rPr>
                <w:rFonts w:ascii="仿宋_GB2312" w:hAnsi="新宋体" w:eastAsia="仿宋_GB2312" w:cs="仿宋_GB2312"/>
                <w:kern w:val="0"/>
                <w:szCs w:val="21"/>
              </w:rPr>
              <w:t>5.不存在截留情况；</w:t>
            </w:r>
          </w:p>
          <w:p w14:paraId="1AE6EE2B">
            <w:pPr>
              <w:widowControl/>
              <w:spacing w:line="240" w:lineRule="exact"/>
              <w:jc w:val="left"/>
              <w:rPr>
                <w:szCs w:val="21"/>
              </w:rPr>
            </w:pPr>
            <w:r>
              <w:rPr>
                <w:rFonts w:ascii="仿宋_GB2312" w:hAnsi="新宋体" w:eastAsia="仿宋_GB2312" w:cs="仿宋_GB2312"/>
                <w:kern w:val="0"/>
                <w:szCs w:val="21"/>
              </w:rPr>
              <w:t>6.不存在挤占情况；</w:t>
            </w:r>
          </w:p>
          <w:p w14:paraId="00C12B4C">
            <w:pPr>
              <w:widowControl/>
              <w:spacing w:line="240" w:lineRule="exact"/>
              <w:jc w:val="left"/>
              <w:rPr>
                <w:szCs w:val="21"/>
              </w:rPr>
            </w:pPr>
            <w:r>
              <w:rPr>
                <w:rFonts w:ascii="仿宋_GB2312" w:hAnsi="新宋体" w:eastAsia="仿宋_GB2312" w:cs="仿宋_GB2312"/>
                <w:kern w:val="0"/>
                <w:szCs w:val="21"/>
              </w:rPr>
              <w:t>7.不存在挪用情况；</w:t>
            </w:r>
          </w:p>
          <w:p w14:paraId="41DBA3F1">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3D977EA3">
            <w:pPr>
              <w:widowControl/>
              <w:spacing w:line="240" w:lineRule="exact"/>
              <w:jc w:val="left"/>
              <w:rPr>
                <w:szCs w:val="21"/>
              </w:rPr>
            </w:pPr>
            <w:r>
              <w:rPr>
                <w:rFonts w:ascii="仿宋_GB2312" w:hAnsi="新宋体" w:eastAsia="仿宋_GB2312" w:cs="仿宋_GB2312"/>
                <w:kern w:val="0"/>
                <w:szCs w:val="21"/>
              </w:rPr>
              <w:t>全部符合（8）；</w:t>
            </w:r>
          </w:p>
          <w:p w14:paraId="52B95BF6">
            <w:pPr>
              <w:widowControl/>
              <w:spacing w:line="240" w:lineRule="exact"/>
              <w:jc w:val="left"/>
              <w:rPr>
                <w:szCs w:val="21"/>
              </w:rPr>
            </w:pPr>
            <w:r>
              <w:rPr>
                <w:rFonts w:ascii="仿宋_GB2312" w:hAnsi="新宋体" w:eastAsia="仿宋_GB2312" w:cs="仿宋_GB2312"/>
                <w:kern w:val="0"/>
                <w:szCs w:val="21"/>
              </w:rPr>
              <w:t>符合其中七项（6）；</w:t>
            </w:r>
          </w:p>
          <w:p w14:paraId="27F74BA6">
            <w:pPr>
              <w:widowControl/>
              <w:spacing w:line="240" w:lineRule="exact"/>
              <w:jc w:val="left"/>
              <w:rPr>
                <w:szCs w:val="21"/>
              </w:rPr>
            </w:pPr>
            <w:r>
              <w:rPr>
                <w:rFonts w:ascii="仿宋_GB2312" w:hAnsi="新宋体" w:eastAsia="仿宋_GB2312" w:cs="仿宋_GB2312"/>
                <w:kern w:val="0"/>
                <w:szCs w:val="21"/>
              </w:rPr>
              <w:t>符合其中六项（4）；</w:t>
            </w:r>
          </w:p>
          <w:p w14:paraId="659A5BD3">
            <w:pPr>
              <w:widowControl/>
              <w:spacing w:line="240" w:lineRule="exact"/>
              <w:jc w:val="left"/>
              <w:rPr>
                <w:szCs w:val="21"/>
              </w:rPr>
            </w:pPr>
            <w:r>
              <w:rPr>
                <w:rFonts w:ascii="仿宋_GB2312" w:hAnsi="新宋体" w:eastAsia="仿宋_GB2312" w:cs="仿宋_GB2312"/>
                <w:kern w:val="0"/>
                <w:szCs w:val="21"/>
              </w:rPr>
              <w:t>符合其中五项（2）；</w:t>
            </w:r>
          </w:p>
          <w:p w14:paraId="6BDBD531">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DE9642C">
            <w:pPr>
              <w:widowControl/>
              <w:spacing w:line="240" w:lineRule="exact"/>
              <w:jc w:val="left"/>
              <w:rPr>
                <w:szCs w:val="21"/>
              </w:rPr>
            </w:pPr>
            <w:r>
              <w:rPr>
                <w:rFonts w:hint="eastAsia"/>
                <w:szCs w:val="21"/>
              </w:rPr>
              <w:t>8</w:t>
            </w:r>
          </w:p>
        </w:tc>
      </w:tr>
      <w:tr w14:paraId="27046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8FF60B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EE7BB46">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B726910">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84F29CA">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25650955">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1B117F27">
            <w:pPr>
              <w:widowControl/>
              <w:spacing w:line="240" w:lineRule="exact"/>
              <w:jc w:val="left"/>
              <w:rPr>
                <w:szCs w:val="21"/>
              </w:rPr>
            </w:pPr>
            <w:r>
              <w:rPr>
                <w:rFonts w:ascii="仿宋_GB2312" w:hAnsi="新宋体" w:eastAsia="仿宋_GB2312" w:cs="仿宋_GB2312"/>
                <w:kern w:val="0"/>
                <w:szCs w:val="21"/>
              </w:rPr>
              <w:t>评价要点：</w:t>
            </w:r>
          </w:p>
          <w:p w14:paraId="07D6F4E8">
            <w:pPr>
              <w:widowControl/>
              <w:spacing w:line="240" w:lineRule="exact"/>
              <w:jc w:val="left"/>
              <w:rPr>
                <w:szCs w:val="21"/>
              </w:rPr>
            </w:pPr>
            <w:r>
              <w:rPr>
                <w:rFonts w:ascii="仿宋_GB2312" w:hAnsi="新宋体" w:eastAsia="仿宋_GB2312" w:cs="仿宋_GB2312"/>
                <w:kern w:val="0"/>
                <w:szCs w:val="21"/>
              </w:rPr>
              <w:t>1.公开预决算信息；</w:t>
            </w:r>
          </w:p>
          <w:p w14:paraId="76935590">
            <w:pPr>
              <w:widowControl/>
              <w:spacing w:line="240" w:lineRule="exact"/>
              <w:jc w:val="left"/>
              <w:rPr>
                <w:szCs w:val="21"/>
              </w:rPr>
            </w:pPr>
            <w:r>
              <w:rPr>
                <w:rFonts w:ascii="仿宋_GB2312" w:hAnsi="新宋体" w:eastAsia="仿宋_GB2312" w:cs="仿宋_GB2312"/>
                <w:kern w:val="0"/>
                <w:szCs w:val="21"/>
              </w:rPr>
              <w:t>2.按规定内容公开预决算信息；</w:t>
            </w:r>
          </w:p>
          <w:p w14:paraId="717DD311">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7326413B">
            <w:pPr>
              <w:widowControl/>
              <w:spacing w:line="240" w:lineRule="exact"/>
              <w:jc w:val="left"/>
              <w:rPr>
                <w:szCs w:val="21"/>
              </w:rPr>
            </w:pPr>
            <w:r>
              <w:rPr>
                <w:rFonts w:ascii="仿宋_GB2312" w:hAnsi="新宋体" w:eastAsia="仿宋_GB2312" w:cs="仿宋_GB2312"/>
                <w:kern w:val="0"/>
                <w:szCs w:val="21"/>
              </w:rPr>
              <w:t>全部符合（3）；</w:t>
            </w:r>
          </w:p>
          <w:p w14:paraId="2F4C8109">
            <w:pPr>
              <w:widowControl/>
              <w:spacing w:line="240" w:lineRule="exact"/>
              <w:jc w:val="left"/>
              <w:rPr>
                <w:szCs w:val="21"/>
              </w:rPr>
            </w:pPr>
            <w:r>
              <w:rPr>
                <w:rFonts w:ascii="仿宋_GB2312" w:hAnsi="新宋体" w:eastAsia="仿宋_GB2312" w:cs="仿宋_GB2312"/>
                <w:kern w:val="0"/>
                <w:szCs w:val="21"/>
              </w:rPr>
              <w:t>符合其中两项（2）</w:t>
            </w:r>
          </w:p>
          <w:p w14:paraId="55F5B763">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6DF464C">
            <w:pPr>
              <w:widowControl/>
              <w:spacing w:line="240" w:lineRule="exact"/>
              <w:jc w:val="left"/>
              <w:rPr>
                <w:szCs w:val="21"/>
              </w:rPr>
            </w:pPr>
            <w:r>
              <w:rPr>
                <w:rFonts w:hint="eastAsia"/>
                <w:szCs w:val="21"/>
              </w:rPr>
              <w:t>3</w:t>
            </w:r>
          </w:p>
        </w:tc>
      </w:tr>
      <w:tr w14:paraId="6E5AA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E922B8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DE75C7B">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85E44BD">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19610B3">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565F10BC">
            <w:pPr>
              <w:widowControl/>
              <w:spacing w:line="240" w:lineRule="exact"/>
              <w:jc w:val="left"/>
              <w:rPr>
                <w:szCs w:val="21"/>
              </w:rPr>
            </w:pPr>
            <w:r>
              <w:rPr>
                <w:rFonts w:ascii="仿宋_GB2312" w:hAnsi="新宋体" w:eastAsia="仿宋_GB2312" w:cs="仿宋_GB2312"/>
                <w:kern w:val="0"/>
                <w:szCs w:val="21"/>
              </w:rPr>
              <w:t>评价要点：</w:t>
            </w:r>
          </w:p>
          <w:p w14:paraId="799A3057">
            <w:pPr>
              <w:widowControl/>
              <w:spacing w:line="240" w:lineRule="exact"/>
              <w:jc w:val="left"/>
              <w:rPr>
                <w:szCs w:val="21"/>
              </w:rPr>
            </w:pPr>
            <w:r>
              <w:rPr>
                <w:rFonts w:ascii="仿宋_GB2312" w:hAnsi="新宋体" w:eastAsia="仿宋_GB2312" w:cs="仿宋_GB2312"/>
                <w:kern w:val="0"/>
                <w:szCs w:val="21"/>
              </w:rPr>
              <w:t>1.基本财务管理制度健全；</w:t>
            </w:r>
          </w:p>
          <w:p w14:paraId="5EC79043">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6C0D1C17">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1E507914">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74F45B0B">
            <w:pPr>
              <w:widowControl/>
              <w:spacing w:line="240" w:lineRule="exact"/>
              <w:jc w:val="left"/>
              <w:rPr>
                <w:szCs w:val="21"/>
              </w:rPr>
            </w:pPr>
            <w:r>
              <w:rPr>
                <w:rFonts w:ascii="仿宋_GB2312" w:hAnsi="新宋体" w:eastAsia="仿宋_GB2312" w:cs="仿宋_GB2312"/>
                <w:kern w:val="0"/>
                <w:szCs w:val="21"/>
              </w:rPr>
              <w:t>符合全部四项（4）；</w:t>
            </w:r>
          </w:p>
          <w:p w14:paraId="30959DC5">
            <w:pPr>
              <w:widowControl/>
              <w:spacing w:line="240" w:lineRule="exact"/>
              <w:jc w:val="left"/>
              <w:rPr>
                <w:szCs w:val="21"/>
              </w:rPr>
            </w:pPr>
            <w:r>
              <w:rPr>
                <w:rFonts w:ascii="仿宋_GB2312" w:hAnsi="新宋体" w:eastAsia="仿宋_GB2312" w:cs="仿宋_GB2312"/>
                <w:kern w:val="0"/>
                <w:szCs w:val="21"/>
              </w:rPr>
              <w:t>符合其中三项（2）；</w:t>
            </w:r>
          </w:p>
          <w:p w14:paraId="7BCA918D">
            <w:pPr>
              <w:widowControl/>
              <w:spacing w:line="240" w:lineRule="exact"/>
              <w:jc w:val="left"/>
              <w:rPr>
                <w:szCs w:val="21"/>
              </w:rPr>
            </w:pPr>
            <w:r>
              <w:rPr>
                <w:rFonts w:ascii="仿宋_GB2312" w:hAnsi="新宋体" w:eastAsia="仿宋_GB2312" w:cs="仿宋_GB2312"/>
                <w:kern w:val="0"/>
                <w:szCs w:val="21"/>
              </w:rPr>
              <w:t>符合其中两项（1）；</w:t>
            </w:r>
          </w:p>
          <w:p w14:paraId="48C5DFB2">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CBACC46">
            <w:pPr>
              <w:widowControl/>
              <w:spacing w:line="240" w:lineRule="exact"/>
              <w:jc w:val="left"/>
              <w:rPr>
                <w:szCs w:val="21"/>
              </w:rPr>
            </w:pPr>
            <w:r>
              <w:rPr>
                <w:rFonts w:hint="eastAsia"/>
                <w:szCs w:val="21"/>
              </w:rPr>
              <w:t>4</w:t>
            </w:r>
          </w:p>
        </w:tc>
      </w:tr>
      <w:tr w14:paraId="168E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0EAA9CE">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57100B2">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6029B682">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0B98A600">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53F693EC">
            <w:pPr>
              <w:widowControl/>
              <w:spacing w:line="240" w:lineRule="exact"/>
              <w:jc w:val="left"/>
              <w:rPr>
                <w:szCs w:val="21"/>
              </w:rPr>
            </w:pPr>
            <w:r>
              <w:rPr>
                <w:rFonts w:ascii="仿宋_GB2312" w:hAnsi="新宋体" w:eastAsia="仿宋_GB2312" w:cs="仿宋_GB2312"/>
                <w:kern w:val="0"/>
                <w:szCs w:val="21"/>
              </w:rPr>
              <w:t>评价要点：</w:t>
            </w:r>
          </w:p>
          <w:p w14:paraId="7230D0C2">
            <w:pPr>
              <w:widowControl/>
              <w:spacing w:line="240" w:lineRule="exact"/>
              <w:jc w:val="left"/>
              <w:rPr>
                <w:szCs w:val="21"/>
              </w:rPr>
            </w:pPr>
            <w:r>
              <w:rPr>
                <w:rFonts w:ascii="仿宋_GB2312" w:hAnsi="新宋体" w:eastAsia="仿宋_GB2312" w:cs="仿宋_GB2312"/>
                <w:kern w:val="0"/>
                <w:szCs w:val="21"/>
              </w:rPr>
              <w:t>1.资产保存完整；</w:t>
            </w:r>
          </w:p>
          <w:p w14:paraId="354A6325">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1E83B81F">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1680A086">
            <w:pPr>
              <w:widowControl/>
              <w:spacing w:line="240" w:lineRule="exact"/>
              <w:jc w:val="left"/>
              <w:rPr>
                <w:szCs w:val="21"/>
              </w:rPr>
            </w:pPr>
            <w:r>
              <w:rPr>
                <w:rFonts w:ascii="仿宋_GB2312" w:hAnsi="新宋体" w:eastAsia="仿宋_GB2312" w:cs="仿宋_GB2312"/>
                <w:kern w:val="0"/>
                <w:szCs w:val="21"/>
              </w:rPr>
              <w:t>符合全部三项（3）；</w:t>
            </w:r>
          </w:p>
          <w:p w14:paraId="006904E2">
            <w:pPr>
              <w:widowControl/>
              <w:spacing w:line="240" w:lineRule="exact"/>
              <w:jc w:val="left"/>
              <w:rPr>
                <w:szCs w:val="21"/>
              </w:rPr>
            </w:pPr>
            <w:r>
              <w:rPr>
                <w:rFonts w:ascii="仿宋_GB2312" w:hAnsi="新宋体" w:eastAsia="仿宋_GB2312" w:cs="仿宋_GB2312"/>
                <w:kern w:val="0"/>
                <w:szCs w:val="21"/>
              </w:rPr>
              <w:t>符合其中两项（2）；</w:t>
            </w:r>
          </w:p>
          <w:p w14:paraId="6D84378D">
            <w:pPr>
              <w:widowControl/>
              <w:spacing w:line="240" w:lineRule="exact"/>
              <w:jc w:val="left"/>
              <w:rPr>
                <w:szCs w:val="21"/>
              </w:rPr>
            </w:pPr>
            <w:r>
              <w:rPr>
                <w:rFonts w:ascii="仿宋_GB2312" w:hAnsi="新宋体" w:eastAsia="仿宋_GB2312" w:cs="仿宋_GB2312"/>
                <w:kern w:val="0"/>
                <w:szCs w:val="21"/>
              </w:rPr>
              <w:t>符合其中一项（1）；</w:t>
            </w:r>
          </w:p>
          <w:p w14:paraId="4137AAD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2064223C">
            <w:pPr>
              <w:widowControl/>
              <w:spacing w:line="240" w:lineRule="exact"/>
              <w:jc w:val="left"/>
              <w:rPr>
                <w:szCs w:val="21"/>
              </w:rPr>
            </w:pPr>
            <w:r>
              <w:rPr>
                <w:rFonts w:hint="eastAsia"/>
                <w:szCs w:val="21"/>
              </w:rPr>
              <w:t>2</w:t>
            </w:r>
          </w:p>
        </w:tc>
      </w:tr>
      <w:tr w14:paraId="609D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34B9B0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29DF8E2">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511922F0">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54848C86">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48F27EC0">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059672D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079FF79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7C1AD63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4242AF4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7C8E30A">
            <w:pPr>
              <w:widowControl/>
              <w:spacing w:line="240" w:lineRule="exact"/>
              <w:jc w:val="left"/>
              <w:rPr>
                <w:szCs w:val="21"/>
              </w:rPr>
            </w:pPr>
            <w:r>
              <w:rPr>
                <w:rFonts w:hint="eastAsia"/>
                <w:szCs w:val="21"/>
              </w:rPr>
              <w:t>3</w:t>
            </w:r>
          </w:p>
        </w:tc>
      </w:tr>
      <w:tr w14:paraId="08C95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428A5F4">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D4CA139">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292DFDE2">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A84A142">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0C0A89D8">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18148C36">
            <w:pPr>
              <w:widowControl/>
              <w:spacing w:line="240" w:lineRule="exact"/>
              <w:jc w:val="left"/>
              <w:rPr>
                <w:szCs w:val="21"/>
              </w:rPr>
            </w:pPr>
            <w:r>
              <w:rPr>
                <w:rFonts w:hint="eastAsia"/>
                <w:szCs w:val="21"/>
              </w:rPr>
              <w:t>10</w:t>
            </w:r>
          </w:p>
        </w:tc>
      </w:tr>
      <w:tr w14:paraId="2BCD1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B299DD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CF128ED">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2F23DB72">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0D44584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3048B013">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2FBBC30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666D39C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2D01708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50F1407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1F305BE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0A7BD502">
            <w:pPr>
              <w:widowControl/>
              <w:spacing w:line="240" w:lineRule="exact"/>
              <w:jc w:val="left"/>
              <w:rPr>
                <w:szCs w:val="21"/>
              </w:rPr>
            </w:pPr>
            <w:r>
              <w:rPr>
                <w:rFonts w:hint="eastAsia"/>
                <w:szCs w:val="21"/>
              </w:rPr>
              <w:t>15</w:t>
            </w:r>
          </w:p>
        </w:tc>
      </w:tr>
      <w:tr w14:paraId="1DD2B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0309149">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553E4B98">
            <w:pPr>
              <w:widowControl/>
              <w:spacing w:line="240" w:lineRule="exact"/>
              <w:jc w:val="left"/>
              <w:rPr>
                <w:rFonts w:ascii="仿宋_GB2312" w:hAnsi="新宋体" w:eastAsia="仿宋_GB2312" w:cs="仿宋_GB2312"/>
                <w:kern w:val="0"/>
                <w:szCs w:val="21"/>
              </w:rPr>
            </w:pPr>
          </w:p>
          <w:p w14:paraId="54687180">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06380A82">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A245FB8">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5FE3F8D">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74843A7F">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4A072409">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659185A5">
            <w:pPr>
              <w:widowControl/>
              <w:spacing w:line="240" w:lineRule="exact"/>
              <w:jc w:val="left"/>
              <w:rPr>
                <w:szCs w:val="21"/>
              </w:rPr>
            </w:pPr>
            <w:r>
              <w:rPr>
                <w:rFonts w:hint="eastAsia"/>
                <w:szCs w:val="21"/>
              </w:rPr>
              <w:t>5</w:t>
            </w:r>
          </w:p>
        </w:tc>
      </w:tr>
      <w:tr w14:paraId="5591E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37F3FAAD">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3792C290">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B0A9F8D">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10D814E4">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1BCC35EB">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7E999774">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6EF24BC6">
            <w:pPr>
              <w:widowControl/>
              <w:spacing w:line="240" w:lineRule="exact"/>
              <w:jc w:val="left"/>
              <w:rPr>
                <w:szCs w:val="21"/>
              </w:rPr>
            </w:pPr>
            <w:r>
              <w:rPr>
                <w:rFonts w:hint="eastAsia"/>
                <w:szCs w:val="21"/>
              </w:rPr>
              <w:t>5</w:t>
            </w:r>
          </w:p>
        </w:tc>
      </w:tr>
      <w:tr w14:paraId="5E824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A96F9D9">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0F4C646">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41FE8DC">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C6F3C86">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1BAF910C">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04EF5100">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3280826">
            <w:pPr>
              <w:widowControl/>
              <w:spacing w:line="240" w:lineRule="exact"/>
              <w:jc w:val="left"/>
              <w:rPr>
                <w:szCs w:val="21"/>
              </w:rPr>
            </w:pPr>
            <w:r>
              <w:rPr>
                <w:rFonts w:hint="eastAsia"/>
                <w:szCs w:val="21"/>
              </w:rPr>
              <w:t>5</w:t>
            </w:r>
          </w:p>
        </w:tc>
      </w:tr>
      <w:tr w14:paraId="2A60A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4202CD9">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3447FB93">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0E29441">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0D63181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3B661B59">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321E182D">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571CCE2B">
            <w:pPr>
              <w:widowControl/>
              <w:spacing w:line="240" w:lineRule="exact"/>
              <w:jc w:val="left"/>
              <w:rPr>
                <w:szCs w:val="21"/>
              </w:rPr>
            </w:pPr>
            <w:r>
              <w:rPr>
                <w:rFonts w:hint="eastAsia"/>
                <w:szCs w:val="21"/>
              </w:rPr>
              <w:t>5</w:t>
            </w:r>
          </w:p>
        </w:tc>
      </w:tr>
    </w:tbl>
    <w:p w14:paraId="55CB2DF2">
      <w:pPr>
        <w:spacing w:line="240" w:lineRule="exact"/>
        <w:rPr>
          <w:rFonts w:ascii="仿宋" w:hAnsi="仿宋" w:eastAsia="仿宋" w:cs="仿宋"/>
          <w:sz w:val="32"/>
          <w:szCs w:val="32"/>
        </w:rPr>
      </w:pPr>
    </w:p>
    <w:p w14:paraId="01188210">
      <w:pPr>
        <w:spacing w:line="240" w:lineRule="exact"/>
        <w:rPr>
          <w:rFonts w:ascii="仿宋" w:hAnsi="仿宋" w:eastAsia="仿宋" w:cs="仿宋"/>
          <w:sz w:val="32"/>
          <w:szCs w:val="32"/>
        </w:rPr>
      </w:pPr>
    </w:p>
    <w:p w14:paraId="2D18AC7A">
      <w:pPr>
        <w:spacing w:line="240" w:lineRule="exact"/>
        <w:rPr>
          <w:rFonts w:ascii="仿宋" w:hAnsi="仿宋" w:eastAsia="仿宋" w:cs="仿宋"/>
          <w:sz w:val="32"/>
          <w:szCs w:val="32"/>
        </w:rPr>
      </w:pPr>
    </w:p>
    <w:p w14:paraId="716A32A3">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14:paraId="2E466C3F">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基本概况。包括部门主要职责职能，组织架构、人员及资产情况、部门履职总体目标、年度整体绩效目标、工作任务，预算资金安排及资金支出情况。</w:t>
      </w:r>
    </w:p>
    <w:p w14:paraId="205E91B9">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预算绩效管理开展及整体绩效实现情况。包括部门开展预算绩效管理情况、工作履行活动完成情况、实施履职活动产生的效果及社会公众或服务对象满意程度。</w:t>
      </w:r>
    </w:p>
    <w:p w14:paraId="413D45EB">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绩效评价的组织实施情况。包括评价对象绩效目标、绩效指标、评价标准和评价方法。</w:t>
      </w:r>
    </w:p>
    <w:p w14:paraId="3BB6865C">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各项绩效目标的实现程度及差异性原因分析。</w:t>
      </w:r>
    </w:p>
    <w:p w14:paraId="1508785C">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存在问题、采取的纠偏措施及改进绩效管理建议。</w:t>
      </w:r>
    </w:p>
    <w:p w14:paraId="4FC32872">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其他需要说明的问题。</w:t>
      </w:r>
    </w:p>
    <w:p w14:paraId="6CB91443">
      <w:pPr>
        <w:jc w:val="center"/>
        <w:rPr>
          <w:b/>
          <w:sz w:val="44"/>
          <w:szCs w:val="44"/>
        </w:rPr>
      </w:pPr>
      <w:r>
        <w:rPr>
          <w:rFonts w:hint="eastAsia"/>
          <w:b/>
          <w:sz w:val="44"/>
          <w:szCs w:val="44"/>
        </w:rPr>
        <w:t>平乡县教师进修学校</w:t>
      </w:r>
    </w:p>
    <w:p w14:paraId="4706C860">
      <w:pPr>
        <w:jc w:val="center"/>
        <w:rPr>
          <w:b/>
          <w:sz w:val="44"/>
          <w:szCs w:val="44"/>
        </w:rPr>
      </w:pPr>
      <w:r>
        <w:rPr>
          <w:rFonts w:hint="eastAsia"/>
          <w:b/>
          <w:sz w:val="44"/>
          <w:szCs w:val="44"/>
        </w:rPr>
        <w:t>2020年部门整体支出绩效自评报告</w:t>
      </w:r>
    </w:p>
    <w:p w14:paraId="26F2FB0F">
      <w:pPr>
        <w:jc w:val="center"/>
        <w:rPr>
          <w:sz w:val="44"/>
          <w:szCs w:val="44"/>
        </w:rPr>
      </w:pPr>
    </w:p>
    <w:p w14:paraId="130B06AD">
      <w:pPr>
        <w:jc w:val="left"/>
        <w:rPr>
          <w:rFonts w:ascii="仿宋" w:hAnsi="仿宋" w:eastAsia="仿宋" w:cs="仿宋"/>
          <w:sz w:val="32"/>
          <w:szCs w:val="32"/>
        </w:rPr>
      </w:pPr>
      <w:r>
        <w:rPr>
          <w:rFonts w:hint="eastAsia" w:ascii="仿宋" w:hAnsi="仿宋" w:eastAsia="仿宋" w:cs="仿宋"/>
          <w:sz w:val="32"/>
          <w:szCs w:val="32"/>
        </w:rPr>
        <w:t>平乡县财政局：</w:t>
      </w:r>
    </w:p>
    <w:p w14:paraId="43FBA1AB">
      <w:pPr>
        <w:ind w:firstLine="640" w:firstLineChars="200"/>
        <w:jc w:val="left"/>
        <w:rPr>
          <w:rFonts w:ascii="仿宋" w:hAnsi="仿宋" w:eastAsia="仿宋" w:cs="仿宋"/>
          <w:sz w:val="32"/>
          <w:szCs w:val="32"/>
        </w:rPr>
      </w:pPr>
      <w:r>
        <w:rPr>
          <w:rFonts w:hint="eastAsia" w:ascii="仿宋" w:hAnsi="仿宋" w:eastAsia="仿宋" w:cs="仿宋"/>
          <w:sz w:val="32"/>
          <w:szCs w:val="32"/>
        </w:rPr>
        <w:t>我校对2020年部门整体支出开展了绩效评价工作，现将部门支出绩效评价情况报告如下：</w:t>
      </w:r>
    </w:p>
    <w:p w14:paraId="70AA6681">
      <w:pPr>
        <w:jc w:val="left"/>
        <w:rPr>
          <w:rFonts w:ascii="仿宋" w:hAnsi="仿宋" w:eastAsia="仿宋" w:cs="仿宋"/>
          <w:sz w:val="32"/>
          <w:szCs w:val="32"/>
        </w:rPr>
      </w:pPr>
      <w:r>
        <w:rPr>
          <w:rFonts w:hint="eastAsia" w:ascii="仿宋" w:hAnsi="仿宋" w:eastAsia="仿宋" w:cs="仿宋"/>
          <w:sz w:val="32"/>
          <w:szCs w:val="32"/>
        </w:rPr>
        <w:t>一、基本概况</w:t>
      </w:r>
    </w:p>
    <w:p w14:paraId="6D957FCE">
      <w:pPr>
        <w:ind w:firstLine="640" w:firstLineChars="200"/>
        <w:jc w:val="left"/>
        <w:rPr>
          <w:rFonts w:ascii="仿宋" w:hAnsi="仿宋" w:eastAsia="仿宋" w:cs="仿宋"/>
          <w:sz w:val="32"/>
          <w:szCs w:val="32"/>
        </w:rPr>
      </w:pPr>
      <w:r>
        <w:rPr>
          <w:rFonts w:hint="eastAsia" w:ascii="仿宋" w:hAnsi="仿宋" w:eastAsia="仿宋" w:cs="仿宋"/>
          <w:sz w:val="32"/>
          <w:szCs w:val="32"/>
        </w:rPr>
        <w:t>1、学校基本情况</w:t>
      </w:r>
    </w:p>
    <w:p w14:paraId="1FDD1D9D">
      <w:pPr>
        <w:ind w:firstLine="640" w:firstLineChars="200"/>
        <w:rPr>
          <w:rFonts w:ascii="仿宋" w:hAnsi="仿宋" w:eastAsia="仿宋" w:cs="仿宋"/>
          <w:sz w:val="32"/>
          <w:szCs w:val="32"/>
        </w:rPr>
      </w:pPr>
      <w:r>
        <w:rPr>
          <w:rFonts w:hint="eastAsia" w:ascii="仿宋" w:hAnsi="仿宋" w:eastAsia="仿宋" w:cs="仿宋"/>
          <w:sz w:val="32"/>
          <w:szCs w:val="32"/>
        </w:rPr>
        <w:t>平乡县教师进修学校是平乡县机构编制委员会批准成立的独立法人机构，为成人提供短期培训服务，教师短期培训是学校的主要工作职能。学校现任校长孙璐，现有教职工50人，专职教师46人。学校设有办公室、培训处、电大教学站、清华教学站、工会五个中层机构，分别形式行政后勤、成人学历教育和教师培训工作三大职能，形成了既相对独立又相互配合、协调发展的工作格局。</w:t>
      </w:r>
    </w:p>
    <w:p w14:paraId="3F21B2D1">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基本支出收支情况</w:t>
      </w:r>
    </w:p>
    <w:p w14:paraId="31049DA8">
      <w:pPr>
        <w:ind w:firstLine="640" w:firstLineChars="200"/>
        <w:rPr>
          <w:rFonts w:ascii="仿宋" w:hAnsi="仿宋" w:eastAsia="仿宋" w:cs="仿宋"/>
          <w:sz w:val="32"/>
          <w:szCs w:val="32"/>
        </w:rPr>
      </w:pPr>
      <w:r>
        <w:rPr>
          <w:rFonts w:hint="eastAsia" w:ascii="仿宋" w:hAnsi="仿宋" w:eastAsia="仿宋" w:cs="仿宋"/>
          <w:sz w:val="32"/>
          <w:szCs w:val="32"/>
        </w:rPr>
        <w:t>2020年县财政划拨我校基本支出补助584.3万元。其中:人员经费557.4万元,公用经费26.9万元。</w:t>
      </w:r>
    </w:p>
    <w:p w14:paraId="31618E0E">
      <w:pPr>
        <w:ind w:left="643"/>
        <w:rPr>
          <w:rFonts w:hint="eastAsia" w:ascii="仿宋" w:hAnsi="仿宋" w:eastAsia="仿宋" w:cs="仿宋"/>
          <w:b/>
          <w:sz w:val="32"/>
          <w:szCs w:val="32"/>
        </w:rPr>
      </w:pPr>
      <w:r>
        <w:rPr>
          <w:rFonts w:hint="eastAsia" w:ascii="仿宋" w:hAnsi="仿宋" w:eastAsia="仿宋" w:cs="仿宋"/>
          <w:b/>
          <w:sz w:val="32"/>
          <w:szCs w:val="32"/>
        </w:rPr>
        <w:t>二、预算绩效管理开展及整体绩效实现情况。</w:t>
      </w:r>
    </w:p>
    <w:p w14:paraId="7F637C79">
      <w:pPr>
        <w:ind w:left="643"/>
        <w:jc w:val="left"/>
        <w:rPr>
          <w:rFonts w:ascii="仿宋" w:hAnsi="仿宋" w:eastAsia="仿宋" w:cs="仿宋"/>
          <w:sz w:val="32"/>
          <w:szCs w:val="32"/>
        </w:rPr>
      </w:pPr>
      <w:r>
        <w:rPr>
          <w:rFonts w:hint="eastAsia" w:ascii="仿宋" w:hAnsi="仿宋" w:eastAsia="仿宋" w:cs="仿宋"/>
          <w:sz w:val="32"/>
          <w:szCs w:val="32"/>
        </w:rPr>
        <w:t>2020年，教师进修学校按照省市县的考核要求，积极开展预算绩效管理工作，实现预算绩效管理全过程化。</w:t>
      </w:r>
    </w:p>
    <w:p w14:paraId="047972AE">
      <w:pPr>
        <w:ind w:firstLine="640" w:firstLineChars="200"/>
        <w:rPr>
          <w:rFonts w:ascii="仿宋" w:hAnsi="仿宋" w:eastAsia="仿宋" w:cs="仿宋"/>
          <w:sz w:val="32"/>
          <w:szCs w:val="32"/>
        </w:rPr>
      </w:pPr>
      <w:r>
        <w:rPr>
          <w:rFonts w:hint="eastAsia" w:ascii="仿宋" w:hAnsi="仿宋" w:eastAsia="仿宋" w:cs="仿宋"/>
          <w:sz w:val="32"/>
          <w:szCs w:val="32"/>
        </w:rPr>
        <w:t>1、做好全员培训工作</w:t>
      </w:r>
    </w:p>
    <w:p w14:paraId="6B1995D4">
      <w:pPr>
        <w:ind w:firstLine="640" w:firstLineChars="200"/>
        <w:rPr>
          <w:rFonts w:ascii="仿宋" w:hAnsi="仿宋" w:eastAsia="仿宋" w:cs="仿宋"/>
          <w:sz w:val="32"/>
          <w:szCs w:val="32"/>
        </w:rPr>
      </w:pPr>
      <w:r>
        <w:rPr>
          <w:rFonts w:hint="eastAsia" w:ascii="仿宋" w:hAnsi="仿宋" w:eastAsia="仿宋" w:cs="仿宋"/>
          <w:sz w:val="32"/>
          <w:szCs w:val="32"/>
        </w:rPr>
        <w:t>在疫情防控严峻的形势下，我校抓好日常培训工作的同时，我们不放松学校常规培训，高标准高质量的完成各项基本工作，2020年共承办2321名教师的全员远程培训任务。</w:t>
      </w:r>
    </w:p>
    <w:p w14:paraId="4BB893AA">
      <w:pPr>
        <w:ind w:firstLine="640" w:firstLineChars="200"/>
        <w:rPr>
          <w:rFonts w:ascii="仿宋" w:hAnsi="仿宋" w:eastAsia="仿宋" w:cs="仿宋"/>
          <w:sz w:val="32"/>
          <w:szCs w:val="32"/>
        </w:rPr>
      </w:pPr>
      <w:r>
        <w:rPr>
          <w:rFonts w:hint="eastAsia" w:ascii="仿宋" w:hAnsi="仿宋" w:eastAsia="仿宋" w:cs="仿宋"/>
          <w:sz w:val="32"/>
          <w:szCs w:val="32"/>
        </w:rPr>
        <w:t>2、中小学（幼儿园）教师（2020）“国培计划项目”</w:t>
      </w:r>
    </w:p>
    <w:p w14:paraId="0FA6C6DC">
      <w:pPr>
        <w:ind w:firstLine="640" w:firstLineChars="200"/>
        <w:rPr>
          <w:rFonts w:ascii="仿宋" w:hAnsi="仿宋" w:eastAsia="仿宋" w:cs="仿宋"/>
          <w:sz w:val="32"/>
          <w:szCs w:val="32"/>
        </w:rPr>
      </w:pPr>
      <w:r>
        <w:rPr>
          <w:rFonts w:hint="eastAsia" w:ascii="仿宋" w:hAnsi="仿宋" w:eastAsia="仿宋" w:cs="仿宋"/>
          <w:sz w:val="32"/>
          <w:szCs w:val="32"/>
        </w:rPr>
        <w:t>今年，我校承接了六项国培任务，包括小学语文工作坊、小学数学送教下乡、“一对一”精准扶贫整校推进、新入职教师三年助力培训、幼儿园教师送教下乡、幼儿园教师工作坊，参训教师共计400余名，以上培训项目已经圆满完成。　</w:t>
      </w:r>
    </w:p>
    <w:p w14:paraId="69B5177E">
      <w:pPr>
        <w:ind w:firstLine="640" w:firstLineChars="200"/>
        <w:rPr>
          <w:rFonts w:ascii="仿宋" w:hAnsi="仿宋" w:eastAsia="仿宋" w:cs="仿宋"/>
          <w:sz w:val="32"/>
          <w:szCs w:val="32"/>
        </w:rPr>
      </w:pPr>
      <w:r>
        <w:rPr>
          <w:rFonts w:hint="eastAsia" w:ascii="仿宋" w:hAnsi="仿宋" w:eastAsia="仿宋" w:cs="仿宋"/>
          <w:sz w:val="32"/>
          <w:szCs w:val="32"/>
        </w:rPr>
        <w:t>3、抓交流、促提升，充分利用乡村振兴工作站，拓展培训空间</w:t>
      </w:r>
    </w:p>
    <w:p w14:paraId="66A35638">
      <w:pPr>
        <w:ind w:firstLine="640" w:firstLineChars="200"/>
        <w:rPr>
          <w:rFonts w:ascii="仿宋" w:hAnsi="仿宋" w:eastAsia="仿宋" w:cs="仿宋"/>
          <w:sz w:val="32"/>
          <w:szCs w:val="32"/>
        </w:rPr>
      </w:pPr>
      <w:r>
        <w:rPr>
          <w:rFonts w:hint="eastAsia" w:ascii="仿宋" w:hAnsi="仿宋" w:eastAsia="仿宋" w:cs="仿宋"/>
          <w:sz w:val="32"/>
          <w:szCs w:val="32"/>
        </w:rPr>
        <w:t>2020年，清华乡村振兴工作站再创辉煌。充分利用清华大学优质教育资源，组织开展了清华新科普讲坛、伟新教育扶贫高考辅导项目等八个线上培训项目，参与培训14588人次。我校教学站蝉联全国优秀教学站一等奖，并做为全国仅有的两个代表之一，在清华大学教育扶贫年会上面对全国教学站做经验分享；</w:t>
      </w:r>
    </w:p>
    <w:p w14:paraId="7F7E0A06">
      <w:pPr>
        <w:ind w:firstLine="640" w:firstLineChars="200"/>
        <w:rPr>
          <w:rFonts w:ascii="仿宋" w:hAnsi="仿宋" w:eastAsia="仿宋" w:cs="仿宋"/>
          <w:sz w:val="32"/>
          <w:szCs w:val="32"/>
        </w:rPr>
      </w:pPr>
      <w:r>
        <w:rPr>
          <w:rFonts w:hint="eastAsia" w:ascii="仿宋" w:hAnsi="仿宋" w:eastAsia="仿宋" w:cs="仿宋"/>
          <w:sz w:val="32"/>
          <w:szCs w:val="32"/>
        </w:rPr>
        <w:t>4、电大招生工作扎实推进，继续保持优良势头</w:t>
      </w:r>
    </w:p>
    <w:p w14:paraId="4E4F4793">
      <w:pPr>
        <w:ind w:firstLine="640" w:firstLineChars="200"/>
        <w:rPr>
          <w:rFonts w:ascii="仿宋" w:hAnsi="仿宋" w:eastAsia="仿宋" w:cs="仿宋"/>
          <w:sz w:val="32"/>
          <w:szCs w:val="32"/>
        </w:rPr>
      </w:pPr>
      <w:r>
        <w:rPr>
          <w:rFonts w:hint="eastAsia" w:ascii="仿宋" w:hAnsi="仿宋" w:eastAsia="仿宋" w:cs="仿宋"/>
          <w:sz w:val="32"/>
          <w:szCs w:val="32"/>
        </w:rPr>
        <w:t>2020年春秋两季克服疫情影响，出色完成招生任务，孙璐同志被授予市电大系统先进招生个人。目前电大注册学员492人，涵盖本、专两个学段14个专业，其中本科260人，专科232人。</w:t>
      </w:r>
    </w:p>
    <w:p w14:paraId="5F55D644">
      <w:pPr>
        <w:ind w:firstLine="640" w:firstLineChars="200"/>
        <w:rPr>
          <w:rFonts w:ascii="仿宋" w:hAnsi="仿宋" w:eastAsia="仿宋" w:cs="仿宋"/>
          <w:sz w:val="32"/>
          <w:szCs w:val="32"/>
        </w:rPr>
      </w:pPr>
      <w:r>
        <w:rPr>
          <w:rFonts w:hint="eastAsia" w:ascii="仿宋" w:hAnsi="仿宋" w:eastAsia="仿宋" w:cs="仿宋"/>
          <w:sz w:val="32"/>
          <w:szCs w:val="32"/>
        </w:rPr>
        <w:t>除此之外，我单位还组织了教师信息素养与在线教学能力提升专题研修班、中学校长研修班、小学校长研修班、幼儿园园长研修班、学校信息化建设专题研修班、乡村美术教师培养计划第四期、清华终身云课堂系列课程，清华大学碧桂园乡村振兴云课堂系列课程、师德师风系列培训、普通话培训、魏书生教育思想报告会等教师培训工作。</w:t>
      </w:r>
    </w:p>
    <w:p w14:paraId="20A3657B">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三、绩效评价的组织实施情况。</w:t>
      </w:r>
    </w:p>
    <w:p w14:paraId="07DA5F2B">
      <w:pPr>
        <w:ind w:firstLine="640" w:firstLineChars="200"/>
        <w:rPr>
          <w:rFonts w:ascii="仿宋" w:hAnsi="仿宋" w:eastAsia="仿宋" w:cs="仿宋"/>
          <w:sz w:val="32"/>
          <w:szCs w:val="32"/>
        </w:rPr>
      </w:pPr>
      <w:r>
        <w:rPr>
          <w:rFonts w:hint="eastAsia" w:ascii="仿宋" w:hAnsi="仿宋" w:eastAsia="仿宋" w:cs="仿宋"/>
          <w:sz w:val="32"/>
          <w:szCs w:val="32"/>
        </w:rPr>
        <w:t>我校对2020年绩效目标开展整体绩效自评工作，绩效自评的流程包括部门制定工作方案，填报项目自评表以及撰写绩效评价报告。</w:t>
      </w:r>
    </w:p>
    <w:p w14:paraId="2487FFC6">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四、各项绩效目标的实现程度及差异性原因分析。</w:t>
      </w:r>
    </w:p>
    <w:p w14:paraId="5B9FC8A4">
      <w:pPr>
        <w:ind w:firstLine="640" w:firstLineChars="200"/>
        <w:rPr>
          <w:rFonts w:ascii="仿宋" w:hAnsi="仿宋" w:eastAsia="仿宋" w:cs="仿宋"/>
          <w:sz w:val="32"/>
          <w:szCs w:val="32"/>
        </w:rPr>
      </w:pPr>
      <w:r>
        <w:rPr>
          <w:rFonts w:hint="eastAsia" w:ascii="仿宋" w:hAnsi="仿宋" w:eastAsia="仿宋" w:cs="仿宋"/>
          <w:sz w:val="32"/>
          <w:szCs w:val="32"/>
        </w:rPr>
        <w:t>各项绩效目标基本实现。</w:t>
      </w:r>
    </w:p>
    <w:p w14:paraId="416E66EF">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14:paraId="5E58C529">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14:paraId="7E9E26E5">
      <w:pPr>
        <w:rPr>
          <w:rFonts w:ascii="仿宋" w:hAnsi="仿宋" w:eastAsia="仿宋" w:cs="仿宋"/>
          <w:b/>
          <w:sz w:val="32"/>
          <w:szCs w:val="32"/>
        </w:rPr>
      </w:pPr>
    </w:p>
    <w:p w14:paraId="000DF6AC">
      <w:pPr>
        <w:rPr>
          <w:rFonts w:ascii="仿宋" w:hAnsi="仿宋" w:eastAsia="仿宋" w:cs="仿宋"/>
          <w:sz w:val="32"/>
          <w:szCs w:val="32"/>
        </w:rPr>
      </w:pPr>
    </w:p>
    <w:p w14:paraId="72DFABAC">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2AAE">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w:t>
    </w:r>
  </w:p>
  <w:p w14:paraId="1515616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24FD">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F5CAA20">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DEA68"/>
    <w:multiLevelType w:val="singleLevel"/>
    <w:tmpl w:val="41EDEA68"/>
    <w:lvl w:ilvl="0" w:tentative="0">
      <w:start w:val="1"/>
      <w:numFmt w:val="chineseCounting"/>
      <w:suff w:val="nothing"/>
      <w:lvlText w:val="（%1）"/>
      <w:lvlJc w:val="left"/>
      <w:rPr>
        <w:rFonts w:hint="eastAsia"/>
      </w:rPr>
    </w:lvl>
  </w:abstractNum>
  <w:abstractNum w:abstractNumId="1">
    <w:nsid w:val="4EEB4029"/>
    <w:multiLevelType w:val="singleLevel"/>
    <w:tmpl w:val="4EEB402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67EAE"/>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01A17"/>
    <w:rsid w:val="0041099F"/>
    <w:rsid w:val="00436A1D"/>
    <w:rsid w:val="004379D7"/>
    <w:rsid w:val="004A68B1"/>
    <w:rsid w:val="004B64F3"/>
    <w:rsid w:val="004E3B64"/>
    <w:rsid w:val="004F65E4"/>
    <w:rsid w:val="004F7327"/>
    <w:rsid w:val="005020C5"/>
    <w:rsid w:val="00535B6F"/>
    <w:rsid w:val="00567FE6"/>
    <w:rsid w:val="0058162A"/>
    <w:rsid w:val="005B3616"/>
    <w:rsid w:val="005E12FA"/>
    <w:rsid w:val="00664D43"/>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35E6A21"/>
    <w:rsid w:val="05374814"/>
    <w:rsid w:val="0AC229F6"/>
    <w:rsid w:val="0F8F6BFC"/>
    <w:rsid w:val="16E73F1B"/>
    <w:rsid w:val="19693E4B"/>
    <w:rsid w:val="1CA770E2"/>
    <w:rsid w:val="205B4ACC"/>
    <w:rsid w:val="2C9E4BE2"/>
    <w:rsid w:val="352834CC"/>
    <w:rsid w:val="375600D8"/>
    <w:rsid w:val="3791647A"/>
    <w:rsid w:val="42AB4556"/>
    <w:rsid w:val="455969D8"/>
    <w:rsid w:val="526A3656"/>
    <w:rsid w:val="54C32CAB"/>
    <w:rsid w:val="5C5E6725"/>
    <w:rsid w:val="5D643D56"/>
    <w:rsid w:val="62C9093E"/>
    <w:rsid w:val="64875FA9"/>
    <w:rsid w:val="69BD0A47"/>
    <w:rsid w:val="71A911C9"/>
    <w:rsid w:val="78774D51"/>
    <w:rsid w:val="7CCC213E"/>
    <w:rsid w:val="7FC73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8">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styleId="19">
    <w:name w:val="List Paragraph"/>
    <w:basedOn w:val="1"/>
    <w:unhideWhenUsed/>
    <w:qFormat/>
    <w:uiPriority w:val="99"/>
    <w:pPr>
      <w:ind w:firstLine="420" w:firstLineChars="200"/>
    </w:pPr>
  </w:style>
  <w:style w:type="paragraph" w:customStyle="1" w:styleId="20">
    <w:name w:val="正文1"/>
    <w:qFormat/>
    <w:uiPriority w:val="99"/>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6239</Words>
  <Characters>6612</Characters>
  <Lines>49</Lines>
  <Paragraphs>13</Paragraphs>
  <TotalTime>61</TotalTime>
  <ScaleCrop>false</ScaleCrop>
  <LinksUpToDate>false</LinksUpToDate>
  <CharactersWithSpaces>6648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2021-09-02T08:29:00Z</cp:lastPrinted>
  <dcterms:modified xsi:type="dcterms:W3CDTF">2025-05-30T12:05:22Z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8CCF25DCD67E4B279AD1E917F7553D46_12</vt:lpwstr>
  </property>
</Properties>
</file>