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D571A">
      <w:pPr>
        <w:widowControl/>
        <w:spacing w:line="400" w:lineRule="exact"/>
        <w:jc w:val="left"/>
        <w:rPr>
          <w:rFonts w:ascii="仿宋" w:hAnsi="仿宋" w:eastAsia="仿宋" w:cs="仿宋"/>
          <w:kern w:val="0"/>
          <w:sz w:val="32"/>
          <w:szCs w:val="32"/>
          <w:shd w:val="clear" w:color="auto" w:fill="FFFFFF"/>
          <w:lang w:bidi="ar"/>
        </w:rPr>
      </w:pPr>
      <w:bookmarkStart w:id="0" w:name="_GoBack"/>
      <w:bookmarkEnd w:id="0"/>
    </w:p>
    <w:p w14:paraId="0123C16C">
      <w:pPr>
        <w:widowControl/>
        <w:spacing w:line="480" w:lineRule="exact"/>
        <w:jc w:val="left"/>
        <w:rPr>
          <w:rFonts w:ascii="宋体" w:hAnsi="宋体" w:eastAsia="宋体" w:cs="宋体"/>
          <w:b/>
          <w:color w:val="000000"/>
          <w:kern w:val="0"/>
          <w:sz w:val="44"/>
          <w:szCs w:val="44"/>
          <w:shd w:val="clear" w:color="auto" w:fill="FFFFFF"/>
          <w:lang w:bidi="ar"/>
        </w:rPr>
      </w:pPr>
      <w:r>
        <w:rPr>
          <w:rFonts w:hint="eastAsia" w:ascii="仿宋" w:hAnsi="仿宋" w:eastAsia="仿宋" w:cs="仿宋"/>
          <w:kern w:val="0"/>
          <w:sz w:val="32"/>
          <w:szCs w:val="32"/>
          <w:shd w:val="clear" w:color="auto" w:fill="FFFFFF"/>
          <w:lang w:bidi="ar"/>
        </w:rPr>
        <w:t>附件6：</w:t>
      </w:r>
    </w:p>
    <w:p w14:paraId="64DA25C8">
      <w:pPr>
        <w:spacing w:line="480" w:lineRule="exact"/>
        <w:jc w:val="center"/>
        <w:rPr>
          <w:rFonts w:ascii="仿宋" w:hAnsi="仿宋" w:eastAsia="仿宋" w:cs="仿宋"/>
          <w:sz w:val="36"/>
          <w:szCs w:val="36"/>
        </w:rPr>
      </w:pPr>
      <w:r>
        <w:rPr>
          <w:rFonts w:hint="eastAsia" w:ascii="宋体" w:hAnsi="宋体"/>
          <w:b/>
          <w:sz w:val="36"/>
          <w:szCs w:val="36"/>
        </w:rPr>
        <w:t>田付村学区部门整体支出绩效评价</w:t>
      </w:r>
      <w:r>
        <w:rPr>
          <w:rFonts w:hint="eastAsia" w:ascii="宋体" w:hAnsi="宋体" w:eastAsia="宋体" w:cs="宋体"/>
          <w:b/>
          <w:color w:val="000000"/>
          <w:kern w:val="0"/>
          <w:sz w:val="36"/>
          <w:szCs w:val="36"/>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7DCBA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2399330">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3539175">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58F3640F">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54A1703E">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1A3EF43A">
            <w:pPr>
              <w:widowControl/>
              <w:spacing w:line="240" w:lineRule="exact"/>
              <w:jc w:val="left"/>
              <w:rPr>
                <w:b/>
              </w:rPr>
            </w:pPr>
            <w:r>
              <w:rPr>
                <w:rFonts w:ascii="仿宋_GB2312" w:hAnsi="新宋体" w:eastAsia="仿宋_GB2312" w:cs="仿宋_GB2312"/>
                <w:b/>
                <w:kern w:val="0"/>
                <w:sz w:val="24"/>
                <w:szCs w:val="24"/>
                <w:lang w:bidi="ar"/>
              </w:rPr>
              <w:t>得分</w:t>
            </w:r>
          </w:p>
        </w:tc>
      </w:tr>
      <w:tr w14:paraId="2970D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BCE1C39">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A358F29">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76A0750">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6D85E686">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11D2BA0C">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6D9949BE">
            <w:pPr>
              <w:rPr>
                <w:rFonts w:ascii="宋体"/>
                <w:szCs w:val="21"/>
              </w:rPr>
            </w:pPr>
          </w:p>
        </w:tc>
      </w:tr>
      <w:tr w14:paraId="26079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A43CADC">
            <w:pPr>
              <w:widowControl/>
              <w:spacing w:line="240" w:lineRule="exact"/>
              <w:jc w:val="left"/>
              <w:rPr>
                <w:szCs w:val="21"/>
              </w:rPr>
            </w:pPr>
            <w:r>
              <w:rPr>
                <w:rFonts w:ascii="仿宋_GB2312" w:hAnsi="新宋体" w:eastAsia="仿宋_GB2312" w:cs="仿宋_GB2312"/>
                <w:kern w:val="0"/>
                <w:szCs w:val="21"/>
                <w:lang w:bidi="ar"/>
              </w:rPr>
              <w:t>投入（1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5CD70FD">
            <w:pPr>
              <w:widowControl/>
              <w:spacing w:line="240" w:lineRule="exact"/>
              <w:jc w:val="left"/>
              <w:rPr>
                <w:szCs w:val="21"/>
              </w:rPr>
            </w:pPr>
            <w:r>
              <w:rPr>
                <w:rFonts w:hint="eastAsia" w:ascii="仿宋_GB2312" w:hAnsi="新宋体" w:eastAsia="仿宋_GB2312" w:cs="仿宋_GB2312"/>
                <w:kern w:val="0"/>
                <w:szCs w:val="21"/>
                <w:lang w:bidi="ar"/>
              </w:rPr>
              <w:t>绩效</w:t>
            </w:r>
            <w:r>
              <w:rPr>
                <w:rFonts w:ascii="仿宋_GB2312" w:hAnsi="新宋体" w:eastAsia="仿宋_GB2312" w:cs="仿宋_GB2312"/>
                <w:kern w:val="0"/>
                <w:szCs w:val="21"/>
                <w:lang w:bidi="ar"/>
              </w:rPr>
              <w:t>目标设定</w:t>
            </w:r>
            <w:r>
              <w:rPr>
                <w:rFonts w:hint="eastAsia" w:ascii="仿宋_GB2312" w:hAnsi="新宋体" w:eastAsia="仿宋_GB2312" w:cs="仿宋_GB2312"/>
                <w:kern w:val="0"/>
                <w:szCs w:val="21"/>
                <w:lang w:bidi="ar"/>
              </w:rPr>
              <w:t>情况</w:t>
            </w:r>
          </w:p>
          <w:p w14:paraId="3402B546">
            <w:pPr>
              <w:widowControl/>
              <w:spacing w:line="240" w:lineRule="exact"/>
              <w:jc w:val="left"/>
              <w:rPr>
                <w:color w:val="FF0000"/>
                <w:szCs w:val="21"/>
              </w:rPr>
            </w:pP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0750388B">
            <w:pPr>
              <w:widowControl/>
              <w:spacing w:line="240" w:lineRule="exact"/>
              <w:jc w:val="left"/>
              <w:rPr>
                <w:szCs w:val="21"/>
              </w:rPr>
            </w:pPr>
            <w:r>
              <w:rPr>
                <w:rFonts w:ascii="仿宋_GB2312" w:hAnsi="新宋体" w:eastAsia="仿宋_GB2312" w:cs="仿宋_GB2312"/>
                <w:kern w:val="0"/>
                <w:szCs w:val="21"/>
                <w:lang w:bidi="ar"/>
              </w:rPr>
              <w:t>职责明确</w:t>
            </w:r>
            <w:r>
              <w:rPr>
                <w:rFonts w:hint="eastAsia" w:ascii="仿宋_GB2312" w:hAnsi="新宋体" w:eastAsia="仿宋_GB2312" w:cs="仿宋_GB2312"/>
                <w:kern w:val="0"/>
                <w:szCs w:val="21"/>
                <w:lang w:bidi="ar"/>
              </w:rPr>
              <w:t xml:space="preserve"> </w:t>
            </w:r>
            <w:r>
              <w:rPr>
                <w:rFonts w:ascii="仿宋_GB2312" w:hAnsi="新宋体" w:eastAsia="仿宋_GB2312" w:cs="仿宋_GB2312"/>
                <w:kern w:val="0"/>
                <w:szCs w:val="21"/>
                <w:lang w:bidi="ar"/>
              </w:rPr>
              <w:t>（1</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14:paraId="1A40E900">
            <w:pPr>
              <w:widowControl/>
              <w:spacing w:line="240" w:lineRule="exact"/>
              <w:jc w:val="left"/>
              <w:rPr>
                <w:szCs w:val="21"/>
              </w:rPr>
            </w:pPr>
            <w:r>
              <w:rPr>
                <w:rFonts w:ascii="仿宋_GB2312" w:hAnsi="新宋体" w:eastAsia="仿宋_GB2312" w:cs="仿宋_GB2312"/>
                <w:kern w:val="0"/>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6A83BE4E">
            <w:pPr>
              <w:widowControl/>
              <w:spacing w:line="240" w:lineRule="exact"/>
              <w:jc w:val="left"/>
              <w:rPr>
                <w:szCs w:val="21"/>
              </w:rPr>
            </w:pPr>
            <w:r>
              <w:rPr>
                <w:rFonts w:ascii="仿宋_GB2312" w:hAnsi="新宋体" w:eastAsia="仿宋_GB2312" w:cs="仿宋_GB2312"/>
                <w:kern w:val="0"/>
                <w:szCs w:val="21"/>
                <w:lang w:bidi="ar"/>
              </w:rPr>
              <w:t>符合（1）；</w:t>
            </w:r>
          </w:p>
          <w:p w14:paraId="7E901B56">
            <w:pPr>
              <w:widowControl/>
              <w:spacing w:line="240" w:lineRule="exact"/>
              <w:jc w:val="left"/>
              <w:rPr>
                <w:szCs w:val="21"/>
              </w:rPr>
            </w:pPr>
            <w:r>
              <w:rPr>
                <w:rFonts w:ascii="仿宋_GB2312" w:hAnsi="新宋体" w:eastAsia="仿宋_GB2312" w:cs="仿宋_GB2312"/>
                <w:kern w:val="0"/>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46BBF4C8">
            <w:pPr>
              <w:widowControl/>
              <w:spacing w:line="240" w:lineRule="exact"/>
              <w:jc w:val="left"/>
              <w:rPr>
                <w:szCs w:val="21"/>
              </w:rPr>
            </w:pPr>
            <w:r>
              <w:rPr>
                <w:rFonts w:hint="eastAsia"/>
                <w:szCs w:val="21"/>
              </w:rPr>
              <w:t>1</w:t>
            </w:r>
          </w:p>
        </w:tc>
      </w:tr>
      <w:tr w14:paraId="40DCE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F0C4C4B">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B829A4E">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46AFB8EE">
            <w:pPr>
              <w:widowControl/>
              <w:spacing w:line="240" w:lineRule="exact"/>
              <w:jc w:val="left"/>
              <w:rPr>
                <w:szCs w:val="21"/>
              </w:rPr>
            </w:pPr>
            <w:r>
              <w:rPr>
                <w:rFonts w:ascii="仿宋_GB2312" w:hAnsi="新宋体" w:eastAsia="仿宋_GB2312" w:cs="仿宋_GB2312"/>
                <w:kern w:val="0"/>
                <w:szCs w:val="21"/>
                <w:lang w:bidi="ar"/>
              </w:rPr>
              <w:t>活动合规性（2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CF32675">
            <w:pPr>
              <w:widowControl/>
              <w:spacing w:line="240" w:lineRule="exact"/>
              <w:jc w:val="left"/>
              <w:rPr>
                <w:szCs w:val="21"/>
              </w:rPr>
            </w:pPr>
            <w:r>
              <w:rPr>
                <w:rFonts w:ascii="仿宋_GB2312" w:hAnsi="新宋体" w:eastAsia="仿宋_GB2312" w:cs="仿宋_GB2312"/>
                <w:kern w:val="0"/>
                <w:szCs w:val="21"/>
                <w:lang w:bidi="ar"/>
              </w:rPr>
              <w:t>部门的活动是否在职责范围之内并符合部门中长期规划，用以反映和评价部门活动目标与部门履职、年度工作任务的相符性情况。</w:t>
            </w:r>
          </w:p>
          <w:p w14:paraId="6C4AB176">
            <w:pPr>
              <w:widowControl/>
              <w:spacing w:line="240" w:lineRule="exact"/>
              <w:jc w:val="left"/>
              <w:rPr>
                <w:szCs w:val="21"/>
              </w:rPr>
            </w:pPr>
            <w:r>
              <w:rPr>
                <w:rFonts w:ascii="仿宋_GB2312" w:hAnsi="新宋体" w:eastAsia="仿宋_GB2312" w:cs="仿宋_GB2312"/>
                <w:kern w:val="0"/>
                <w:szCs w:val="21"/>
                <w:lang w:bidi="ar"/>
              </w:rPr>
              <w:t>评价要点：</w:t>
            </w:r>
          </w:p>
          <w:p w14:paraId="32BC600D">
            <w:pPr>
              <w:widowControl/>
              <w:spacing w:line="240" w:lineRule="exact"/>
              <w:jc w:val="left"/>
              <w:rPr>
                <w:szCs w:val="21"/>
              </w:rPr>
            </w:pPr>
            <w:r>
              <w:rPr>
                <w:rFonts w:ascii="仿宋_GB2312" w:hAnsi="新宋体" w:eastAsia="仿宋_GB2312" w:cs="仿宋_GB2312"/>
                <w:kern w:val="0"/>
                <w:szCs w:val="21"/>
                <w:lang w:bidi="ar"/>
              </w:rPr>
              <w:t>1.部门活动的设定在部门所确定的职责范围之内；</w:t>
            </w:r>
          </w:p>
          <w:p w14:paraId="55061FA3">
            <w:pPr>
              <w:widowControl/>
              <w:spacing w:line="240" w:lineRule="exact"/>
              <w:jc w:val="left"/>
              <w:rPr>
                <w:szCs w:val="21"/>
              </w:rPr>
            </w:pPr>
            <w:r>
              <w:rPr>
                <w:rFonts w:ascii="仿宋_GB2312" w:hAnsi="新宋体" w:eastAsia="仿宋_GB2312" w:cs="仿宋_GB2312"/>
                <w:kern w:val="0"/>
                <w:szCs w:val="21"/>
                <w:lang w:bidi="ar"/>
              </w:rPr>
              <w:t>2.部门活动符合</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委、</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09F1C30C">
            <w:pPr>
              <w:widowControl/>
              <w:spacing w:line="240" w:lineRule="exact"/>
              <w:jc w:val="left"/>
              <w:rPr>
                <w:szCs w:val="21"/>
              </w:rPr>
            </w:pPr>
            <w:r>
              <w:rPr>
                <w:rFonts w:ascii="仿宋_GB2312" w:hAnsi="新宋体" w:eastAsia="仿宋_GB2312" w:cs="仿宋_GB2312"/>
                <w:kern w:val="0"/>
                <w:szCs w:val="21"/>
                <w:lang w:bidi="ar"/>
              </w:rPr>
              <w:t>全部符合（2）；</w:t>
            </w:r>
          </w:p>
          <w:p w14:paraId="52A8D548">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38468134">
            <w:pPr>
              <w:widowControl/>
              <w:spacing w:line="240" w:lineRule="exact"/>
              <w:jc w:val="left"/>
              <w:rPr>
                <w:szCs w:val="21"/>
              </w:rPr>
            </w:pPr>
            <w:r>
              <w:rPr>
                <w:rFonts w:hint="eastAsia"/>
                <w:szCs w:val="21"/>
              </w:rPr>
              <w:t>2</w:t>
            </w:r>
          </w:p>
        </w:tc>
      </w:tr>
      <w:tr w14:paraId="4F110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6E45FBF">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FA60588">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09F15AED">
            <w:pPr>
              <w:widowControl/>
              <w:spacing w:line="240" w:lineRule="exact"/>
              <w:jc w:val="left"/>
              <w:rPr>
                <w:szCs w:val="21"/>
              </w:rPr>
            </w:pPr>
            <w:r>
              <w:rPr>
                <w:rFonts w:ascii="仿宋_GB2312" w:hAnsi="新宋体" w:eastAsia="仿宋_GB2312" w:cs="仿宋_GB2312"/>
                <w:kern w:val="0"/>
                <w:szCs w:val="21"/>
                <w:lang w:bidi="ar"/>
              </w:rPr>
              <w:t>活动合理性（2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0E3524C">
            <w:pPr>
              <w:widowControl/>
              <w:spacing w:line="240" w:lineRule="exact"/>
              <w:jc w:val="left"/>
              <w:rPr>
                <w:szCs w:val="21"/>
              </w:rPr>
            </w:pPr>
            <w:r>
              <w:rPr>
                <w:rFonts w:ascii="仿宋_GB2312" w:hAnsi="新宋体" w:eastAsia="仿宋_GB2312" w:cs="仿宋_GB2312"/>
                <w:kern w:val="0"/>
                <w:szCs w:val="21"/>
                <w:lang w:bidi="ar"/>
              </w:rPr>
              <w:t>部门所设立的活动是否明确合理、活动的关键性指标设置是否可衡量，用以反映和评价部门活动目标设定的合理性。</w:t>
            </w:r>
          </w:p>
          <w:p w14:paraId="53226775">
            <w:pPr>
              <w:widowControl/>
              <w:spacing w:line="240" w:lineRule="exact"/>
              <w:jc w:val="left"/>
              <w:rPr>
                <w:szCs w:val="21"/>
              </w:rPr>
            </w:pPr>
            <w:r>
              <w:rPr>
                <w:rFonts w:ascii="仿宋_GB2312" w:hAnsi="新宋体" w:eastAsia="仿宋_GB2312" w:cs="仿宋_GB2312"/>
                <w:kern w:val="0"/>
                <w:szCs w:val="21"/>
                <w:lang w:bidi="ar"/>
              </w:rPr>
              <w:t>评价要点：</w:t>
            </w:r>
          </w:p>
          <w:p w14:paraId="16C8CB4F">
            <w:pPr>
              <w:widowControl/>
              <w:spacing w:line="240" w:lineRule="exact"/>
              <w:jc w:val="left"/>
              <w:rPr>
                <w:szCs w:val="21"/>
              </w:rPr>
            </w:pPr>
            <w:r>
              <w:rPr>
                <w:rFonts w:ascii="仿宋_GB2312" w:hAnsi="新宋体" w:eastAsia="仿宋_GB2312" w:cs="仿宋_GB2312"/>
                <w:kern w:val="0"/>
                <w:szCs w:val="21"/>
                <w:lang w:bidi="ar"/>
              </w:rPr>
              <w:t>1.活动目标的设定是可量化的，可通过清晰、可衡量的关键指标值予以体现；</w:t>
            </w:r>
          </w:p>
          <w:p w14:paraId="7BC306AA">
            <w:pPr>
              <w:widowControl/>
              <w:spacing w:line="240" w:lineRule="exact"/>
              <w:jc w:val="left"/>
              <w:rPr>
                <w:szCs w:val="21"/>
              </w:rPr>
            </w:pPr>
            <w:r>
              <w:rPr>
                <w:rFonts w:ascii="仿宋_GB2312" w:hAnsi="新宋体" w:eastAsia="仿宋_GB2312" w:cs="仿宋_GB2312"/>
                <w:kern w:val="0"/>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61DED3BF">
            <w:pPr>
              <w:widowControl/>
              <w:spacing w:line="240" w:lineRule="exact"/>
              <w:jc w:val="left"/>
              <w:rPr>
                <w:szCs w:val="21"/>
              </w:rPr>
            </w:pPr>
            <w:r>
              <w:rPr>
                <w:rFonts w:ascii="仿宋_GB2312" w:hAnsi="新宋体" w:eastAsia="仿宋_GB2312" w:cs="仿宋_GB2312"/>
                <w:kern w:val="0"/>
                <w:szCs w:val="21"/>
                <w:lang w:bidi="ar"/>
              </w:rPr>
              <w:t>全部符合（2）；</w:t>
            </w:r>
          </w:p>
          <w:p w14:paraId="4F8A58CF">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73834021">
            <w:pPr>
              <w:widowControl/>
              <w:spacing w:line="240" w:lineRule="exact"/>
              <w:jc w:val="left"/>
              <w:rPr>
                <w:szCs w:val="21"/>
              </w:rPr>
            </w:pPr>
            <w:r>
              <w:rPr>
                <w:rFonts w:hint="eastAsia"/>
                <w:szCs w:val="21"/>
              </w:rPr>
              <w:t>2</w:t>
            </w:r>
          </w:p>
        </w:tc>
      </w:tr>
      <w:tr w14:paraId="03B68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F0A403E">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49A8C5D9">
            <w:pPr>
              <w:widowControl/>
              <w:spacing w:line="240" w:lineRule="exact"/>
              <w:jc w:val="left"/>
              <w:rPr>
                <w:szCs w:val="21"/>
              </w:rPr>
            </w:pPr>
            <w:r>
              <w:rPr>
                <w:rFonts w:ascii="仿宋_GB2312" w:hAnsi="新宋体" w:eastAsia="仿宋_GB2312" w:cs="仿宋_GB2312"/>
                <w:kern w:val="0"/>
                <w:szCs w:val="21"/>
                <w:lang w:bidi="ar"/>
              </w:rPr>
              <w:t>预算配置</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right w:val="single" w:color="auto" w:sz="4" w:space="0"/>
            </w:tcBorders>
            <w:vAlign w:val="center"/>
          </w:tcPr>
          <w:p w14:paraId="09577748">
            <w:pPr>
              <w:widowControl/>
              <w:spacing w:line="240" w:lineRule="exact"/>
              <w:jc w:val="left"/>
              <w:rPr>
                <w:szCs w:val="21"/>
              </w:rPr>
            </w:pPr>
            <w:r>
              <w:rPr>
                <w:rFonts w:ascii="仿宋_GB2312" w:hAnsi="新宋体" w:eastAsia="仿宋_GB2312" w:cs="仿宋_GB2312"/>
                <w:kern w:val="0"/>
                <w:szCs w:val="21"/>
                <w:lang w:bidi="ar"/>
              </w:rPr>
              <w:t>在职人员控制率（</w:t>
            </w:r>
            <w:r>
              <w:rPr>
                <w:rFonts w:hint="eastAsia" w:ascii="仿宋_GB2312" w:hAnsi="新宋体" w:eastAsia="仿宋_GB2312" w:cs="仿宋_GB2312"/>
                <w:kern w:val="0"/>
                <w:szCs w:val="21"/>
                <w:lang w:bidi="ar"/>
              </w:rPr>
              <w:t>1分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right w:val="single" w:color="auto" w:sz="4" w:space="0"/>
            </w:tcBorders>
            <w:vAlign w:val="center"/>
          </w:tcPr>
          <w:p w14:paraId="4EA039D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部门本年度实际在职人员数与编制数的比率，用以反映和评价部门对人员成本的控制程度。</w:t>
            </w:r>
          </w:p>
          <w:p w14:paraId="29DC1D5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在职人员控制率=（在职人员数/编制数）×100%。</w:t>
            </w:r>
          </w:p>
          <w:p w14:paraId="2C48297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在职人员数：部门实际在职人数，以财政部确定的部门决算编制口径为准，由编制部门和人劳部门批复同意的临聘人员除外。</w:t>
            </w:r>
          </w:p>
          <w:p w14:paraId="2587BCE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2909736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1.在职人员控制率小于或等于100%的，得满分；</w:t>
            </w:r>
          </w:p>
          <w:p w14:paraId="45ED811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2.在职人员控制率大于或等于115%的，得0分；</w:t>
            </w:r>
          </w:p>
          <w:p w14:paraId="28780F6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3.在职人员控制率在100%-115%之间的，在0分和满分之间计算确定：</w:t>
            </w:r>
          </w:p>
          <w:p w14:paraId="08BF35B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39847A6">
            <w:pPr>
              <w:widowControl/>
              <w:spacing w:line="240" w:lineRule="exact"/>
              <w:jc w:val="left"/>
              <w:rPr>
                <w:szCs w:val="21"/>
              </w:rPr>
            </w:pPr>
            <w:r>
              <w:rPr>
                <w:rFonts w:hint="eastAsia"/>
                <w:szCs w:val="21"/>
              </w:rPr>
              <w:t>1</w:t>
            </w:r>
          </w:p>
        </w:tc>
      </w:tr>
      <w:tr w14:paraId="30B78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42ECB023">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67A50364">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14:paraId="63526BFE">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“三公经费”变动率（2分）</w:t>
            </w:r>
          </w:p>
        </w:tc>
        <w:tc>
          <w:tcPr>
            <w:tcW w:w="3436" w:type="dxa"/>
            <w:tcBorders>
              <w:top w:val="single" w:color="auto" w:sz="4" w:space="0"/>
              <w:left w:val="single" w:color="auto" w:sz="4" w:space="0"/>
              <w:right w:val="single" w:color="auto" w:sz="4" w:space="0"/>
            </w:tcBorders>
            <w:vAlign w:val="center"/>
          </w:tcPr>
          <w:p w14:paraId="2E20B0A7">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0E2DB12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小于或等于</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%的，得满分；</w:t>
            </w:r>
          </w:p>
          <w:p w14:paraId="6A05A37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大于或等于1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%的，得0分；</w:t>
            </w:r>
          </w:p>
          <w:p w14:paraId="487C00C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w:t>
            </w:r>
            <w:r>
              <w:rPr>
                <w:rFonts w:ascii="仿宋_GB2312" w:hAnsi="新宋体" w:eastAsia="仿宋_GB2312" w:cs="仿宋_GB2312"/>
                <w:kern w:val="0"/>
                <w:szCs w:val="21"/>
                <w:lang w:bidi="ar"/>
              </w:rPr>
              <w:t>%之间的，在0分和满分之间计算确定：</w:t>
            </w:r>
          </w:p>
          <w:p w14:paraId="7F7BB8D0">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得分=[max（</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69B21C5E">
            <w:pPr>
              <w:widowControl/>
              <w:spacing w:line="240" w:lineRule="exact"/>
              <w:jc w:val="left"/>
              <w:rPr>
                <w:szCs w:val="21"/>
              </w:rPr>
            </w:pPr>
            <w:r>
              <w:rPr>
                <w:rFonts w:hint="eastAsia"/>
                <w:szCs w:val="21"/>
              </w:rPr>
              <w:t>2</w:t>
            </w:r>
          </w:p>
        </w:tc>
      </w:tr>
      <w:tr w14:paraId="6C82E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782860CA">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7A386D4E">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14:paraId="2FC2102A">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重点支出安排率（2分）</w:t>
            </w:r>
          </w:p>
        </w:tc>
        <w:tc>
          <w:tcPr>
            <w:tcW w:w="3436" w:type="dxa"/>
            <w:tcBorders>
              <w:top w:val="single" w:color="auto" w:sz="4" w:space="0"/>
              <w:left w:val="single" w:color="auto" w:sz="4" w:space="0"/>
              <w:right w:val="single" w:color="auto" w:sz="4" w:space="0"/>
            </w:tcBorders>
            <w:vAlign w:val="center"/>
          </w:tcPr>
          <w:p w14:paraId="32254757">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1CB3B57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大于或等于95%的，得满分；</w:t>
            </w:r>
          </w:p>
          <w:p w14:paraId="74813D6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小于或等于85%的，得0分；</w:t>
            </w:r>
          </w:p>
          <w:p w14:paraId="0072FE7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在85%-95%之间的，在0分和满分之间计算确定：</w:t>
            </w:r>
          </w:p>
          <w:p w14:paraId="54EF1295">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得分=[某部门</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7CFD6F0D">
            <w:pPr>
              <w:widowControl/>
              <w:spacing w:line="240" w:lineRule="exact"/>
              <w:jc w:val="left"/>
              <w:rPr>
                <w:szCs w:val="21"/>
              </w:rPr>
            </w:pPr>
            <w:r>
              <w:rPr>
                <w:rFonts w:hint="eastAsia"/>
                <w:szCs w:val="21"/>
              </w:rPr>
              <w:t>2</w:t>
            </w:r>
          </w:p>
        </w:tc>
      </w:tr>
      <w:tr w14:paraId="28E5B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CB548D4">
            <w:pPr>
              <w:widowControl/>
              <w:spacing w:line="240" w:lineRule="exact"/>
              <w:jc w:val="left"/>
              <w:rPr>
                <w:szCs w:val="21"/>
              </w:rPr>
            </w:pPr>
            <w:r>
              <w:rPr>
                <w:rFonts w:ascii="仿宋_GB2312" w:hAnsi="新宋体" w:eastAsia="仿宋_GB2312" w:cs="仿宋_GB2312"/>
                <w:kern w:val="0"/>
                <w:szCs w:val="21"/>
                <w:lang w:bidi="ar"/>
              </w:rPr>
              <w:t>过程(</w:t>
            </w:r>
            <w:r>
              <w:rPr>
                <w:rFonts w:hint="eastAsia" w:ascii="仿宋_GB2312" w:hAnsi="新宋体" w:eastAsia="仿宋_GB2312" w:cs="仿宋_GB2312"/>
                <w:kern w:val="0"/>
                <w:szCs w:val="21"/>
                <w:lang w:bidi="ar"/>
              </w:rPr>
              <w:t>45分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327F89B">
            <w:pPr>
              <w:widowControl/>
              <w:spacing w:line="240" w:lineRule="exact"/>
              <w:jc w:val="left"/>
              <w:rPr>
                <w:szCs w:val="21"/>
              </w:rPr>
            </w:pPr>
            <w:r>
              <w:rPr>
                <w:rFonts w:ascii="仿宋_GB2312" w:hAnsi="新宋体" w:eastAsia="仿宋_GB2312" w:cs="仿宋_GB2312"/>
                <w:kern w:val="0"/>
                <w:szCs w:val="21"/>
                <w:lang w:bidi="ar"/>
              </w:rPr>
              <w:t>预算执行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25分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397EFBED">
            <w:pPr>
              <w:widowControl/>
              <w:spacing w:line="240" w:lineRule="exact"/>
              <w:jc w:val="left"/>
              <w:rPr>
                <w:szCs w:val="21"/>
              </w:rPr>
            </w:pPr>
            <w:r>
              <w:rPr>
                <w:rFonts w:ascii="仿宋_GB2312" w:hAnsi="新宋体" w:eastAsia="仿宋_GB2312" w:cs="仿宋_GB2312"/>
                <w:kern w:val="0"/>
                <w:szCs w:val="21"/>
                <w:lang w:bidi="ar"/>
              </w:rPr>
              <w:t>预算完成率（5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9ED28D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通过对部门本年度预算完成数与预算数的比较，反映和评价部门预算的完成程度。</w:t>
            </w:r>
          </w:p>
          <w:p w14:paraId="623CB35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3C8CD2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1.预算完成率大于或等于95%的，得满分；</w:t>
            </w:r>
          </w:p>
          <w:p w14:paraId="6070A82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2.预算完成率小于或等于85%的，得0分；</w:t>
            </w:r>
          </w:p>
          <w:p w14:paraId="42100BD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3.预算完成率在85%-95%之间的，在0分和满分之间计算确定：</w:t>
            </w:r>
          </w:p>
          <w:p w14:paraId="52D0614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186EFA5">
            <w:pPr>
              <w:widowControl/>
              <w:spacing w:line="240" w:lineRule="exact"/>
              <w:jc w:val="left"/>
              <w:rPr>
                <w:szCs w:val="21"/>
              </w:rPr>
            </w:pPr>
            <w:r>
              <w:rPr>
                <w:rFonts w:hint="eastAsia"/>
                <w:szCs w:val="21"/>
              </w:rPr>
              <w:t>5</w:t>
            </w:r>
          </w:p>
        </w:tc>
      </w:tr>
      <w:tr w14:paraId="49985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B95F9C0">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6BF0992">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73F248A">
            <w:pPr>
              <w:widowControl/>
              <w:spacing w:line="240" w:lineRule="exact"/>
              <w:jc w:val="left"/>
              <w:rPr>
                <w:szCs w:val="21"/>
              </w:rPr>
            </w:pPr>
            <w:r>
              <w:rPr>
                <w:rFonts w:ascii="仿宋_GB2312" w:hAnsi="新宋体" w:eastAsia="仿宋_GB2312" w:cs="仿宋_GB2312"/>
                <w:kern w:val="0"/>
                <w:szCs w:val="21"/>
                <w:lang w:bidi="ar"/>
              </w:rPr>
              <w:t>预算调整率（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4BF33DE">
            <w:pPr>
              <w:widowControl/>
              <w:spacing w:line="240" w:lineRule="exact"/>
              <w:jc w:val="left"/>
              <w:rPr>
                <w:szCs w:val="21"/>
              </w:rPr>
            </w:pPr>
            <w:r>
              <w:rPr>
                <w:rFonts w:ascii="仿宋_GB2312" w:hAnsi="新宋体" w:eastAsia="仿宋_GB2312" w:cs="仿宋_GB2312"/>
                <w:kern w:val="0"/>
                <w:szCs w:val="21"/>
                <w:lang w:bidi="ar"/>
              </w:rPr>
              <w:t>部门本年度预算调整数与预算数的比率，用以反映和评价部门预算的调整程度。</w:t>
            </w:r>
          </w:p>
          <w:p w14:paraId="19F10670">
            <w:pPr>
              <w:widowControl/>
              <w:spacing w:line="240" w:lineRule="exact"/>
              <w:jc w:val="left"/>
              <w:rPr>
                <w:szCs w:val="21"/>
              </w:rPr>
            </w:pPr>
            <w:r>
              <w:rPr>
                <w:rFonts w:ascii="仿宋_GB2312" w:hAnsi="新宋体" w:eastAsia="仿宋_GB2312" w:cs="仿宋_GB2312"/>
                <w:kern w:val="0"/>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42AD665">
            <w:pPr>
              <w:widowControl/>
              <w:spacing w:line="240" w:lineRule="exact"/>
              <w:jc w:val="left"/>
              <w:rPr>
                <w:szCs w:val="21"/>
              </w:rPr>
            </w:pPr>
            <w:r>
              <w:rPr>
                <w:rFonts w:ascii="仿宋_GB2312" w:hAnsi="新宋体" w:eastAsia="仿宋_GB2312" w:cs="仿宋_GB2312"/>
                <w:kern w:val="0"/>
                <w:szCs w:val="21"/>
                <w:lang w:bidi="ar"/>
              </w:rPr>
              <w:t xml:space="preserve">1.预算调整率等于0的，得满分； </w:t>
            </w:r>
          </w:p>
          <w:p w14:paraId="0A835158">
            <w:pPr>
              <w:widowControl/>
              <w:spacing w:line="240" w:lineRule="exact"/>
              <w:jc w:val="left"/>
              <w:rPr>
                <w:szCs w:val="21"/>
              </w:rPr>
            </w:pPr>
            <w:r>
              <w:rPr>
                <w:rFonts w:ascii="仿宋_GB2312" w:hAnsi="新宋体" w:eastAsia="仿宋_GB2312" w:cs="仿宋_GB2312"/>
                <w:kern w:val="0"/>
                <w:szCs w:val="21"/>
                <w:lang w:bidi="ar"/>
              </w:rPr>
              <w:t>2.预算调整率大于或等于10%的，得0分；</w:t>
            </w:r>
          </w:p>
          <w:p w14:paraId="766BEE7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3.预算调整率在0-10%之间的，在0分和满分之间确定：</w:t>
            </w:r>
          </w:p>
          <w:p w14:paraId="6B764A4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AE57660">
            <w:pPr>
              <w:widowControl/>
              <w:spacing w:line="240" w:lineRule="exact"/>
              <w:jc w:val="left"/>
              <w:rPr>
                <w:szCs w:val="21"/>
              </w:rPr>
            </w:pPr>
            <w:r>
              <w:rPr>
                <w:rFonts w:hint="eastAsia"/>
                <w:szCs w:val="21"/>
              </w:rPr>
              <w:t>3</w:t>
            </w:r>
          </w:p>
        </w:tc>
      </w:tr>
      <w:tr w14:paraId="2C120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1486AC4">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B2C472A">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C1887BF">
            <w:pPr>
              <w:widowControl/>
              <w:spacing w:line="240" w:lineRule="exact"/>
              <w:jc w:val="left"/>
              <w:rPr>
                <w:szCs w:val="21"/>
              </w:rPr>
            </w:pPr>
            <w:r>
              <w:rPr>
                <w:rFonts w:ascii="仿宋_GB2312" w:hAnsi="新宋体" w:eastAsia="仿宋_GB2312" w:cs="仿宋_GB2312"/>
                <w:color w:val="000000"/>
                <w:kern w:val="0"/>
                <w:szCs w:val="21"/>
                <w:lang w:bidi="ar"/>
              </w:rPr>
              <w:t>支付进度率</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1BD1554">
            <w:pPr>
              <w:widowControl/>
              <w:spacing w:line="240" w:lineRule="exact"/>
              <w:jc w:val="left"/>
              <w:rPr>
                <w:szCs w:val="21"/>
              </w:rPr>
            </w:pPr>
            <w:r>
              <w:rPr>
                <w:rFonts w:ascii="仿宋_GB2312" w:hAnsi="新宋体" w:eastAsia="仿宋_GB2312" w:cs="仿宋_GB2312"/>
                <w:kern w:val="0"/>
                <w:szCs w:val="21"/>
                <w:lang w:bidi="ar"/>
              </w:rPr>
              <w:t>部门</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度支付数与</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度任务数的比率，用以反映和评价部门预算执行的及时和均衡程度。</w:t>
            </w:r>
          </w:p>
          <w:p w14:paraId="0ADDDEF8">
            <w:pPr>
              <w:widowControl/>
              <w:spacing w:line="240" w:lineRule="exact"/>
              <w:jc w:val="left"/>
              <w:rPr>
                <w:szCs w:val="21"/>
              </w:rPr>
            </w:pPr>
            <w:r>
              <w:rPr>
                <w:rFonts w:ascii="仿宋_GB2312" w:hAnsi="新宋体" w:eastAsia="仿宋_GB2312" w:cs="仿宋_GB2312"/>
                <w:kern w:val="0"/>
                <w:szCs w:val="21"/>
                <w:lang w:bidi="ar"/>
              </w:rPr>
              <w:t>支付进度率=（</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7AF3027">
            <w:pPr>
              <w:widowControl/>
              <w:spacing w:line="240" w:lineRule="exact"/>
              <w:jc w:val="left"/>
              <w:rPr>
                <w:szCs w:val="21"/>
              </w:rPr>
            </w:pPr>
            <w:r>
              <w:rPr>
                <w:rFonts w:ascii="仿宋_GB2312" w:hAnsi="新宋体" w:eastAsia="仿宋_GB2312" w:cs="仿宋_GB2312"/>
                <w:kern w:val="0"/>
                <w:szCs w:val="21"/>
                <w:lang w:bidi="ar"/>
              </w:rPr>
              <w:t>按</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度的执行情况进行打分</w:t>
            </w:r>
            <w:r>
              <w:rPr>
                <w:rFonts w:hint="eastAsia" w:ascii="仿宋_GB2312" w:hAnsi="新宋体" w:eastAsia="仿宋_GB2312" w:cs="仿宋_GB2312"/>
                <w:kern w:val="0"/>
                <w:szCs w:val="21"/>
                <w:lang w:bidi="ar"/>
              </w:rPr>
              <w:t>。</w:t>
            </w:r>
            <w:r>
              <w:rPr>
                <w:rFonts w:ascii="仿宋_GB2312" w:hAnsi="新宋体" w:eastAsia="仿宋_GB2312" w:cs="仿宋_GB2312"/>
                <w:kern w:val="0"/>
                <w:szCs w:val="21"/>
                <w:lang w:bidi="ar"/>
              </w:rPr>
              <w:t>得分=</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度任务数×该指标分值。</w:t>
            </w:r>
          </w:p>
          <w:p w14:paraId="0A99146B">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625D4CF2">
            <w:pPr>
              <w:widowControl/>
              <w:spacing w:line="240" w:lineRule="exact"/>
              <w:jc w:val="left"/>
              <w:rPr>
                <w:szCs w:val="21"/>
              </w:rPr>
            </w:pPr>
            <w:r>
              <w:rPr>
                <w:rFonts w:hint="eastAsia"/>
                <w:szCs w:val="21"/>
              </w:rPr>
              <w:t>5</w:t>
            </w:r>
          </w:p>
        </w:tc>
      </w:tr>
      <w:tr w14:paraId="5A5DF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8A5C9D0">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6F77D94">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BDA749F">
            <w:pPr>
              <w:widowControl/>
              <w:spacing w:line="240" w:lineRule="exact"/>
              <w:jc w:val="left"/>
              <w:rPr>
                <w:szCs w:val="21"/>
              </w:rPr>
            </w:pPr>
            <w:r>
              <w:rPr>
                <w:rFonts w:ascii="仿宋_GB2312" w:hAnsi="新宋体" w:eastAsia="仿宋_GB2312" w:cs="仿宋_GB2312"/>
                <w:kern w:val="0"/>
                <w:szCs w:val="21"/>
                <w:lang w:bidi="ar"/>
              </w:rPr>
              <w:t>结转结余率（4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5605DD5">
            <w:pPr>
              <w:widowControl/>
              <w:spacing w:line="240" w:lineRule="exact"/>
              <w:jc w:val="left"/>
              <w:rPr>
                <w:szCs w:val="21"/>
              </w:rPr>
            </w:pPr>
            <w:r>
              <w:rPr>
                <w:rFonts w:ascii="仿宋_GB2312" w:hAnsi="新宋体" w:eastAsia="仿宋_GB2312" w:cs="仿宋_GB2312"/>
                <w:kern w:val="0"/>
                <w:szCs w:val="21"/>
                <w:lang w:bidi="ar"/>
              </w:rPr>
              <w:t>通过对部门本年度结转结余总额与支出预算数的比较，反映和评价部门对本年度结转结余资金的实际控制程度。</w:t>
            </w:r>
          </w:p>
          <w:p w14:paraId="18EC34F6">
            <w:pPr>
              <w:widowControl/>
              <w:spacing w:line="240" w:lineRule="exact"/>
              <w:jc w:val="left"/>
              <w:rPr>
                <w:szCs w:val="21"/>
              </w:rPr>
            </w:pPr>
            <w:r>
              <w:rPr>
                <w:rFonts w:ascii="仿宋_GB2312" w:hAnsi="新宋体" w:eastAsia="仿宋_GB2312" w:cs="仿宋_GB2312"/>
                <w:kern w:val="0"/>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8E5350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1.结转结余率等于0的，得满分；</w:t>
            </w:r>
          </w:p>
          <w:p w14:paraId="4C43AFD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2.结转结余率大于或等于50%的，得0分；</w:t>
            </w:r>
          </w:p>
          <w:p w14:paraId="4FBFE74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3.结转结余率在0-50%之间的，在0和满分之间计算确定：</w:t>
            </w:r>
          </w:p>
          <w:p w14:paraId="75F57C1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527A70D">
            <w:pPr>
              <w:widowControl/>
              <w:spacing w:line="240" w:lineRule="exact"/>
              <w:jc w:val="left"/>
              <w:rPr>
                <w:szCs w:val="21"/>
              </w:rPr>
            </w:pPr>
            <w:r>
              <w:rPr>
                <w:rFonts w:hint="eastAsia"/>
                <w:szCs w:val="21"/>
              </w:rPr>
              <w:t>4</w:t>
            </w:r>
          </w:p>
        </w:tc>
      </w:tr>
      <w:tr w14:paraId="43828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186EB8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C1AD796">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8B65DEB">
            <w:pPr>
              <w:widowControl/>
              <w:spacing w:line="240" w:lineRule="exact"/>
              <w:jc w:val="left"/>
              <w:rPr>
                <w:szCs w:val="21"/>
              </w:rPr>
            </w:pPr>
            <w:r>
              <w:rPr>
                <w:rFonts w:ascii="仿宋_GB2312" w:hAnsi="新宋体" w:eastAsia="仿宋_GB2312" w:cs="仿宋_GB2312"/>
                <w:kern w:val="0"/>
                <w:szCs w:val="21"/>
                <w:lang w:bidi="ar"/>
              </w:rPr>
              <w:t>公用经费控制率（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0B7093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通过对部门本年度实际支出的公用经费总额与预算安排的公用经费总额的比率，反映和评价部门对机构运转成本的实际控制程度。</w:t>
            </w:r>
          </w:p>
          <w:p w14:paraId="5B26A10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1A9D77A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1.公用经费控制率小于或等于100%的，得满分；</w:t>
            </w:r>
          </w:p>
          <w:p w14:paraId="0D236CD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2.公用经费控制率大于或等于105%的，得0分；</w:t>
            </w:r>
          </w:p>
          <w:p w14:paraId="296C8FD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3.公用经费控制率在100%-105%之间的，在0和满分之间计算确定：</w:t>
            </w:r>
          </w:p>
          <w:p w14:paraId="738AB6C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8802D61">
            <w:pPr>
              <w:widowControl/>
              <w:spacing w:line="240" w:lineRule="exact"/>
              <w:jc w:val="left"/>
              <w:rPr>
                <w:szCs w:val="21"/>
              </w:rPr>
            </w:pPr>
            <w:r>
              <w:rPr>
                <w:rFonts w:hint="eastAsia"/>
                <w:szCs w:val="21"/>
              </w:rPr>
              <w:t>4</w:t>
            </w:r>
          </w:p>
        </w:tc>
      </w:tr>
      <w:tr w14:paraId="3A631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EFEC6C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8C3F0D3">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A48DDEC">
            <w:pPr>
              <w:widowControl/>
              <w:spacing w:line="240" w:lineRule="exact"/>
              <w:jc w:val="left"/>
              <w:rPr>
                <w:szCs w:val="21"/>
              </w:rPr>
            </w:pPr>
            <w:r>
              <w:rPr>
                <w:rFonts w:ascii="仿宋_GB2312" w:hAnsi="新宋体" w:eastAsia="仿宋_GB2312" w:cs="仿宋_GB2312"/>
                <w:kern w:val="0"/>
                <w:szCs w:val="21"/>
                <w:lang w:bidi="ar"/>
              </w:rPr>
              <w:t>政府采购执行率（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06DE7D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通过对部门本年度实际政府采购预算项目个数与政府采购预算项目个数的比较，反映和评价部门政府采购预算执行情况。</w:t>
            </w:r>
          </w:p>
          <w:p w14:paraId="6FBA1CA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政府采购执行率=（实际政府采购预算项目个数/政府采购预算项目个数）×100%。</w:t>
            </w:r>
          </w:p>
          <w:p w14:paraId="25F5BFB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26BE604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1.政府采购执行率等于100%的，得满分；</w:t>
            </w:r>
          </w:p>
          <w:p w14:paraId="74AF44E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2.政府采购执行率小于或等于90%的，0分；</w:t>
            </w:r>
          </w:p>
          <w:p w14:paraId="7958E81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3.政府采购执行率在90%-100%之间的，在0和满分之间计算确定：</w:t>
            </w:r>
          </w:p>
          <w:p w14:paraId="7F6FB1E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829BBFB">
            <w:pPr>
              <w:widowControl/>
              <w:spacing w:line="240" w:lineRule="exact"/>
              <w:jc w:val="left"/>
              <w:rPr>
                <w:szCs w:val="21"/>
              </w:rPr>
            </w:pPr>
            <w:r>
              <w:rPr>
                <w:rFonts w:hint="eastAsia"/>
                <w:szCs w:val="21"/>
              </w:rPr>
              <w:t>4</w:t>
            </w:r>
          </w:p>
        </w:tc>
      </w:tr>
      <w:tr w14:paraId="3A5A3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7F720B4">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82074B7">
            <w:pPr>
              <w:widowControl/>
              <w:spacing w:line="240" w:lineRule="exact"/>
              <w:jc w:val="left"/>
              <w:rPr>
                <w:szCs w:val="21"/>
              </w:rPr>
            </w:pPr>
            <w:r>
              <w:rPr>
                <w:rFonts w:ascii="仿宋_GB2312" w:hAnsi="新宋体" w:eastAsia="仿宋_GB2312" w:cs="仿宋_GB2312"/>
                <w:kern w:val="0"/>
                <w:szCs w:val="21"/>
                <w:lang w:bidi="ar"/>
              </w:rPr>
              <w:t>预算管理</w:t>
            </w:r>
            <w:r>
              <w:rPr>
                <w:rFonts w:hint="eastAsia" w:ascii="仿宋_GB2312" w:hAnsi="新宋体" w:eastAsia="仿宋_GB2312" w:cs="仿宋_GB2312"/>
                <w:kern w:val="0"/>
                <w:szCs w:val="21"/>
                <w:lang w:bidi="ar"/>
              </w:rPr>
              <w:t>情况</w:t>
            </w:r>
          </w:p>
          <w:p w14:paraId="6551E7B7">
            <w:pPr>
              <w:widowControl/>
              <w:spacing w:line="240" w:lineRule="exact"/>
              <w:jc w:val="left"/>
              <w:rPr>
                <w:szCs w:val="21"/>
              </w:rPr>
            </w:pPr>
            <w:r>
              <w:rPr>
                <w:rFonts w:ascii="仿宋_GB2312" w:hAnsi="新宋体" w:eastAsia="仿宋_GB2312" w:cs="仿宋_GB2312"/>
                <w:kern w:val="0"/>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5B31E6DD">
            <w:pPr>
              <w:widowControl/>
              <w:spacing w:line="240" w:lineRule="exact"/>
              <w:jc w:val="left"/>
              <w:rPr>
                <w:szCs w:val="21"/>
              </w:rPr>
            </w:pPr>
            <w:r>
              <w:rPr>
                <w:rFonts w:ascii="仿宋_GB2312" w:hAnsi="新宋体" w:eastAsia="仿宋_GB2312" w:cs="仿宋_GB2312"/>
                <w:kern w:val="0"/>
                <w:szCs w:val="21"/>
                <w:lang w:bidi="ar"/>
              </w:rPr>
              <w:t>资金使用合规性（8</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684E1E0">
            <w:pPr>
              <w:widowControl/>
              <w:spacing w:line="240" w:lineRule="exact"/>
              <w:jc w:val="left"/>
              <w:rPr>
                <w:szCs w:val="21"/>
              </w:rPr>
            </w:pPr>
            <w:r>
              <w:rPr>
                <w:rFonts w:ascii="仿宋_GB2312" w:hAnsi="新宋体" w:eastAsia="仿宋_GB2312" w:cs="仿宋_GB2312"/>
                <w:kern w:val="0"/>
                <w:szCs w:val="21"/>
                <w:lang w:bidi="ar"/>
              </w:rPr>
              <w:t>部门使用预算资金是否符合相关的预算财务管理制度的规定，反映和评价部门预算资金的规范运行情况。</w:t>
            </w:r>
          </w:p>
          <w:p w14:paraId="469B82AC">
            <w:pPr>
              <w:widowControl/>
              <w:spacing w:line="240" w:lineRule="exact"/>
              <w:jc w:val="left"/>
              <w:rPr>
                <w:szCs w:val="21"/>
              </w:rPr>
            </w:pPr>
            <w:r>
              <w:rPr>
                <w:rFonts w:ascii="仿宋_GB2312" w:hAnsi="新宋体" w:eastAsia="仿宋_GB2312" w:cs="仿宋_GB2312"/>
                <w:kern w:val="0"/>
                <w:szCs w:val="21"/>
                <w:lang w:bidi="ar"/>
              </w:rPr>
              <w:t>评价要点：</w:t>
            </w:r>
          </w:p>
          <w:p w14:paraId="7E7E35A2">
            <w:pPr>
              <w:widowControl/>
              <w:spacing w:line="240" w:lineRule="exact"/>
              <w:jc w:val="left"/>
              <w:rPr>
                <w:szCs w:val="21"/>
              </w:rPr>
            </w:pPr>
            <w:r>
              <w:rPr>
                <w:rFonts w:ascii="仿宋_GB2312" w:hAnsi="新宋体" w:eastAsia="仿宋_GB2312" w:cs="仿宋_GB2312"/>
                <w:kern w:val="0"/>
                <w:szCs w:val="21"/>
                <w:lang w:bidi="ar"/>
              </w:rPr>
              <w:t>1.符合国家财经法规和财务管理制度规定以及有关部门资金管理办法的规定；</w:t>
            </w:r>
          </w:p>
          <w:p w14:paraId="7437B18B">
            <w:pPr>
              <w:widowControl/>
              <w:spacing w:line="240" w:lineRule="exact"/>
              <w:jc w:val="left"/>
              <w:rPr>
                <w:szCs w:val="21"/>
              </w:rPr>
            </w:pPr>
            <w:r>
              <w:rPr>
                <w:rFonts w:ascii="仿宋_GB2312" w:hAnsi="新宋体" w:eastAsia="仿宋_GB2312" w:cs="仿宋_GB2312"/>
                <w:kern w:val="0"/>
                <w:szCs w:val="21"/>
                <w:lang w:bidi="ar"/>
              </w:rPr>
              <w:t>2.资金的拨付有完整的审批过程和手续；</w:t>
            </w:r>
          </w:p>
          <w:p w14:paraId="6B9034F6">
            <w:pPr>
              <w:widowControl/>
              <w:spacing w:line="240" w:lineRule="exact"/>
              <w:jc w:val="left"/>
              <w:rPr>
                <w:szCs w:val="21"/>
              </w:rPr>
            </w:pPr>
            <w:r>
              <w:rPr>
                <w:rFonts w:ascii="仿宋_GB2312" w:hAnsi="新宋体" w:eastAsia="仿宋_GB2312" w:cs="仿宋_GB2312"/>
                <w:kern w:val="0"/>
                <w:szCs w:val="21"/>
                <w:lang w:bidi="ar"/>
              </w:rPr>
              <w:t>3.项目的重大开支经过评估论证；</w:t>
            </w:r>
          </w:p>
          <w:p w14:paraId="44669BC5">
            <w:pPr>
              <w:widowControl/>
              <w:spacing w:line="240" w:lineRule="exact"/>
              <w:jc w:val="left"/>
              <w:rPr>
                <w:szCs w:val="21"/>
              </w:rPr>
            </w:pPr>
            <w:r>
              <w:rPr>
                <w:rFonts w:ascii="仿宋_GB2312" w:hAnsi="新宋体" w:eastAsia="仿宋_GB2312" w:cs="仿宋_GB2312"/>
                <w:kern w:val="0"/>
                <w:szCs w:val="21"/>
                <w:lang w:bidi="ar"/>
              </w:rPr>
              <w:t>4.符合部门预算批复的用途；</w:t>
            </w:r>
          </w:p>
          <w:p w14:paraId="7F39604A">
            <w:pPr>
              <w:widowControl/>
              <w:spacing w:line="240" w:lineRule="exact"/>
              <w:jc w:val="left"/>
              <w:rPr>
                <w:szCs w:val="21"/>
              </w:rPr>
            </w:pPr>
            <w:r>
              <w:rPr>
                <w:rFonts w:ascii="仿宋_GB2312" w:hAnsi="新宋体" w:eastAsia="仿宋_GB2312" w:cs="仿宋_GB2312"/>
                <w:kern w:val="0"/>
                <w:szCs w:val="21"/>
                <w:lang w:bidi="ar"/>
              </w:rPr>
              <w:t>5.不存在截留情况；</w:t>
            </w:r>
          </w:p>
          <w:p w14:paraId="47B00FCF">
            <w:pPr>
              <w:widowControl/>
              <w:spacing w:line="240" w:lineRule="exact"/>
              <w:jc w:val="left"/>
              <w:rPr>
                <w:szCs w:val="21"/>
              </w:rPr>
            </w:pPr>
            <w:r>
              <w:rPr>
                <w:rFonts w:ascii="仿宋_GB2312" w:hAnsi="新宋体" w:eastAsia="仿宋_GB2312" w:cs="仿宋_GB2312"/>
                <w:kern w:val="0"/>
                <w:szCs w:val="21"/>
                <w:lang w:bidi="ar"/>
              </w:rPr>
              <w:t>6.不存在挤占情况；</w:t>
            </w:r>
          </w:p>
          <w:p w14:paraId="5E722D42">
            <w:pPr>
              <w:widowControl/>
              <w:spacing w:line="240" w:lineRule="exact"/>
              <w:jc w:val="left"/>
              <w:rPr>
                <w:szCs w:val="21"/>
              </w:rPr>
            </w:pPr>
            <w:r>
              <w:rPr>
                <w:rFonts w:ascii="仿宋_GB2312" w:hAnsi="新宋体" w:eastAsia="仿宋_GB2312" w:cs="仿宋_GB2312"/>
                <w:kern w:val="0"/>
                <w:szCs w:val="21"/>
                <w:lang w:bidi="ar"/>
              </w:rPr>
              <w:t>7.不存在挪用情况；</w:t>
            </w:r>
          </w:p>
          <w:p w14:paraId="00CF6BC9">
            <w:pPr>
              <w:widowControl/>
              <w:spacing w:line="240" w:lineRule="exact"/>
              <w:jc w:val="left"/>
              <w:rPr>
                <w:szCs w:val="21"/>
              </w:rPr>
            </w:pPr>
            <w:r>
              <w:rPr>
                <w:rFonts w:ascii="仿宋_GB2312" w:hAnsi="新宋体" w:eastAsia="仿宋_GB2312" w:cs="仿宋_GB2312"/>
                <w:kern w:val="0"/>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365EFD84">
            <w:pPr>
              <w:widowControl/>
              <w:spacing w:line="240" w:lineRule="exact"/>
              <w:jc w:val="left"/>
              <w:rPr>
                <w:szCs w:val="21"/>
              </w:rPr>
            </w:pPr>
            <w:r>
              <w:rPr>
                <w:rFonts w:ascii="仿宋_GB2312" w:hAnsi="新宋体" w:eastAsia="仿宋_GB2312" w:cs="仿宋_GB2312"/>
                <w:kern w:val="0"/>
                <w:szCs w:val="21"/>
                <w:lang w:bidi="ar"/>
              </w:rPr>
              <w:t>全部符合（8）；</w:t>
            </w:r>
          </w:p>
          <w:p w14:paraId="07B15DCA">
            <w:pPr>
              <w:widowControl/>
              <w:spacing w:line="240" w:lineRule="exact"/>
              <w:jc w:val="left"/>
              <w:rPr>
                <w:szCs w:val="21"/>
              </w:rPr>
            </w:pPr>
            <w:r>
              <w:rPr>
                <w:rFonts w:ascii="仿宋_GB2312" w:hAnsi="新宋体" w:eastAsia="仿宋_GB2312" w:cs="仿宋_GB2312"/>
                <w:kern w:val="0"/>
                <w:szCs w:val="21"/>
                <w:lang w:bidi="ar"/>
              </w:rPr>
              <w:t>符合其中七项（6）；</w:t>
            </w:r>
          </w:p>
          <w:p w14:paraId="7970AE31">
            <w:pPr>
              <w:widowControl/>
              <w:spacing w:line="240" w:lineRule="exact"/>
              <w:jc w:val="left"/>
              <w:rPr>
                <w:szCs w:val="21"/>
              </w:rPr>
            </w:pPr>
            <w:r>
              <w:rPr>
                <w:rFonts w:ascii="仿宋_GB2312" w:hAnsi="新宋体" w:eastAsia="仿宋_GB2312" w:cs="仿宋_GB2312"/>
                <w:kern w:val="0"/>
                <w:szCs w:val="21"/>
                <w:lang w:bidi="ar"/>
              </w:rPr>
              <w:t>符合其中六项（4）；</w:t>
            </w:r>
          </w:p>
          <w:p w14:paraId="13A9CD14">
            <w:pPr>
              <w:widowControl/>
              <w:spacing w:line="240" w:lineRule="exact"/>
              <w:jc w:val="left"/>
              <w:rPr>
                <w:szCs w:val="21"/>
              </w:rPr>
            </w:pPr>
            <w:r>
              <w:rPr>
                <w:rFonts w:ascii="仿宋_GB2312" w:hAnsi="新宋体" w:eastAsia="仿宋_GB2312" w:cs="仿宋_GB2312"/>
                <w:kern w:val="0"/>
                <w:szCs w:val="21"/>
                <w:lang w:bidi="ar"/>
              </w:rPr>
              <w:t>符合其中五项（2）；</w:t>
            </w:r>
          </w:p>
          <w:p w14:paraId="45F28AB0">
            <w:pPr>
              <w:widowControl/>
              <w:spacing w:line="240" w:lineRule="exact"/>
              <w:jc w:val="left"/>
              <w:rPr>
                <w:szCs w:val="21"/>
              </w:rPr>
            </w:pPr>
            <w:r>
              <w:rPr>
                <w:rFonts w:ascii="仿宋_GB2312" w:hAnsi="新宋体" w:eastAsia="仿宋_GB2312" w:cs="仿宋_GB2312"/>
                <w:kern w:val="0"/>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271D42C">
            <w:pPr>
              <w:widowControl/>
              <w:spacing w:line="240" w:lineRule="exact"/>
              <w:jc w:val="left"/>
              <w:rPr>
                <w:szCs w:val="21"/>
              </w:rPr>
            </w:pPr>
            <w:r>
              <w:rPr>
                <w:rFonts w:hint="eastAsia"/>
                <w:szCs w:val="21"/>
              </w:rPr>
              <w:t>8</w:t>
            </w:r>
          </w:p>
        </w:tc>
      </w:tr>
      <w:tr w14:paraId="500D7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35CE87F">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8ACFBF4">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1D9D1C6">
            <w:pPr>
              <w:widowControl/>
              <w:spacing w:line="240" w:lineRule="exact"/>
              <w:jc w:val="left"/>
              <w:rPr>
                <w:szCs w:val="21"/>
              </w:rPr>
            </w:pPr>
            <w:r>
              <w:rPr>
                <w:rFonts w:ascii="仿宋_GB2312" w:hAnsi="新宋体" w:eastAsia="仿宋_GB2312" w:cs="仿宋_GB2312"/>
                <w:kern w:val="0"/>
                <w:szCs w:val="21"/>
                <w:lang w:bidi="ar"/>
              </w:rPr>
              <w:t>预决算信息公开性（3</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497DA0A">
            <w:pPr>
              <w:widowControl/>
              <w:spacing w:line="240" w:lineRule="exact"/>
              <w:jc w:val="left"/>
              <w:rPr>
                <w:szCs w:val="21"/>
              </w:rPr>
            </w:pPr>
            <w:r>
              <w:rPr>
                <w:rFonts w:ascii="仿宋_GB2312" w:hAnsi="新宋体" w:eastAsia="仿宋_GB2312" w:cs="仿宋_GB2312"/>
                <w:kern w:val="0"/>
                <w:szCs w:val="21"/>
                <w:lang w:bidi="ar"/>
              </w:rPr>
              <w:t>部门是否按照政府信息公开有关规定公开相关预决算信息，用以反映和评价部门预决算管理的公开透明情况。</w:t>
            </w:r>
          </w:p>
          <w:p w14:paraId="441B1A1A">
            <w:pPr>
              <w:widowControl/>
              <w:spacing w:line="240" w:lineRule="exact"/>
              <w:jc w:val="left"/>
              <w:rPr>
                <w:szCs w:val="21"/>
              </w:rPr>
            </w:pPr>
            <w:r>
              <w:rPr>
                <w:rFonts w:ascii="仿宋_GB2312" w:hAnsi="新宋体" w:eastAsia="仿宋_GB2312" w:cs="仿宋_GB2312"/>
                <w:kern w:val="0"/>
                <w:szCs w:val="21"/>
                <w:lang w:bidi="ar"/>
              </w:rPr>
              <w:t>预决算信息是指与部门预算、执行、决算、监督、绩效等管理相关的信息。</w:t>
            </w:r>
          </w:p>
          <w:p w14:paraId="2645962C">
            <w:pPr>
              <w:widowControl/>
              <w:spacing w:line="240" w:lineRule="exact"/>
              <w:jc w:val="left"/>
              <w:rPr>
                <w:szCs w:val="21"/>
              </w:rPr>
            </w:pPr>
            <w:r>
              <w:rPr>
                <w:rFonts w:ascii="仿宋_GB2312" w:hAnsi="新宋体" w:eastAsia="仿宋_GB2312" w:cs="仿宋_GB2312"/>
                <w:kern w:val="0"/>
                <w:szCs w:val="21"/>
                <w:lang w:bidi="ar"/>
              </w:rPr>
              <w:t>评价要点：</w:t>
            </w:r>
          </w:p>
          <w:p w14:paraId="4F64A0A8">
            <w:pPr>
              <w:widowControl/>
              <w:spacing w:line="240" w:lineRule="exact"/>
              <w:jc w:val="left"/>
              <w:rPr>
                <w:szCs w:val="21"/>
              </w:rPr>
            </w:pPr>
            <w:r>
              <w:rPr>
                <w:rFonts w:ascii="仿宋_GB2312" w:hAnsi="新宋体" w:eastAsia="仿宋_GB2312" w:cs="仿宋_GB2312"/>
                <w:kern w:val="0"/>
                <w:szCs w:val="21"/>
                <w:lang w:bidi="ar"/>
              </w:rPr>
              <w:t>1.公开预决算信息；</w:t>
            </w:r>
          </w:p>
          <w:p w14:paraId="2D1B2B32">
            <w:pPr>
              <w:widowControl/>
              <w:spacing w:line="240" w:lineRule="exact"/>
              <w:jc w:val="left"/>
              <w:rPr>
                <w:szCs w:val="21"/>
              </w:rPr>
            </w:pPr>
            <w:r>
              <w:rPr>
                <w:rFonts w:ascii="仿宋_GB2312" w:hAnsi="新宋体" w:eastAsia="仿宋_GB2312" w:cs="仿宋_GB2312"/>
                <w:kern w:val="0"/>
                <w:szCs w:val="21"/>
                <w:lang w:bidi="ar"/>
              </w:rPr>
              <w:t>2.按规定内容公开预决算信息；</w:t>
            </w:r>
          </w:p>
          <w:p w14:paraId="05FEC7C4">
            <w:pPr>
              <w:widowControl/>
              <w:spacing w:line="240" w:lineRule="exact"/>
              <w:jc w:val="left"/>
              <w:rPr>
                <w:szCs w:val="21"/>
              </w:rPr>
            </w:pPr>
            <w:r>
              <w:rPr>
                <w:rFonts w:ascii="仿宋_GB2312" w:hAnsi="新宋体" w:eastAsia="仿宋_GB2312" w:cs="仿宋_GB2312"/>
                <w:kern w:val="0"/>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17D01DCA">
            <w:pPr>
              <w:widowControl/>
              <w:spacing w:line="240" w:lineRule="exact"/>
              <w:jc w:val="left"/>
              <w:rPr>
                <w:szCs w:val="21"/>
              </w:rPr>
            </w:pPr>
            <w:r>
              <w:rPr>
                <w:rFonts w:ascii="仿宋_GB2312" w:hAnsi="新宋体" w:eastAsia="仿宋_GB2312" w:cs="仿宋_GB2312"/>
                <w:kern w:val="0"/>
                <w:szCs w:val="21"/>
                <w:lang w:bidi="ar"/>
              </w:rPr>
              <w:t>全部符合（3）；</w:t>
            </w:r>
          </w:p>
          <w:p w14:paraId="660B8A8C">
            <w:pPr>
              <w:widowControl/>
              <w:spacing w:line="240" w:lineRule="exact"/>
              <w:jc w:val="left"/>
              <w:rPr>
                <w:szCs w:val="21"/>
              </w:rPr>
            </w:pPr>
            <w:r>
              <w:rPr>
                <w:rFonts w:ascii="仿宋_GB2312" w:hAnsi="新宋体" w:eastAsia="仿宋_GB2312" w:cs="仿宋_GB2312"/>
                <w:kern w:val="0"/>
                <w:szCs w:val="21"/>
                <w:lang w:bidi="ar"/>
              </w:rPr>
              <w:t>符合其中两项（2）</w:t>
            </w:r>
          </w:p>
          <w:p w14:paraId="6FE02F22">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6252E216">
            <w:pPr>
              <w:widowControl/>
              <w:spacing w:line="240" w:lineRule="exact"/>
              <w:jc w:val="left"/>
              <w:rPr>
                <w:szCs w:val="21"/>
              </w:rPr>
            </w:pPr>
            <w:r>
              <w:rPr>
                <w:rFonts w:hint="eastAsia"/>
                <w:szCs w:val="21"/>
              </w:rPr>
              <w:t>3</w:t>
            </w:r>
          </w:p>
        </w:tc>
      </w:tr>
      <w:tr w14:paraId="4CF2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6C7029E">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12A01F8">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CAAEC44">
            <w:pPr>
              <w:widowControl/>
              <w:spacing w:line="240" w:lineRule="exact"/>
              <w:jc w:val="left"/>
              <w:rPr>
                <w:szCs w:val="21"/>
              </w:rPr>
            </w:pPr>
            <w:r>
              <w:rPr>
                <w:rFonts w:ascii="仿宋_GB2312" w:hAnsi="新宋体" w:eastAsia="仿宋_GB2312" w:cs="仿宋_GB2312"/>
                <w:color w:val="000000"/>
                <w:kern w:val="0"/>
                <w:szCs w:val="21"/>
                <w:lang w:bidi="ar"/>
              </w:rPr>
              <w:t>基础信息完善性</w:t>
            </w:r>
            <w:r>
              <w:rPr>
                <w:rFonts w:ascii="仿宋_GB2312" w:hAnsi="新宋体" w:eastAsia="仿宋_GB2312" w:cs="仿宋_GB2312"/>
                <w:kern w:val="0"/>
                <w:szCs w:val="21"/>
                <w:lang w:bidi="ar"/>
              </w:rPr>
              <w:t>（4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11553AA">
            <w:pPr>
              <w:widowControl/>
              <w:spacing w:line="240" w:lineRule="exact"/>
              <w:jc w:val="left"/>
              <w:rPr>
                <w:szCs w:val="21"/>
              </w:rPr>
            </w:pPr>
            <w:r>
              <w:rPr>
                <w:rFonts w:ascii="仿宋_GB2312" w:hAnsi="新宋体" w:eastAsia="仿宋_GB2312" w:cs="仿宋_GB2312"/>
                <w:kern w:val="0"/>
                <w:szCs w:val="21"/>
                <w:lang w:bidi="ar"/>
              </w:rPr>
              <w:t>部门基础信息是否完善，用以反映和评价基础信息对预算管理工作的支撑情况。</w:t>
            </w:r>
          </w:p>
          <w:p w14:paraId="6AF67C6B">
            <w:pPr>
              <w:widowControl/>
              <w:spacing w:line="240" w:lineRule="exact"/>
              <w:jc w:val="left"/>
              <w:rPr>
                <w:szCs w:val="21"/>
              </w:rPr>
            </w:pPr>
            <w:r>
              <w:rPr>
                <w:rFonts w:ascii="仿宋_GB2312" w:hAnsi="新宋体" w:eastAsia="仿宋_GB2312" w:cs="仿宋_GB2312"/>
                <w:kern w:val="0"/>
                <w:szCs w:val="21"/>
                <w:lang w:bidi="ar"/>
              </w:rPr>
              <w:t>评价要点：</w:t>
            </w:r>
          </w:p>
          <w:p w14:paraId="2951102F">
            <w:pPr>
              <w:widowControl/>
              <w:spacing w:line="240" w:lineRule="exact"/>
              <w:jc w:val="left"/>
              <w:rPr>
                <w:szCs w:val="21"/>
              </w:rPr>
            </w:pPr>
            <w:r>
              <w:rPr>
                <w:rFonts w:ascii="仿宋_GB2312" w:hAnsi="新宋体" w:eastAsia="仿宋_GB2312" w:cs="仿宋_GB2312"/>
                <w:kern w:val="0"/>
                <w:szCs w:val="21"/>
                <w:lang w:bidi="ar"/>
              </w:rPr>
              <w:t>1.基本财务管理制度健全；</w:t>
            </w:r>
          </w:p>
          <w:p w14:paraId="2820EC3C">
            <w:pPr>
              <w:widowControl/>
              <w:spacing w:line="240" w:lineRule="exact"/>
              <w:jc w:val="left"/>
              <w:rPr>
                <w:szCs w:val="21"/>
              </w:rPr>
            </w:pPr>
            <w:r>
              <w:rPr>
                <w:rFonts w:ascii="仿宋_GB2312" w:hAnsi="新宋体" w:eastAsia="仿宋_GB2312" w:cs="仿宋_GB2312"/>
                <w:kern w:val="0"/>
                <w:szCs w:val="21"/>
                <w:lang w:bidi="ar"/>
              </w:rPr>
              <w:t>2.基础数据信息和会计信息资料真实；</w:t>
            </w:r>
          </w:p>
          <w:p w14:paraId="1A10158B">
            <w:pPr>
              <w:widowControl/>
              <w:spacing w:line="240" w:lineRule="exact"/>
              <w:jc w:val="left"/>
              <w:rPr>
                <w:szCs w:val="21"/>
              </w:rPr>
            </w:pPr>
            <w:r>
              <w:rPr>
                <w:rFonts w:ascii="仿宋_GB2312" w:hAnsi="新宋体" w:eastAsia="仿宋_GB2312" w:cs="仿宋_GB2312"/>
                <w:kern w:val="0"/>
                <w:szCs w:val="21"/>
                <w:lang w:bidi="ar"/>
              </w:rPr>
              <w:t>3.基础数据信息和会计信息资料完整；</w:t>
            </w:r>
          </w:p>
          <w:p w14:paraId="34D05AE7">
            <w:pPr>
              <w:widowControl/>
              <w:spacing w:line="240" w:lineRule="exact"/>
              <w:jc w:val="left"/>
              <w:rPr>
                <w:szCs w:val="21"/>
              </w:rPr>
            </w:pPr>
            <w:r>
              <w:rPr>
                <w:rFonts w:ascii="仿宋_GB2312" w:hAnsi="新宋体" w:eastAsia="仿宋_GB2312" w:cs="仿宋_GB2312"/>
                <w:kern w:val="0"/>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10F7764C">
            <w:pPr>
              <w:widowControl/>
              <w:spacing w:line="240" w:lineRule="exact"/>
              <w:jc w:val="left"/>
              <w:rPr>
                <w:szCs w:val="21"/>
              </w:rPr>
            </w:pPr>
            <w:r>
              <w:rPr>
                <w:rFonts w:ascii="仿宋_GB2312" w:hAnsi="新宋体" w:eastAsia="仿宋_GB2312" w:cs="仿宋_GB2312"/>
                <w:kern w:val="0"/>
                <w:szCs w:val="21"/>
                <w:lang w:bidi="ar"/>
              </w:rPr>
              <w:t>符合全部四项（4）；</w:t>
            </w:r>
          </w:p>
          <w:p w14:paraId="53CAFF69">
            <w:pPr>
              <w:widowControl/>
              <w:spacing w:line="240" w:lineRule="exact"/>
              <w:jc w:val="left"/>
              <w:rPr>
                <w:szCs w:val="21"/>
              </w:rPr>
            </w:pPr>
            <w:r>
              <w:rPr>
                <w:rFonts w:ascii="仿宋_GB2312" w:hAnsi="新宋体" w:eastAsia="仿宋_GB2312" w:cs="仿宋_GB2312"/>
                <w:kern w:val="0"/>
                <w:szCs w:val="21"/>
                <w:lang w:bidi="ar"/>
              </w:rPr>
              <w:t>符合其中三项（2）；</w:t>
            </w:r>
          </w:p>
          <w:p w14:paraId="680DC185">
            <w:pPr>
              <w:widowControl/>
              <w:spacing w:line="240" w:lineRule="exact"/>
              <w:jc w:val="left"/>
              <w:rPr>
                <w:szCs w:val="21"/>
              </w:rPr>
            </w:pPr>
            <w:r>
              <w:rPr>
                <w:rFonts w:ascii="仿宋_GB2312" w:hAnsi="新宋体" w:eastAsia="仿宋_GB2312" w:cs="仿宋_GB2312"/>
                <w:kern w:val="0"/>
                <w:szCs w:val="21"/>
                <w:lang w:bidi="ar"/>
              </w:rPr>
              <w:t>符合其中两项（1）；</w:t>
            </w:r>
          </w:p>
          <w:p w14:paraId="0A5B0BF1">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697C9AA">
            <w:pPr>
              <w:widowControl/>
              <w:spacing w:line="240" w:lineRule="exact"/>
              <w:jc w:val="left"/>
              <w:rPr>
                <w:szCs w:val="21"/>
              </w:rPr>
            </w:pPr>
            <w:r>
              <w:rPr>
                <w:rFonts w:hint="eastAsia"/>
                <w:szCs w:val="21"/>
              </w:rPr>
              <w:t>4</w:t>
            </w:r>
          </w:p>
        </w:tc>
      </w:tr>
      <w:tr w14:paraId="20A86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97A4634">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62210B4">
            <w:pPr>
              <w:widowControl/>
              <w:spacing w:line="240" w:lineRule="exact"/>
              <w:jc w:val="left"/>
              <w:rPr>
                <w:szCs w:val="21"/>
              </w:rPr>
            </w:pPr>
            <w:r>
              <w:rPr>
                <w:rFonts w:ascii="仿宋_GB2312" w:hAnsi="新宋体" w:eastAsia="仿宋_GB2312" w:cs="仿宋_GB2312"/>
                <w:kern w:val="0"/>
                <w:szCs w:val="21"/>
                <w:lang w:bidi="ar"/>
              </w:rPr>
              <w:t>资产管理</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04BDF861">
            <w:pPr>
              <w:widowControl/>
              <w:spacing w:line="240" w:lineRule="exact"/>
              <w:jc w:val="left"/>
              <w:rPr>
                <w:szCs w:val="21"/>
              </w:rPr>
            </w:pPr>
            <w:r>
              <w:rPr>
                <w:rFonts w:ascii="仿宋_GB2312" w:hAnsi="新宋体" w:eastAsia="仿宋_GB2312" w:cs="仿宋_GB2312"/>
                <w:kern w:val="0"/>
                <w:szCs w:val="21"/>
                <w:lang w:bidi="ar"/>
              </w:rPr>
              <w:t>资产管理完整性（</w:t>
            </w:r>
            <w:r>
              <w:rPr>
                <w:rFonts w:hint="eastAsia" w:ascii="仿宋_GB2312" w:hAnsi="新宋体" w:eastAsia="仿宋_GB2312" w:cs="仿宋_GB2312"/>
                <w:kern w:val="0"/>
                <w:szCs w:val="21"/>
                <w:lang w:bidi="ar"/>
              </w:rPr>
              <w:t>2分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14:paraId="72AD3B03">
            <w:pPr>
              <w:widowControl/>
              <w:spacing w:line="240" w:lineRule="exact"/>
              <w:jc w:val="left"/>
              <w:rPr>
                <w:szCs w:val="21"/>
              </w:rPr>
            </w:pPr>
            <w:r>
              <w:rPr>
                <w:rFonts w:ascii="仿宋_GB2312" w:hAnsi="新宋体" w:eastAsia="仿宋_GB2312" w:cs="仿宋_GB2312"/>
                <w:kern w:val="0"/>
                <w:szCs w:val="21"/>
                <w:lang w:bidi="ar"/>
              </w:rPr>
              <w:t>部门的资产是否保存完整、使用合规、收入及时足额上缴，用以反映和评价部门资产运行情况。</w:t>
            </w:r>
          </w:p>
          <w:p w14:paraId="3386C05F">
            <w:pPr>
              <w:widowControl/>
              <w:spacing w:line="240" w:lineRule="exact"/>
              <w:jc w:val="left"/>
              <w:rPr>
                <w:szCs w:val="21"/>
              </w:rPr>
            </w:pPr>
            <w:r>
              <w:rPr>
                <w:rFonts w:ascii="仿宋_GB2312" w:hAnsi="新宋体" w:eastAsia="仿宋_GB2312" w:cs="仿宋_GB2312"/>
                <w:kern w:val="0"/>
                <w:szCs w:val="21"/>
                <w:lang w:bidi="ar"/>
              </w:rPr>
              <w:t>评价要点：</w:t>
            </w:r>
          </w:p>
          <w:p w14:paraId="7399D78B">
            <w:pPr>
              <w:widowControl/>
              <w:spacing w:line="240" w:lineRule="exact"/>
              <w:jc w:val="left"/>
              <w:rPr>
                <w:szCs w:val="21"/>
              </w:rPr>
            </w:pPr>
            <w:r>
              <w:rPr>
                <w:rFonts w:ascii="仿宋_GB2312" w:hAnsi="新宋体" w:eastAsia="仿宋_GB2312" w:cs="仿宋_GB2312"/>
                <w:kern w:val="0"/>
                <w:szCs w:val="21"/>
                <w:lang w:bidi="ar"/>
              </w:rPr>
              <w:t>1.资产保存完整；</w:t>
            </w:r>
          </w:p>
          <w:p w14:paraId="2B8E3073">
            <w:pPr>
              <w:widowControl/>
              <w:spacing w:line="240" w:lineRule="exact"/>
              <w:jc w:val="left"/>
              <w:rPr>
                <w:szCs w:val="21"/>
              </w:rPr>
            </w:pPr>
            <w:r>
              <w:rPr>
                <w:rFonts w:ascii="仿宋_GB2312" w:hAnsi="新宋体" w:eastAsia="仿宋_GB2312" w:cs="仿宋_GB2312"/>
                <w:kern w:val="0"/>
                <w:szCs w:val="21"/>
                <w:lang w:bidi="ar"/>
              </w:rPr>
              <w:t>2.资产账务管理是否合规，帐实相符；</w:t>
            </w:r>
          </w:p>
          <w:p w14:paraId="45ECEEF8">
            <w:pPr>
              <w:widowControl/>
              <w:spacing w:line="240" w:lineRule="exact"/>
              <w:jc w:val="left"/>
              <w:rPr>
                <w:szCs w:val="21"/>
              </w:rPr>
            </w:pPr>
            <w:r>
              <w:rPr>
                <w:rFonts w:ascii="仿宋_GB2312" w:hAnsi="新宋体" w:eastAsia="仿宋_GB2312" w:cs="仿宋_GB2312"/>
                <w:kern w:val="0"/>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2A699691">
            <w:pPr>
              <w:widowControl/>
              <w:spacing w:line="240" w:lineRule="exact"/>
              <w:jc w:val="left"/>
              <w:rPr>
                <w:szCs w:val="21"/>
              </w:rPr>
            </w:pPr>
            <w:r>
              <w:rPr>
                <w:rFonts w:ascii="仿宋_GB2312" w:hAnsi="新宋体" w:eastAsia="仿宋_GB2312" w:cs="仿宋_GB2312"/>
                <w:kern w:val="0"/>
                <w:szCs w:val="21"/>
                <w:lang w:bidi="ar"/>
              </w:rPr>
              <w:t>符合全部三项（3）；</w:t>
            </w:r>
          </w:p>
          <w:p w14:paraId="7F1FE7A2">
            <w:pPr>
              <w:widowControl/>
              <w:spacing w:line="240" w:lineRule="exact"/>
              <w:jc w:val="left"/>
              <w:rPr>
                <w:szCs w:val="21"/>
              </w:rPr>
            </w:pPr>
            <w:r>
              <w:rPr>
                <w:rFonts w:ascii="仿宋_GB2312" w:hAnsi="新宋体" w:eastAsia="仿宋_GB2312" w:cs="仿宋_GB2312"/>
                <w:kern w:val="0"/>
                <w:szCs w:val="21"/>
                <w:lang w:bidi="ar"/>
              </w:rPr>
              <w:t>符合其中两项（2）；</w:t>
            </w:r>
          </w:p>
          <w:p w14:paraId="5C7211F2">
            <w:pPr>
              <w:widowControl/>
              <w:spacing w:line="240" w:lineRule="exact"/>
              <w:jc w:val="left"/>
              <w:rPr>
                <w:szCs w:val="21"/>
              </w:rPr>
            </w:pPr>
            <w:r>
              <w:rPr>
                <w:rFonts w:ascii="仿宋_GB2312" w:hAnsi="新宋体" w:eastAsia="仿宋_GB2312" w:cs="仿宋_GB2312"/>
                <w:kern w:val="0"/>
                <w:szCs w:val="21"/>
                <w:lang w:bidi="ar"/>
              </w:rPr>
              <w:t>符合其中一项（1）；</w:t>
            </w:r>
          </w:p>
          <w:p w14:paraId="24DCCA4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02CA88B1">
            <w:pPr>
              <w:widowControl/>
              <w:spacing w:line="240" w:lineRule="exact"/>
              <w:jc w:val="left"/>
              <w:rPr>
                <w:szCs w:val="21"/>
              </w:rPr>
            </w:pPr>
            <w:r>
              <w:rPr>
                <w:rFonts w:hint="eastAsia"/>
                <w:szCs w:val="21"/>
              </w:rPr>
              <w:t>2</w:t>
            </w:r>
          </w:p>
        </w:tc>
      </w:tr>
      <w:tr w14:paraId="37115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0EBD9CE">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BC22A62">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79FE9248">
            <w:pPr>
              <w:widowControl/>
              <w:spacing w:line="240" w:lineRule="exact"/>
              <w:jc w:val="left"/>
              <w:rPr>
                <w:szCs w:val="21"/>
              </w:rPr>
            </w:pPr>
            <w:r>
              <w:rPr>
                <w:rFonts w:ascii="仿宋_GB2312" w:hAnsi="新宋体" w:eastAsia="仿宋_GB2312" w:cs="仿宋_GB2312"/>
                <w:kern w:val="0"/>
                <w:szCs w:val="21"/>
                <w:lang w:bidi="ar"/>
              </w:rPr>
              <w:t>固定资产利用率（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14:paraId="1369EE2A">
            <w:pPr>
              <w:widowControl/>
              <w:spacing w:line="240" w:lineRule="exact"/>
              <w:jc w:val="left"/>
              <w:rPr>
                <w:szCs w:val="21"/>
              </w:rPr>
            </w:pPr>
            <w:r>
              <w:rPr>
                <w:rFonts w:ascii="仿宋_GB2312" w:hAnsi="新宋体" w:eastAsia="仿宋_GB2312" w:cs="仿宋_GB2312"/>
                <w:kern w:val="0"/>
                <w:szCs w:val="21"/>
                <w:lang w:bidi="ar"/>
              </w:rPr>
              <w:t>部门实际在用固定资产总额与所有固定资产总额的比率，用以反映和评价部门固定资产使用效率。</w:t>
            </w:r>
          </w:p>
          <w:p w14:paraId="31CE91AD">
            <w:pPr>
              <w:widowControl/>
              <w:spacing w:line="240" w:lineRule="exact"/>
              <w:jc w:val="left"/>
              <w:rPr>
                <w:szCs w:val="21"/>
              </w:rPr>
            </w:pPr>
            <w:r>
              <w:rPr>
                <w:rFonts w:ascii="仿宋_GB2312" w:hAnsi="新宋体" w:eastAsia="仿宋_GB2312" w:cs="仿宋_GB2312"/>
                <w:kern w:val="0"/>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27DD1A1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1.固定资产利用率大于或等于95%的，得满分；</w:t>
            </w:r>
          </w:p>
          <w:p w14:paraId="22D9106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2.固定资产利用率小于或等于85%的，得0分；</w:t>
            </w:r>
          </w:p>
          <w:p w14:paraId="15AABDF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3.固定资产利用率在85%-95%之间的，在0和满分之间计算确定：</w:t>
            </w:r>
          </w:p>
          <w:p w14:paraId="1DC4703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0992F20">
            <w:pPr>
              <w:widowControl/>
              <w:spacing w:line="240" w:lineRule="exact"/>
              <w:jc w:val="left"/>
              <w:rPr>
                <w:szCs w:val="21"/>
              </w:rPr>
            </w:pPr>
            <w:r>
              <w:rPr>
                <w:rFonts w:hint="eastAsia"/>
                <w:szCs w:val="21"/>
              </w:rPr>
              <w:t>3</w:t>
            </w:r>
          </w:p>
        </w:tc>
      </w:tr>
      <w:tr w14:paraId="16B58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8420921">
            <w:pPr>
              <w:widowControl/>
              <w:spacing w:line="240" w:lineRule="exact"/>
              <w:jc w:val="left"/>
              <w:rPr>
                <w:szCs w:val="21"/>
              </w:rPr>
            </w:pPr>
            <w:r>
              <w:rPr>
                <w:rFonts w:ascii="仿宋_GB2312" w:hAnsi="新宋体" w:eastAsia="仿宋_GB2312" w:cs="仿宋_GB2312"/>
                <w:kern w:val="0"/>
                <w:szCs w:val="21"/>
                <w:lang w:bidi="ar"/>
              </w:rPr>
              <w:t>产出(2</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19AFFF7">
            <w:pPr>
              <w:widowControl/>
              <w:spacing w:line="240" w:lineRule="exact"/>
              <w:jc w:val="left"/>
              <w:rPr>
                <w:szCs w:val="21"/>
              </w:rPr>
            </w:pPr>
            <w:r>
              <w:rPr>
                <w:rFonts w:ascii="仿宋_GB2312" w:hAnsi="新宋体" w:eastAsia="仿宋_GB2312" w:cs="仿宋_GB2312"/>
                <w:kern w:val="0"/>
                <w:szCs w:val="21"/>
                <w:lang w:bidi="ar"/>
              </w:rPr>
              <w:t>职责履行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（2</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38F92C2A">
            <w:pPr>
              <w:widowControl/>
              <w:spacing w:line="240" w:lineRule="exact"/>
              <w:jc w:val="left"/>
              <w:rPr>
                <w:szCs w:val="21"/>
              </w:rPr>
            </w:pPr>
            <w:r>
              <w:rPr>
                <w:rFonts w:hint="eastAsia" w:ascii="仿宋_GB2312" w:hAnsi="新宋体" w:eastAsia="仿宋_GB2312" w:cs="仿宋_GB2312"/>
                <w:kern w:val="0"/>
                <w:szCs w:val="21"/>
                <w:lang w:bidi="ar"/>
              </w:rPr>
              <w:t>履职完成情况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14:paraId="534CCFA1">
            <w:pPr>
              <w:widowControl/>
              <w:spacing w:line="240" w:lineRule="exact"/>
              <w:jc w:val="left"/>
              <w:textAlignment w:val="center"/>
              <w:rPr>
                <w:szCs w:val="21"/>
              </w:rPr>
            </w:pPr>
            <w:r>
              <w:rPr>
                <w:rFonts w:hint="eastAsia" w:ascii="仿宋" w:hAnsi="仿宋" w:eastAsia="仿宋" w:cs="仿宋"/>
                <w:color w:val="000000"/>
                <w:kern w:val="0"/>
                <w:szCs w:val="21"/>
                <w:lang w:bidi="ar"/>
              </w:rPr>
              <w:t>根据年度主要任务分解表</w:t>
            </w:r>
            <w:r>
              <w:rPr>
                <w:rFonts w:hint="eastAsia" w:ascii="仿宋" w:hAnsi="仿宋" w:eastAsia="仿宋" w:cs="仿宋"/>
                <w:color w:val="000000"/>
                <w:kern w:val="0"/>
                <w:szCs w:val="21"/>
                <w:lang w:eastAsia="zh-CN" w:bidi="ar"/>
              </w:rPr>
              <w:t>的</w:t>
            </w:r>
            <w:r>
              <w:rPr>
                <w:rFonts w:hint="eastAsia" w:ascii="仿宋" w:hAnsi="仿宋" w:eastAsia="仿宋" w:cs="仿宋"/>
                <w:color w:val="000000"/>
                <w:kern w:val="0"/>
                <w:szCs w:val="21"/>
                <w:lang w:bidi="ar"/>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1.每项任务是否已制定了明确、具体、可量化、可衡量的绩效指标；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2.每项任务绩效指标的完成情况，是全部完成、基本完成、未完成，还是未实施；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3.每项任务实施效果情况，是优秀、良好、一般，还是无效果；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7D58FCAB">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4E7838D6">
            <w:pPr>
              <w:widowControl/>
              <w:spacing w:line="240" w:lineRule="exact"/>
              <w:jc w:val="left"/>
              <w:rPr>
                <w:szCs w:val="21"/>
              </w:rPr>
            </w:pPr>
            <w:r>
              <w:rPr>
                <w:rFonts w:hint="eastAsia"/>
                <w:szCs w:val="21"/>
              </w:rPr>
              <w:t>10</w:t>
            </w:r>
          </w:p>
        </w:tc>
      </w:tr>
      <w:tr w14:paraId="57290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F9073DB">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C810023">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7F933FD4">
            <w:pPr>
              <w:widowControl/>
              <w:spacing w:line="240" w:lineRule="exact"/>
              <w:jc w:val="left"/>
              <w:rPr>
                <w:szCs w:val="21"/>
              </w:rPr>
            </w:pPr>
            <w:r>
              <w:rPr>
                <w:rFonts w:ascii="仿宋_GB2312" w:hAnsi="新宋体" w:eastAsia="仿宋_GB2312" w:cs="仿宋_GB2312"/>
                <w:kern w:val="0"/>
                <w:szCs w:val="21"/>
                <w:lang w:bidi="ar"/>
              </w:rPr>
              <w:t>项目</w:t>
            </w:r>
            <w:r>
              <w:rPr>
                <w:rFonts w:hint="eastAsia" w:ascii="仿宋_GB2312" w:hAnsi="新宋体" w:eastAsia="仿宋_GB2312" w:cs="仿宋_GB2312"/>
                <w:kern w:val="0"/>
                <w:szCs w:val="21"/>
                <w:lang w:bidi="ar"/>
              </w:rPr>
              <w:t>完成</w:t>
            </w:r>
            <w:r>
              <w:rPr>
                <w:rFonts w:ascii="仿宋_GB2312" w:hAnsi="新宋体" w:eastAsia="仿宋_GB2312" w:cs="仿宋_GB2312"/>
                <w:kern w:val="0"/>
                <w:szCs w:val="21"/>
                <w:lang w:bidi="ar"/>
              </w:rPr>
              <w:t>质量达标率（</w:t>
            </w:r>
            <w:r>
              <w:rPr>
                <w:rFonts w:hint="eastAsia" w:ascii="仿宋_GB2312" w:hAnsi="新宋体" w:eastAsia="仿宋_GB2312" w:cs="仿宋_GB2312"/>
                <w:kern w:val="0"/>
                <w:szCs w:val="21"/>
                <w:lang w:bidi="ar"/>
              </w:rPr>
              <w:t>15</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right w:val="single" w:color="auto" w:sz="4" w:space="0"/>
            </w:tcBorders>
            <w:vAlign w:val="center"/>
          </w:tcPr>
          <w:p w14:paraId="3BD40C6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部门已完成项目中质量达标项目个数占已完成项目个数的比率,用以反映和评价部门履职质量目标的实现程度。</w:t>
            </w:r>
          </w:p>
          <w:p w14:paraId="772FE169">
            <w:pPr>
              <w:widowControl/>
              <w:spacing w:line="240" w:lineRule="exact"/>
              <w:jc w:val="left"/>
              <w:rPr>
                <w:szCs w:val="21"/>
              </w:rPr>
            </w:pPr>
            <w:r>
              <w:rPr>
                <w:rFonts w:ascii="仿宋_GB2312" w:hAnsi="新宋体" w:eastAsia="仿宋_GB2312" w:cs="仿宋_GB2312"/>
                <w:kern w:val="0"/>
                <w:szCs w:val="21"/>
                <w:lang w:bidi="ar"/>
              </w:rPr>
              <w:t>项目质量达标率=（已完成项目中质量达标项目个数/已完成项目个数）×100%。</w:t>
            </w:r>
          </w:p>
          <w:p w14:paraId="6BD5E0F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3B238C7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1.项目质量达标率等于100%的，得满分；</w:t>
            </w:r>
          </w:p>
          <w:p w14:paraId="23427DB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2.项目质量达标率小于或等于99%的，得0分；</w:t>
            </w:r>
          </w:p>
          <w:p w14:paraId="05E89CF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 xml:space="preserve">3.项目质量达标率在99%-100%之间的，在0和满分之间计算确定： </w:t>
            </w:r>
          </w:p>
          <w:p w14:paraId="1FF6739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12BE0D36">
            <w:pPr>
              <w:widowControl/>
              <w:spacing w:line="240" w:lineRule="exact"/>
              <w:jc w:val="left"/>
              <w:rPr>
                <w:szCs w:val="21"/>
              </w:rPr>
            </w:pPr>
            <w:r>
              <w:rPr>
                <w:rFonts w:hint="eastAsia"/>
                <w:szCs w:val="21"/>
              </w:rPr>
              <w:t>15</w:t>
            </w:r>
          </w:p>
        </w:tc>
      </w:tr>
      <w:tr w14:paraId="56054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486B405">
            <w:pPr>
              <w:widowControl/>
              <w:spacing w:line="240" w:lineRule="exact"/>
              <w:jc w:val="left"/>
              <w:rPr>
                <w:szCs w:val="21"/>
              </w:rPr>
            </w:pPr>
            <w:r>
              <w:rPr>
                <w:rFonts w:ascii="仿宋_GB2312" w:hAnsi="新宋体" w:eastAsia="仿宋_GB2312" w:cs="仿宋_GB2312"/>
                <w:kern w:val="0"/>
                <w:szCs w:val="21"/>
                <w:lang w:bidi="ar"/>
              </w:rPr>
              <w:t>效果（</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743" w:type="dxa"/>
            <w:vMerge w:val="restart"/>
            <w:tcBorders>
              <w:top w:val="single" w:color="auto" w:sz="4" w:space="0"/>
              <w:left w:val="single" w:color="000000" w:sz="4" w:space="0"/>
              <w:right w:val="single" w:color="000000" w:sz="4" w:space="0"/>
            </w:tcBorders>
            <w:vAlign w:val="center"/>
          </w:tcPr>
          <w:p w14:paraId="6DF11A92">
            <w:pPr>
              <w:widowControl/>
              <w:spacing w:line="240" w:lineRule="exact"/>
              <w:jc w:val="left"/>
              <w:rPr>
                <w:rFonts w:ascii="仿宋_GB2312" w:hAnsi="新宋体" w:eastAsia="仿宋_GB2312" w:cs="仿宋_GB2312"/>
                <w:kern w:val="0"/>
                <w:szCs w:val="21"/>
                <w:lang w:bidi="ar"/>
              </w:rPr>
            </w:pPr>
          </w:p>
          <w:p w14:paraId="7758807A">
            <w:pPr>
              <w:widowControl/>
              <w:spacing w:line="240" w:lineRule="exact"/>
              <w:jc w:val="left"/>
              <w:rPr>
                <w:rFonts w:ascii="仿宋_GB2312" w:hAnsi="新宋体" w:eastAsia="仿宋_GB2312" w:cs="仿宋_GB2312"/>
                <w:kern w:val="0"/>
                <w:szCs w:val="21"/>
                <w:lang w:bidi="ar"/>
              </w:rPr>
            </w:pPr>
            <w:r>
              <w:rPr>
                <w:rFonts w:hint="eastAsia" w:ascii="仿宋_GB2312" w:hAnsi="新宋体" w:eastAsia="仿宋_GB2312" w:cs="仿宋_GB2312"/>
                <w:kern w:val="0"/>
                <w:szCs w:val="21"/>
                <w:lang w:bidi="ar"/>
              </w:rPr>
              <w:t>履职效益情况</w:t>
            </w:r>
          </w:p>
          <w:p w14:paraId="177B9E4A">
            <w:pPr>
              <w:widowControl/>
              <w:spacing w:line="240" w:lineRule="exact"/>
              <w:jc w:val="left"/>
              <w:rPr>
                <w:rFonts w:ascii="仿宋_GB2312" w:hAnsi="新宋体" w:eastAsia="仿宋_GB2312" w:cs="仿宋_GB2312"/>
                <w:kern w:val="0"/>
                <w:szCs w:val="21"/>
                <w:lang w:bidi="ar"/>
              </w:rPr>
            </w:pP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02EFF5A6">
            <w:pPr>
              <w:widowControl/>
              <w:spacing w:line="240" w:lineRule="exact"/>
              <w:jc w:val="left"/>
              <w:rPr>
                <w:szCs w:val="21"/>
              </w:rPr>
            </w:pPr>
            <w:r>
              <w:rPr>
                <w:rFonts w:hint="eastAsia" w:ascii="仿宋_GB2312" w:hAnsi="新宋体" w:eastAsia="仿宋_GB2312" w:cs="仿宋_GB2312"/>
                <w:color w:val="000000"/>
                <w:kern w:val="0"/>
                <w:szCs w:val="21"/>
                <w:lang w:bidi="ar"/>
              </w:rPr>
              <w:t>经济效益</w:t>
            </w: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A294FFB">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部门及所属二级单位通过履行职责和预算安排支出项目的实施，对我市带来的经济影响。</w:t>
            </w:r>
          </w:p>
          <w:p w14:paraId="278E8BD9">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1.通过部门所属企事业单位改革，促进了企事业单位效益增长情况；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2.通过预算支出项目的实施，促进了行业生产能力增长，从而带动行业经济效益增长；</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3.通过预算支出项目的实施，有效提高劳动效率，节约成本费用；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4.通过预算支出项目的实施，降低了损耗，从而提高了生产效益；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11F70532">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93B2810">
            <w:pPr>
              <w:widowControl/>
              <w:spacing w:line="240" w:lineRule="exact"/>
              <w:jc w:val="left"/>
              <w:rPr>
                <w:szCs w:val="21"/>
              </w:rPr>
            </w:pPr>
            <w:r>
              <w:rPr>
                <w:rFonts w:hint="eastAsia"/>
                <w:szCs w:val="21"/>
              </w:rPr>
              <w:t>20</w:t>
            </w:r>
          </w:p>
        </w:tc>
      </w:tr>
      <w:tr w14:paraId="6A92F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04199F5D">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14:paraId="0316C6DF">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D35735E">
            <w:pPr>
              <w:widowControl/>
              <w:spacing w:line="240" w:lineRule="exac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2A479FEC">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部门及所属二级单位履行职责对社会发展所带来的直接或间接影响。</w:t>
            </w:r>
          </w:p>
          <w:p w14:paraId="1A58F95D">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1.通过部门所属企事业单位的改革，促进了企事业单位可持续发展，带动就业增长情况；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2.通过预算支出项目的实施，是否明显促进了行业精神文明建设；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3.通过部门履职是否明显提高城乡居民生活水平，满足了人们日益增长的物质与文化生活需求；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4.通过预算项目的实施，是否提高了劳动生产率，降低了劳动强度，促进了劳动人民的身心健康；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53F3A895">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4E2230EA">
            <w:pPr>
              <w:widowControl/>
              <w:spacing w:line="240" w:lineRule="exact"/>
              <w:jc w:val="left"/>
              <w:rPr>
                <w:szCs w:val="21"/>
              </w:rPr>
            </w:pPr>
            <w:r>
              <w:rPr>
                <w:rFonts w:hint="eastAsia"/>
                <w:szCs w:val="21"/>
              </w:rPr>
              <w:t>5</w:t>
            </w:r>
          </w:p>
        </w:tc>
      </w:tr>
      <w:tr w14:paraId="0F468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19B62358">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14:paraId="254FBDAB">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D5DECBC">
            <w:pPr>
              <w:widowControl/>
              <w:spacing w:line="240" w:lineRule="exact"/>
              <w:jc w:val="lef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11003BE8">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部门及所属二级单位履行职责对生态环境所带来的直接或间接影响。</w:t>
            </w:r>
          </w:p>
          <w:p w14:paraId="7F6AD001">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2.通过履职有效地控制虚假、伪劣、霉变等劣质产品进入市场，影响了人民生活质量，净化地市场环境；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3.通过预算支出项目的实施，是否达到减少污染物排放；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71D83A90">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6D88194D">
            <w:pPr>
              <w:widowControl/>
              <w:spacing w:line="240" w:lineRule="exact"/>
              <w:jc w:val="left"/>
              <w:rPr>
                <w:szCs w:val="21"/>
              </w:rPr>
            </w:pPr>
            <w:r>
              <w:rPr>
                <w:rFonts w:hint="eastAsia"/>
                <w:szCs w:val="21"/>
              </w:rPr>
              <w:t>5</w:t>
            </w:r>
          </w:p>
        </w:tc>
      </w:tr>
      <w:tr w14:paraId="238F9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6DBACBA">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56AF54D3">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376821A">
            <w:pPr>
              <w:widowControl/>
              <w:spacing w:line="240" w:lineRule="exact"/>
              <w:jc w:val="left"/>
              <w:rPr>
                <w:szCs w:val="21"/>
              </w:rPr>
            </w:pPr>
            <w:r>
              <w:rPr>
                <w:rFonts w:hint="eastAsia" w:ascii="仿宋_GB2312" w:hAnsi="新宋体" w:eastAsia="仿宋_GB2312" w:cs="仿宋_GB2312"/>
                <w:kern w:val="0"/>
                <w:szCs w:val="21"/>
                <w:lang w:bidi="ar"/>
              </w:rPr>
              <w:t>服务对象</w:t>
            </w:r>
            <w:r>
              <w:rPr>
                <w:rFonts w:ascii="仿宋_GB2312" w:hAnsi="新宋体" w:eastAsia="仿宋_GB2312" w:cs="仿宋_GB2312"/>
                <w:kern w:val="0"/>
                <w:szCs w:val="21"/>
                <w:lang w:bidi="ar"/>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2B14812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09B8CD71">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630DA002">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099414AC">
            <w:pPr>
              <w:widowControl/>
              <w:spacing w:line="240" w:lineRule="exact"/>
              <w:jc w:val="left"/>
              <w:rPr>
                <w:szCs w:val="21"/>
              </w:rPr>
            </w:pPr>
            <w:r>
              <w:rPr>
                <w:rFonts w:hint="eastAsia"/>
                <w:szCs w:val="21"/>
              </w:rPr>
              <w:t>5</w:t>
            </w:r>
          </w:p>
        </w:tc>
      </w:tr>
    </w:tbl>
    <w:p w14:paraId="533A39A5">
      <w:pPr>
        <w:spacing w:line="240" w:lineRule="exact"/>
        <w:rPr>
          <w:rFonts w:ascii="仿宋" w:hAnsi="仿宋" w:eastAsia="仿宋" w:cs="仿宋"/>
          <w:sz w:val="32"/>
          <w:szCs w:val="32"/>
        </w:rPr>
      </w:pPr>
    </w:p>
    <w:p w14:paraId="14A38605">
      <w:pPr>
        <w:spacing w:line="240" w:lineRule="exact"/>
        <w:rPr>
          <w:rFonts w:ascii="仿宋" w:hAnsi="仿宋" w:eastAsia="仿宋" w:cs="仿宋"/>
          <w:sz w:val="32"/>
          <w:szCs w:val="32"/>
        </w:rPr>
      </w:pPr>
    </w:p>
    <w:p w14:paraId="276A2ABB">
      <w:pPr>
        <w:spacing w:line="240" w:lineRule="exact"/>
        <w:rPr>
          <w:rFonts w:ascii="仿宋" w:hAnsi="仿宋" w:eastAsia="仿宋" w:cs="仿宋"/>
          <w:sz w:val="32"/>
          <w:szCs w:val="32"/>
        </w:rPr>
      </w:pPr>
    </w:p>
    <w:p w14:paraId="3ECA11CD">
      <w:pPr>
        <w:ind w:firstLine="1316" w:firstLineChars="298"/>
        <w:rPr>
          <w:rFonts w:ascii="仿宋" w:hAnsi="仿宋" w:eastAsia="仿宋" w:cs="仿宋"/>
          <w:b/>
          <w:bCs/>
          <w:sz w:val="44"/>
          <w:szCs w:val="44"/>
        </w:rPr>
      </w:pPr>
      <w:r>
        <w:rPr>
          <w:rFonts w:hint="eastAsia" w:ascii="仿宋" w:hAnsi="仿宋" w:eastAsia="仿宋" w:cs="仿宋"/>
          <w:b/>
          <w:bCs/>
          <w:sz w:val="44"/>
          <w:szCs w:val="44"/>
        </w:rPr>
        <w:t>田付村学区整体支出绩效评价报告</w:t>
      </w:r>
    </w:p>
    <w:p w14:paraId="29EAFD95">
      <w:pPr>
        <w:ind w:firstLine="643" w:firstLineChars="200"/>
        <w:rPr>
          <w:rFonts w:ascii="仿宋" w:hAnsi="仿宋" w:eastAsia="仿宋" w:cs="仿宋"/>
          <w:b/>
          <w:sz w:val="32"/>
          <w:szCs w:val="32"/>
        </w:rPr>
      </w:pPr>
      <w:r>
        <w:rPr>
          <w:rFonts w:hint="eastAsia" w:ascii="仿宋" w:hAnsi="仿宋" w:eastAsia="仿宋" w:cs="仿宋"/>
          <w:b/>
          <w:sz w:val="32"/>
          <w:szCs w:val="32"/>
        </w:rPr>
        <w:t>一、基本概况。</w:t>
      </w:r>
    </w:p>
    <w:p w14:paraId="78948F83">
      <w:pPr>
        <w:ind w:firstLine="643"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14:paraId="36D56C0E">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强化提高基础教育，以推进义务教育均衡发展为重点，进一步推进基础教育教学改革，切实减轻中小学生的课业负担，加强中小学德育教育工作，全面实施素质教育。加强公共文化服务体系建设，推动全民健身，推进青少年体育工作，构建多元化体育服务体系。</w:t>
      </w:r>
    </w:p>
    <w:p w14:paraId="3080B3E0">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14:paraId="51D72E5E">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（二）负责学校教育的统筹规划和协调管理，组织实施设置标准，指导学校的教育教学改革，负责教育基本信息的统计、分析和发布。</w:t>
      </w:r>
    </w:p>
    <w:p w14:paraId="1D42EBBF">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（三）综合管理教师队伍建设的中长期规划及教师培养、培训的政策、规划制定和组织实施工作</w:t>
      </w:r>
    </w:p>
    <w:p w14:paraId="238ED7FB">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（四）负责推进并指导学校的教育教学改革和科研工作；负责全面实施素质教育，提高教学质量和水平。</w:t>
      </w:r>
    </w:p>
    <w:p w14:paraId="6D5F29FE">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（五）负责指导学校的教育督导工作，负责并指导基础教育发展水平、质量的监测工作；负责组织指导学校的招生考试工作。</w:t>
      </w:r>
    </w:p>
    <w:p w14:paraId="00AEB7BC">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（六）负责管理本部门教育经费和上级拨教育经费并对各项经费使用情况；监测教育经费（含人员经费）的投入和执行情况；实施对家庭困难学生的资助工作。</w:t>
      </w:r>
    </w:p>
    <w:p w14:paraId="150DF9DE">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（七）执行上级制定教育系统劳动工资及人事管理工作的有关方案和规章制度。</w:t>
      </w:r>
    </w:p>
    <w:p w14:paraId="0AD9F3B9">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区教育系统及各级各类学校的法制建设和安全稳定工作的监督管理；负责管理并指导中小学心理健康教育工作。</w:t>
      </w:r>
    </w:p>
    <w:p w14:paraId="3EE8BE43">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（九）负责实施教师继续教育和专业技术职务资格评审的有关工作，指导教师资格证制度的实施和抓好教育系统人才队伍建设。</w:t>
      </w:r>
    </w:p>
    <w:p w14:paraId="517EACB9">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（十）负责学区内社会力量办学的中小学幼儿园的监督管理及小学幼儿园的考察、审批、督查和管理工作；负责学校学籍管理工作；负责辖区青少年学生校外教育活动的管理工作。</w:t>
      </w:r>
    </w:p>
    <w:p w14:paraId="4EE1E435">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（十一）负责规划、指导学区教育教学工作；根据教学大纲，落实学科教学计划，负责教学常规管理、课程改革和教育教学改革试点及推广工作。</w:t>
      </w:r>
    </w:p>
    <w:p w14:paraId="2878FCF6">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（十二）负责和申报资金，改善学区学校教学条件、教学装备信息化建设；实施教育资源库和学校校园网站建设。</w:t>
      </w:r>
    </w:p>
    <w:p w14:paraId="0BF663C8">
      <w:pPr>
        <w:ind w:firstLine="643"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14:paraId="2A3F0BE0">
      <w:pPr>
        <w:spacing w:line="600" w:lineRule="exact"/>
        <w:ind w:firstLine="640" w:firstLineChars="20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学区教育系统将全面贯彻十九大精神和省、市、县重大决策部署，以习近平新时代中国特色社会主义思想为指导，贯彻党的教育方针，落实“立德树人”根本任务，纵深推进教育改革，提升教育品质，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为实现“小县办大教育”的目标、奠定坚实基础。</w:t>
      </w:r>
    </w:p>
    <w:p w14:paraId="55F1D58B">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14:paraId="0FDC7F47">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规范党的组织建设。规范学校党支部设置，配强党务干部，倡导书记、校长“一肩挑”。建立党组织书记任职备案制度，学区（学校）党组织书记由局党组（党总支）任免。</w:t>
      </w:r>
      <w:r>
        <w:rPr>
          <w:rFonts w:ascii="仿宋" w:hAnsi="仿宋" w:eastAsia="仿宋" w:cs="仿宋"/>
          <w:sz w:val="32"/>
          <w:szCs w:val="32"/>
        </w:rPr>
        <w:br w:type="textWrapping"/>
      </w:r>
      <w:r>
        <w:rPr>
          <w:rFonts w:ascii="仿宋" w:hAnsi="仿宋" w:eastAsia="仿宋" w:cs="仿宋"/>
          <w:sz w:val="32"/>
          <w:szCs w:val="32"/>
        </w:rPr>
        <w:t xml:space="preserve">    3.</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w:t>
      </w:r>
      <w:r>
        <w:rPr>
          <w:rFonts w:hint="eastAsia" w:ascii="仿宋" w:hAnsi="仿宋" w:eastAsia="仿宋" w:cs="仿宋"/>
          <w:sz w:val="32"/>
          <w:szCs w:val="32"/>
        </w:rPr>
        <w:t>规范党建制度建设。一是规范学习教育制度。制定年度学习教育计划，党员每参加党组织举办的集中性学习活动。建立健全学习培训档案，全面准确记录党员学习培训情况。二是规范发展党员制度。严格贯彻党员发展制度，严把“入口”关，规范入党发展对象、入党积极分子、预备党员保持比例，推进党员后备力量建设。三是党员示范岗制度。党组织要在教室、办公室、公益活动中合理设置党员示范岗，充分发挥基层党组织的战斗堡垒和党员的先锋模范作用，引领学校正风正气。</w:t>
      </w:r>
    </w:p>
    <w:p w14:paraId="14D80288">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狠抓党风廉政建设。认真落实党风廉政建设责任制，深化廉政风险防控机制建设工作，健全廉政风险防控体系，实现重点领域、关键环节和重点岗位廉政监管全覆盖。严格执行“中央八项规定”和省、市、县有关规定，进一步开展廉洁文化进校园活动，继续推进教育系统纠正“四风”专项整治，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14:paraId="7BCC281D">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学区幼儿教师业务素质得到新的提高。二是继续加强对幼儿园的管理和督导检查，使我学区学前教育小学化倾向得到改善，保教水平得到明显提高；三是开展好“自制玩教具评比”“优质课观摩”等活动</w:t>
      </w:r>
      <w:r>
        <w:rPr>
          <w:rFonts w:ascii="仿宋" w:hAnsi="仿宋" w:eastAsia="仿宋" w:cs="仿宋"/>
          <w:sz w:val="32"/>
          <w:szCs w:val="32"/>
        </w:rPr>
        <w:t>;</w:t>
      </w:r>
    </w:p>
    <w:p w14:paraId="496C2867">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推进义务教育优质均衡发展。以迎接教育部对我单位义务教育基本均衡县复核认定为契机，加快推进县域内城乡义务教育一体化进程，通过区域内资源共享、优势互补，缩小差距、校际差距，整体提升义务教育办学条件和教育质量，推进义务教育优质均衡发展。继续克服困难，努力改善办学条件，以及现有校舍的维修改造。做好留守儿童关爱及随迁子女就学保障工作，促进教育公平。</w:t>
      </w:r>
    </w:p>
    <w:p w14:paraId="243FBA94">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加强中小学学校管理工作。以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学校建设。发挥先进单位引领作用，带动学区学校面貌和管理水平全面提升。打造一批亮点学校。</w:t>
      </w:r>
    </w:p>
    <w:p w14:paraId="4E049A21">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持之以恒抓两支队伍建设。严格队伍管理，加强师德师风建设，强化师资培训，缩小教师的教学水平差距，提高队伍整体素质。</w:t>
      </w:r>
    </w:p>
    <w:p w14:paraId="29E5E179">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14:paraId="2EBBD305">
      <w:pPr>
        <w:spacing w:line="600"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14:paraId="050508F4">
      <w:pPr>
        <w:spacing w:line="600"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w:t>
      </w:r>
    </w:p>
    <w:p w14:paraId="62CC25F2">
      <w:pPr>
        <w:spacing w:line="600" w:lineRule="exact"/>
        <w:ind w:firstLine="640" w:firstLineChars="2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着力减轻学生过重课业负担。落实中央提出的“着力解决中小学生课业负担重，大班额等突出问题”的要求，坚决遏制极少数教师热衷课外家教，加重学生和家长负担、谋取不当利益的行为。</w:t>
      </w:r>
    </w:p>
    <w:p w14:paraId="44866162">
      <w:pPr>
        <w:spacing w:line="600" w:lineRule="exact"/>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完善基本公共服务。落实义务教育经费保障机制，保障学校正常运转。全面实行义务教育学生营养改善计划，确保食品安全。全面落实各项资助政策，认真做好控辍保学，确保各项教育指标达到要求。继续做好各类学生资助工作，认真做好各项教育资助的告知、审核、公示、发放等工作，确保应助尽助。</w:t>
      </w:r>
    </w:p>
    <w:p w14:paraId="2BFDE71B">
      <w:pPr>
        <w:spacing w:line="600" w:lineRule="exact"/>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保障校园平安稳定。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14:paraId="17C7383D">
      <w:pPr>
        <w:pStyle w:val="19"/>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14:paraId="35E5E2AB">
      <w:pPr>
        <w:pStyle w:val="19"/>
        <w:ind w:firstLine="64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20年教育预算资金安排共计931.32万元，其中一、一般公共预算财政拨款931.32万元；支出万元，其中工931.32资福利支出724.83万元，商品和服务支出124万元、对个人和家庭的补助支出80.48万元。</w:t>
      </w:r>
    </w:p>
    <w:p w14:paraId="5DF739B8">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14:paraId="0334C744">
      <w:pPr>
        <w:pStyle w:val="7"/>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ascii="仿宋" w:hAnsi="仿宋" w:eastAsia="仿宋" w:cs="仿宋"/>
          <w:kern w:val="2"/>
          <w:sz w:val="32"/>
          <w:szCs w:val="32"/>
        </w:rPr>
        <w:t>20</w:t>
      </w:r>
      <w:r>
        <w:rPr>
          <w:rFonts w:hint="eastAsia" w:ascii="仿宋" w:hAnsi="仿宋" w:eastAsia="仿宋" w:cs="仿宋"/>
          <w:kern w:val="2"/>
          <w:sz w:val="32"/>
          <w:szCs w:val="32"/>
        </w:rPr>
        <w:t>20年，我学区按照省市县的考核要求，积极开展预算绩效管理工作，实现预算绩效管理全过程化。</w:t>
      </w:r>
    </w:p>
    <w:p w14:paraId="445E688A">
      <w:pPr>
        <w:ind w:left="640"/>
        <w:rPr>
          <w:rFonts w:ascii="仿宋" w:hAnsi="仿宋" w:eastAsia="仿宋" w:cs="仿宋"/>
          <w:b/>
          <w:sz w:val="32"/>
          <w:szCs w:val="32"/>
        </w:rPr>
      </w:pPr>
      <w:r>
        <w:rPr>
          <w:rFonts w:hint="eastAsia" w:ascii="仿宋" w:hAnsi="仿宋" w:eastAsia="仿宋" w:cs="仿宋"/>
          <w:b/>
          <w:sz w:val="32"/>
          <w:szCs w:val="32"/>
        </w:rPr>
        <w:t>三、各项绩效目标的实现程度</w:t>
      </w:r>
    </w:p>
    <w:p w14:paraId="14374BB3">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14:paraId="1FBFF0E0">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14:paraId="5971749F">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14:paraId="4111B1FA">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14:paraId="3F48096F">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C82DC">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9</w:t>
    </w:r>
    <w:r>
      <w:rPr>
        <w:rStyle w:val="11"/>
        <w:rFonts w:ascii="宋体" w:hAnsi="宋体" w:eastAsia="宋体"/>
        <w:sz w:val="28"/>
        <w:szCs w:val="28"/>
      </w:rPr>
      <w:fldChar w:fldCharType="end"/>
    </w:r>
    <w:r>
      <w:rPr>
        <w:rStyle w:val="11"/>
        <w:rFonts w:hint="eastAsia" w:ascii="宋体" w:hAnsi="宋体" w:eastAsia="宋体"/>
        <w:sz w:val="28"/>
        <w:szCs w:val="28"/>
      </w:rPr>
      <w:t>-</w:t>
    </w:r>
  </w:p>
  <w:p w14:paraId="37722E8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F8717">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3390BDB4">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3D0C88"/>
    <w:rsid w:val="0041099F"/>
    <w:rsid w:val="00436A1D"/>
    <w:rsid w:val="004379D7"/>
    <w:rsid w:val="004A68B1"/>
    <w:rsid w:val="004B64F3"/>
    <w:rsid w:val="004E3B64"/>
    <w:rsid w:val="004F7327"/>
    <w:rsid w:val="005020C5"/>
    <w:rsid w:val="00567FE6"/>
    <w:rsid w:val="0058162A"/>
    <w:rsid w:val="005B3616"/>
    <w:rsid w:val="005E12FA"/>
    <w:rsid w:val="00683167"/>
    <w:rsid w:val="006A5056"/>
    <w:rsid w:val="006E64C9"/>
    <w:rsid w:val="007048FF"/>
    <w:rsid w:val="00712100"/>
    <w:rsid w:val="0071700D"/>
    <w:rsid w:val="00742652"/>
    <w:rsid w:val="007620A8"/>
    <w:rsid w:val="00772600"/>
    <w:rsid w:val="007D5D41"/>
    <w:rsid w:val="007F01F9"/>
    <w:rsid w:val="00817588"/>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437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F8F6BFC"/>
    <w:rsid w:val="13933F27"/>
    <w:rsid w:val="28894C6B"/>
    <w:rsid w:val="2B76657F"/>
    <w:rsid w:val="2E8547CF"/>
    <w:rsid w:val="3791647A"/>
    <w:rsid w:val="3998311B"/>
    <w:rsid w:val="455969D8"/>
    <w:rsid w:val="4936418F"/>
    <w:rsid w:val="526A3656"/>
    <w:rsid w:val="5CE429F7"/>
    <w:rsid w:val="5D643D56"/>
    <w:rsid w:val="64AC1B3B"/>
    <w:rsid w:val="665F17C9"/>
    <w:rsid w:val="679427FB"/>
    <w:rsid w:val="69BD0A47"/>
    <w:rsid w:val="6F767E91"/>
    <w:rsid w:val="71A911C9"/>
    <w:rsid w:val="726630FE"/>
    <w:rsid w:val="7CCC213E"/>
    <w:rsid w:val="7D5C65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18">
    <w:name w:val="p01"/>
    <w:basedOn w:val="1"/>
    <w:qFormat/>
    <w:uiPriority w:val="99"/>
    <w:pPr>
      <w:widowControl/>
      <w:spacing w:line="408" w:lineRule="auto"/>
      <w:ind w:left="1"/>
    </w:pPr>
    <w:rPr>
      <w:rFonts w:ascii="Times New Roman" w:hAnsi="Times New Roman"/>
      <w:color w:val="000000"/>
      <w:kern w:val="0"/>
      <w:szCs w:val="20"/>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8237</Words>
  <Characters>8613</Characters>
  <Lines>63</Lines>
  <Paragraphs>17</Paragraphs>
  <TotalTime>6</TotalTime>
  <ScaleCrop>false</ScaleCrop>
  <LinksUpToDate>false</LinksUpToDate>
  <CharactersWithSpaces>8655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2021-09-02T07:48:00Z</cp:lastPrinted>
  <dcterms:modified xsi:type="dcterms:W3CDTF">2025-05-30T12:07:51Z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659B880AACDE4553B0C94B6B50FEBCCA_12</vt:lpwstr>
  </property>
</Properties>
</file>