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86794">
      <w:pPr>
        <w:spacing w:line="480" w:lineRule="exact"/>
        <w:ind w:firstLine="1285" w:firstLineChars="400"/>
        <w:jc w:val="both"/>
        <w:rPr>
          <w:rFonts w:ascii="仿宋" w:hAnsi="仿宋" w:eastAsia="仿宋" w:cs="仿宋"/>
          <w:sz w:val="32"/>
          <w:szCs w:val="32"/>
        </w:rPr>
      </w:pPr>
      <w:bookmarkStart w:id="0" w:name="_GoBack"/>
      <w:bookmarkEnd w:id="0"/>
      <w:r>
        <w:rPr>
          <w:rFonts w:hint="eastAsia" w:ascii="宋体" w:hAnsi="宋体"/>
          <w:b/>
          <w:sz w:val="32"/>
          <w:szCs w:val="32"/>
        </w:rPr>
        <w:t>县直二幼整体支出绩效评价</w:t>
      </w:r>
      <w:r>
        <w:rPr>
          <w:rFonts w:hint="eastAsia" w:ascii="宋体" w:hAnsi="宋体" w:eastAsia="宋体" w:cs="宋体"/>
          <w:b/>
          <w:color w:val="000000"/>
          <w:kern w:val="0"/>
          <w:sz w:val="32"/>
          <w:szCs w:val="32"/>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454E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622D836">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9FA2ECC">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6B9749A0">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382BED53">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01DA45C2">
            <w:pPr>
              <w:widowControl/>
              <w:spacing w:line="240" w:lineRule="exact"/>
              <w:jc w:val="left"/>
              <w:rPr>
                <w:b/>
              </w:rPr>
            </w:pPr>
            <w:r>
              <w:rPr>
                <w:rFonts w:ascii="仿宋_GB2312" w:hAnsi="新宋体" w:eastAsia="仿宋_GB2312" w:cs="仿宋_GB2312"/>
                <w:b/>
                <w:kern w:val="0"/>
                <w:sz w:val="24"/>
                <w:szCs w:val="24"/>
              </w:rPr>
              <w:t>得分</w:t>
            </w:r>
          </w:p>
        </w:tc>
      </w:tr>
      <w:tr w14:paraId="09E0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57ACD6E">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6EE5BCE">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F4F7D11">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40F02120">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2B10F7EF">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183AF5EB">
            <w:pPr>
              <w:rPr>
                <w:rFonts w:ascii="宋体"/>
                <w:szCs w:val="21"/>
              </w:rPr>
            </w:pPr>
          </w:p>
        </w:tc>
      </w:tr>
      <w:tr w14:paraId="1CB2D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1D25728">
            <w:pPr>
              <w:widowControl/>
              <w:spacing w:line="240" w:lineRule="exact"/>
              <w:jc w:val="center"/>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A017E9B">
            <w:pPr>
              <w:widowControl/>
              <w:spacing w:line="240" w:lineRule="exact"/>
              <w:jc w:val="center"/>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080F1820">
            <w:pPr>
              <w:widowControl/>
              <w:spacing w:line="240" w:lineRule="exact"/>
              <w:jc w:val="center"/>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761BB90A">
            <w:pPr>
              <w:widowControl/>
              <w:spacing w:line="240" w:lineRule="exact"/>
              <w:jc w:val="center"/>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0C381D92">
            <w:pPr>
              <w:widowControl/>
              <w:spacing w:line="240" w:lineRule="exact"/>
              <w:jc w:val="center"/>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3A8A2BE8">
            <w:pPr>
              <w:widowControl/>
              <w:spacing w:line="240" w:lineRule="exact"/>
              <w:jc w:val="center"/>
              <w:rPr>
                <w:szCs w:val="21"/>
              </w:rPr>
            </w:pPr>
            <w:r>
              <w:rPr>
                <w:rFonts w:ascii="仿宋_GB2312" w:hAnsi="新宋体" w:eastAsia="仿宋_GB2312" w:cs="仿宋_GB2312"/>
                <w:kern w:val="0"/>
                <w:szCs w:val="21"/>
              </w:rPr>
              <w:t>符合（1）；</w:t>
            </w:r>
          </w:p>
          <w:p w14:paraId="5FE762E1">
            <w:pPr>
              <w:widowControl/>
              <w:spacing w:line="240" w:lineRule="exact"/>
              <w:jc w:val="center"/>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6F190CB">
            <w:pPr>
              <w:widowControl/>
              <w:spacing w:line="240" w:lineRule="exact"/>
              <w:jc w:val="center"/>
              <w:rPr>
                <w:szCs w:val="21"/>
              </w:rPr>
            </w:pPr>
            <w:r>
              <w:rPr>
                <w:rFonts w:hint="eastAsia"/>
                <w:szCs w:val="21"/>
              </w:rPr>
              <w:t>1</w:t>
            </w:r>
          </w:p>
        </w:tc>
      </w:tr>
      <w:tr w14:paraId="009B3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4009B6D">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E0D5CA5">
            <w:pPr>
              <w:spacing w:line="240" w:lineRule="exact"/>
              <w:jc w:val="center"/>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12D1B069">
            <w:pPr>
              <w:widowControl/>
              <w:spacing w:line="240" w:lineRule="exact"/>
              <w:jc w:val="center"/>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18B212C">
            <w:pPr>
              <w:widowControl/>
              <w:spacing w:line="240" w:lineRule="exact"/>
              <w:jc w:val="center"/>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22B4AA26">
            <w:pPr>
              <w:widowControl/>
              <w:spacing w:line="240" w:lineRule="exact"/>
              <w:jc w:val="center"/>
              <w:rPr>
                <w:szCs w:val="21"/>
              </w:rPr>
            </w:pPr>
            <w:r>
              <w:rPr>
                <w:rFonts w:ascii="仿宋_GB2312" w:hAnsi="新宋体" w:eastAsia="仿宋_GB2312" w:cs="仿宋_GB2312"/>
                <w:kern w:val="0"/>
                <w:szCs w:val="21"/>
              </w:rPr>
              <w:t>评价要点：</w:t>
            </w:r>
          </w:p>
          <w:p w14:paraId="7A193DAE">
            <w:pPr>
              <w:widowControl/>
              <w:spacing w:line="240" w:lineRule="exact"/>
              <w:jc w:val="center"/>
              <w:rPr>
                <w:szCs w:val="21"/>
              </w:rPr>
            </w:pPr>
            <w:r>
              <w:rPr>
                <w:rFonts w:ascii="仿宋_GB2312" w:hAnsi="新宋体" w:eastAsia="仿宋_GB2312" w:cs="仿宋_GB2312"/>
                <w:kern w:val="0"/>
                <w:szCs w:val="21"/>
              </w:rPr>
              <w:t>1.部门活动的设定在部门所确定的职责范围之内；</w:t>
            </w:r>
          </w:p>
          <w:p w14:paraId="0050AB6B">
            <w:pPr>
              <w:widowControl/>
              <w:spacing w:line="240" w:lineRule="exact"/>
              <w:jc w:val="center"/>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429B03A3">
            <w:pPr>
              <w:widowControl/>
              <w:spacing w:line="240" w:lineRule="exact"/>
              <w:jc w:val="center"/>
              <w:rPr>
                <w:szCs w:val="21"/>
              </w:rPr>
            </w:pPr>
            <w:r>
              <w:rPr>
                <w:rFonts w:ascii="仿宋_GB2312" w:hAnsi="新宋体" w:eastAsia="仿宋_GB2312" w:cs="仿宋_GB2312"/>
                <w:kern w:val="0"/>
                <w:szCs w:val="21"/>
              </w:rPr>
              <w:t>全部符合（2）；</w:t>
            </w:r>
          </w:p>
          <w:p w14:paraId="6B061399">
            <w:pPr>
              <w:widowControl/>
              <w:spacing w:line="240" w:lineRule="exact"/>
              <w:jc w:val="center"/>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DA4F213">
            <w:pPr>
              <w:widowControl/>
              <w:spacing w:line="240" w:lineRule="exact"/>
              <w:jc w:val="center"/>
              <w:rPr>
                <w:szCs w:val="21"/>
              </w:rPr>
            </w:pPr>
            <w:r>
              <w:rPr>
                <w:rFonts w:hint="eastAsia"/>
                <w:szCs w:val="21"/>
              </w:rPr>
              <w:t>2</w:t>
            </w:r>
          </w:p>
        </w:tc>
      </w:tr>
      <w:tr w14:paraId="67F6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B3E5C8F">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AD1B453">
            <w:pPr>
              <w:spacing w:line="240" w:lineRule="exact"/>
              <w:jc w:val="center"/>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5CEB0F2">
            <w:pPr>
              <w:widowControl/>
              <w:spacing w:line="240" w:lineRule="exact"/>
              <w:jc w:val="center"/>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C039988">
            <w:pPr>
              <w:widowControl/>
              <w:spacing w:line="240" w:lineRule="exact"/>
              <w:jc w:val="center"/>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3DC03454">
            <w:pPr>
              <w:widowControl/>
              <w:spacing w:line="240" w:lineRule="exact"/>
              <w:jc w:val="center"/>
              <w:rPr>
                <w:szCs w:val="21"/>
              </w:rPr>
            </w:pPr>
            <w:r>
              <w:rPr>
                <w:rFonts w:ascii="仿宋_GB2312" w:hAnsi="新宋体" w:eastAsia="仿宋_GB2312" w:cs="仿宋_GB2312"/>
                <w:kern w:val="0"/>
                <w:szCs w:val="21"/>
              </w:rPr>
              <w:t>评价要点：</w:t>
            </w:r>
          </w:p>
          <w:p w14:paraId="2F7561F2">
            <w:pPr>
              <w:widowControl/>
              <w:spacing w:line="240" w:lineRule="exact"/>
              <w:jc w:val="center"/>
              <w:rPr>
                <w:szCs w:val="21"/>
              </w:rPr>
            </w:pPr>
            <w:r>
              <w:rPr>
                <w:rFonts w:ascii="仿宋_GB2312" w:hAnsi="新宋体" w:eastAsia="仿宋_GB2312" w:cs="仿宋_GB2312"/>
                <w:kern w:val="0"/>
                <w:szCs w:val="21"/>
              </w:rPr>
              <w:t>1.活动目标的设定是可量化的，可通过清晰、可衡量的关键指标值予以体现；</w:t>
            </w:r>
          </w:p>
          <w:p w14:paraId="4AB902AC">
            <w:pPr>
              <w:widowControl/>
              <w:spacing w:line="240" w:lineRule="exact"/>
              <w:jc w:val="center"/>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5A11C6F7">
            <w:pPr>
              <w:widowControl/>
              <w:spacing w:line="240" w:lineRule="exact"/>
              <w:jc w:val="center"/>
              <w:rPr>
                <w:szCs w:val="21"/>
              </w:rPr>
            </w:pPr>
            <w:r>
              <w:rPr>
                <w:rFonts w:ascii="仿宋_GB2312" w:hAnsi="新宋体" w:eastAsia="仿宋_GB2312" w:cs="仿宋_GB2312"/>
                <w:kern w:val="0"/>
                <w:szCs w:val="21"/>
              </w:rPr>
              <w:t>全部符合（2）；</w:t>
            </w:r>
          </w:p>
          <w:p w14:paraId="7E761DF7">
            <w:pPr>
              <w:widowControl/>
              <w:spacing w:line="240" w:lineRule="exact"/>
              <w:jc w:val="center"/>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39B44E1">
            <w:pPr>
              <w:widowControl/>
              <w:spacing w:line="240" w:lineRule="exact"/>
              <w:jc w:val="center"/>
              <w:rPr>
                <w:szCs w:val="21"/>
              </w:rPr>
            </w:pPr>
            <w:r>
              <w:rPr>
                <w:rFonts w:hint="eastAsia"/>
                <w:szCs w:val="21"/>
              </w:rPr>
              <w:t>2</w:t>
            </w:r>
          </w:p>
        </w:tc>
      </w:tr>
      <w:tr w14:paraId="0A11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882654">
            <w:pPr>
              <w:spacing w:line="240" w:lineRule="exact"/>
              <w:jc w:val="center"/>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70A240BB">
            <w:pPr>
              <w:widowControl/>
              <w:spacing w:line="240" w:lineRule="exact"/>
              <w:jc w:val="center"/>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5C1E2DB3">
            <w:pPr>
              <w:widowControl/>
              <w:spacing w:line="240" w:lineRule="exact"/>
              <w:jc w:val="center"/>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1809A2B3">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591304D8">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在职人员控制率=（在职人员数/编制数）×100%。</w:t>
            </w:r>
          </w:p>
          <w:p w14:paraId="52E31C12">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1C7B39A0">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3B9FDBE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1.在职人员控制率小于或等于100%的，得满分；</w:t>
            </w:r>
          </w:p>
          <w:p w14:paraId="5A7D9C1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2.在职人员控制率大于或等于115%的，得0分；</w:t>
            </w:r>
          </w:p>
          <w:p w14:paraId="043C8EF6">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3.在职人员控制率在100%-115%之间的，在0分和满分之间计算确定：</w:t>
            </w:r>
          </w:p>
          <w:p w14:paraId="3FA8B38C">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2D6B052">
            <w:pPr>
              <w:widowControl/>
              <w:spacing w:line="240" w:lineRule="exact"/>
              <w:jc w:val="center"/>
              <w:rPr>
                <w:szCs w:val="21"/>
              </w:rPr>
            </w:pPr>
            <w:r>
              <w:rPr>
                <w:rFonts w:hint="eastAsia"/>
                <w:szCs w:val="21"/>
              </w:rPr>
              <w:t>1</w:t>
            </w:r>
          </w:p>
        </w:tc>
      </w:tr>
      <w:tr w14:paraId="4D1F8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3E017B69">
            <w:pPr>
              <w:spacing w:line="240" w:lineRule="exact"/>
              <w:jc w:val="center"/>
              <w:rPr>
                <w:rFonts w:ascii="宋体"/>
                <w:szCs w:val="21"/>
              </w:rPr>
            </w:pPr>
          </w:p>
        </w:tc>
        <w:tc>
          <w:tcPr>
            <w:tcW w:w="743" w:type="dxa"/>
            <w:vMerge w:val="continue"/>
            <w:tcBorders>
              <w:left w:val="single" w:color="000000" w:sz="4" w:space="0"/>
              <w:right w:val="single" w:color="000000" w:sz="4" w:space="0"/>
            </w:tcBorders>
            <w:vAlign w:val="center"/>
          </w:tcPr>
          <w:p w14:paraId="7ABD1EEF">
            <w:pPr>
              <w:widowControl/>
              <w:spacing w:line="240" w:lineRule="exact"/>
              <w:jc w:val="center"/>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3FC1F25E">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55BA4CE4">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68258E9D">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37F2A8F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558BD73D">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751CF5A3">
            <w:pPr>
              <w:widowControl/>
              <w:spacing w:line="240" w:lineRule="exact"/>
              <w:jc w:val="center"/>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DF1DC17">
            <w:pPr>
              <w:widowControl/>
              <w:spacing w:line="240" w:lineRule="exact"/>
              <w:jc w:val="center"/>
              <w:rPr>
                <w:szCs w:val="21"/>
              </w:rPr>
            </w:pPr>
            <w:r>
              <w:rPr>
                <w:rFonts w:hint="eastAsia"/>
                <w:szCs w:val="21"/>
              </w:rPr>
              <w:t>2</w:t>
            </w:r>
          </w:p>
        </w:tc>
      </w:tr>
      <w:tr w14:paraId="6B821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6C6A0B5B">
            <w:pPr>
              <w:spacing w:line="240" w:lineRule="exact"/>
              <w:jc w:val="center"/>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30E9B1C8">
            <w:pPr>
              <w:widowControl/>
              <w:spacing w:line="240" w:lineRule="exact"/>
              <w:jc w:val="center"/>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18AA0BD4">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265C669A">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708EA59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28DF24BB">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5F44D75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310222A0">
            <w:pPr>
              <w:widowControl/>
              <w:spacing w:line="240" w:lineRule="exact"/>
              <w:jc w:val="center"/>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7429DB3">
            <w:pPr>
              <w:widowControl/>
              <w:spacing w:line="240" w:lineRule="exact"/>
              <w:jc w:val="center"/>
              <w:rPr>
                <w:szCs w:val="21"/>
              </w:rPr>
            </w:pPr>
            <w:r>
              <w:rPr>
                <w:rFonts w:hint="eastAsia"/>
                <w:szCs w:val="21"/>
              </w:rPr>
              <w:t>2</w:t>
            </w:r>
          </w:p>
        </w:tc>
      </w:tr>
      <w:tr w14:paraId="50CEE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5564B2F">
            <w:pPr>
              <w:widowControl/>
              <w:spacing w:line="240" w:lineRule="exact"/>
              <w:jc w:val="center"/>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E1E3A27">
            <w:pPr>
              <w:widowControl/>
              <w:spacing w:line="240" w:lineRule="exact"/>
              <w:jc w:val="center"/>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629B0A2">
            <w:pPr>
              <w:widowControl/>
              <w:spacing w:line="240" w:lineRule="exact"/>
              <w:jc w:val="center"/>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C788515">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通过对部门本年度预算完成数与预算数的比较，反映和评价部门预算的完成程度。</w:t>
            </w:r>
          </w:p>
          <w:p w14:paraId="1AA6D385">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B1EE438">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1.预算完成率大于或等于95%的，得满分；</w:t>
            </w:r>
          </w:p>
          <w:p w14:paraId="4CF02505">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2.预算完成率小于或等于85%的，得0分；</w:t>
            </w:r>
          </w:p>
          <w:p w14:paraId="3CF7DBE8">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3.预算完成率在85%-95%之间的，在0分和满分之间计算确定：</w:t>
            </w:r>
          </w:p>
          <w:p w14:paraId="608E28B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CB7A904">
            <w:pPr>
              <w:widowControl/>
              <w:spacing w:line="240" w:lineRule="exact"/>
              <w:jc w:val="center"/>
              <w:rPr>
                <w:szCs w:val="21"/>
              </w:rPr>
            </w:pPr>
            <w:r>
              <w:rPr>
                <w:rFonts w:hint="eastAsia"/>
                <w:szCs w:val="21"/>
              </w:rPr>
              <w:t>5</w:t>
            </w:r>
          </w:p>
        </w:tc>
      </w:tr>
      <w:tr w14:paraId="488F9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0949D31">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767248B">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1F95C59">
            <w:pPr>
              <w:widowControl/>
              <w:spacing w:line="240" w:lineRule="exact"/>
              <w:jc w:val="center"/>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ED78610">
            <w:pPr>
              <w:widowControl/>
              <w:spacing w:line="240" w:lineRule="exact"/>
              <w:jc w:val="center"/>
              <w:rPr>
                <w:szCs w:val="21"/>
              </w:rPr>
            </w:pPr>
            <w:r>
              <w:rPr>
                <w:rFonts w:ascii="仿宋_GB2312" w:hAnsi="新宋体" w:eastAsia="仿宋_GB2312" w:cs="仿宋_GB2312"/>
                <w:kern w:val="0"/>
                <w:szCs w:val="21"/>
              </w:rPr>
              <w:t>部门本年度预算调整数与预算数的比率，用以反映和评价部门预算的调整程度。</w:t>
            </w:r>
          </w:p>
          <w:p w14:paraId="041B0C0A">
            <w:pPr>
              <w:widowControl/>
              <w:spacing w:line="240" w:lineRule="exact"/>
              <w:jc w:val="center"/>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80B635C">
            <w:pPr>
              <w:widowControl/>
              <w:spacing w:line="240" w:lineRule="exact"/>
              <w:jc w:val="center"/>
              <w:rPr>
                <w:szCs w:val="21"/>
              </w:rPr>
            </w:pPr>
            <w:r>
              <w:rPr>
                <w:rFonts w:ascii="仿宋_GB2312" w:hAnsi="新宋体" w:eastAsia="仿宋_GB2312" w:cs="仿宋_GB2312"/>
                <w:kern w:val="0"/>
                <w:szCs w:val="21"/>
              </w:rPr>
              <w:t>1.预算调整率等于0的，得满分；</w:t>
            </w:r>
          </w:p>
          <w:p w14:paraId="7D138F44">
            <w:pPr>
              <w:widowControl/>
              <w:spacing w:line="240" w:lineRule="exact"/>
              <w:jc w:val="center"/>
              <w:rPr>
                <w:szCs w:val="21"/>
              </w:rPr>
            </w:pPr>
            <w:r>
              <w:rPr>
                <w:rFonts w:ascii="仿宋_GB2312" w:hAnsi="新宋体" w:eastAsia="仿宋_GB2312" w:cs="仿宋_GB2312"/>
                <w:kern w:val="0"/>
                <w:szCs w:val="21"/>
              </w:rPr>
              <w:t>2.预算调整率大于或等于10%的，得0分；</w:t>
            </w:r>
          </w:p>
          <w:p w14:paraId="1EF8F19D">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3.预算调整率在0-10%之间的，在0分和满分之间确定：</w:t>
            </w:r>
          </w:p>
          <w:p w14:paraId="04F171A6">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1E1FB4B">
            <w:pPr>
              <w:widowControl/>
              <w:spacing w:line="240" w:lineRule="exact"/>
              <w:jc w:val="center"/>
              <w:rPr>
                <w:szCs w:val="21"/>
              </w:rPr>
            </w:pPr>
            <w:r>
              <w:rPr>
                <w:rFonts w:hint="eastAsia"/>
                <w:szCs w:val="21"/>
              </w:rPr>
              <w:t>3</w:t>
            </w:r>
          </w:p>
        </w:tc>
      </w:tr>
      <w:tr w14:paraId="7027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DC65C15">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E918CB2">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ABFF48F">
            <w:pPr>
              <w:widowControl/>
              <w:spacing w:line="240" w:lineRule="exact"/>
              <w:jc w:val="center"/>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C3B6C44">
            <w:pPr>
              <w:widowControl/>
              <w:spacing w:line="240" w:lineRule="exact"/>
              <w:jc w:val="center"/>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28D54485">
            <w:pPr>
              <w:widowControl/>
              <w:spacing w:line="240" w:lineRule="exact"/>
              <w:jc w:val="center"/>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BDF3275">
            <w:pPr>
              <w:widowControl/>
              <w:spacing w:line="240" w:lineRule="exact"/>
              <w:jc w:val="center"/>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0038F11C">
            <w:pPr>
              <w:widowControl/>
              <w:pBdr>
                <w:top w:val="none" w:color="000000" w:sz="0" w:space="0"/>
                <w:left w:val="none" w:color="000000" w:sz="0" w:space="0"/>
                <w:bottom w:val="none" w:color="000000" w:sz="0" w:space="0"/>
                <w:right w:val="none" w:color="000000" w:sz="0" w:space="0"/>
              </w:pBdr>
              <w:spacing w:line="240" w:lineRule="exact"/>
              <w:jc w:val="center"/>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13F38B27">
            <w:pPr>
              <w:widowControl/>
              <w:spacing w:line="240" w:lineRule="exact"/>
              <w:jc w:val="center"/>
              <w:rPr>
                <w:szCs w:val="21"/>
              </w:rPr>
            </w:pPr>
            <w:r>
              <w:rPr>
                <w:rFonts w:hint="eastAsia"/>
                <w:szCs w:val="21"/>
              </w:rPr>
              <w:t>5</w:t>
            </w:r>
          </w:p>
        </w:tc>
      </w:tr>
      <w:tr w14:paraId="06E95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2225402">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AB163EA">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4038367">
            <w:pPr>
              <w:widowControl/>
              <w:spacing w:line="240" w:lineRule="exact"/>
              <w:jc w:val="center"/>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897964F">
            <w:pPr>
              <w:widowControl/>
              <w:spacing w:line="240" w:lineRule="exact"/>
              <w:jc w:val="center"/>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76B822F2">
            <w:pPr>
              <w:widowControl/>
              <w:spacing w:line="240" w:lineRule="exact"/>
              <w:jc w:val="center"/>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9046C5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1.结转结余率等于0的，得满分；</w:t>
            </w:r>
          </w:p>
          <w:p w14:paraId="02BED434">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2.结转结余率大于或等于50%的，得0分；</w:t>
            </w:r>
          </w:p>
          <w:p w14:paraId="3180DD12">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3.结转结余率在0-50%之间的，在0和满分之间计算确定：</w:t>
            </w:r>
          </w:p>
          <w:p w14:paraId="002023FC">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5A91C90">
            <w:pPr>
              <w:widowControl/>
              <w:spacing w:line="240" w:lineRule="exact"/>
              <w:jc w:val="center"/>
              <w:rPr>
                <w:szCs w:val="21"/>
              </w:rPr>
            </w:pPr>
            <w:r>
              <w:rPr>
                <w:rFonts w:hint="eastAsia"/>
                <w:szCs w:val="21"/>
              </w:rPr>
              <w:t>4</w:t>
            </w:r>
          </w:p>
        </w:tc>
      </w:tr>
      <w:tr w14:paraId="71A8B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5D6D06">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EC516EB">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3D9AB8F">
            <w:pPr>
              <w:widowControl/>
              <w:spacing w:line="240" w:lineRule="exact"/>
              <w:jc w:val="center"/>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BA1306A">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549B3E90">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4F716725">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1.公用经费控制率小于或等于100%的，得满分；</w:t>
            </w:r>
          </w:p>
          <w:p w14:paraId="3AADB290">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2.公用经费控制率大于或等于105%的，得0分；</w:t>
            </w:r>
          </w:p>
          <w:p w14:paraId="4ED8C30C">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3.公用经费控制率在100%-105%之间的，在0和满分之间计算确定：</w:t>
            </w:r>
          </w:p>
          <w:p w14:paraId="0CE9BBB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71E34E4">
            <w:pPr>
              <w:widowControl/>
              <w:spacing w:line="240" w:lineRule="exact"/>
              <w:jc w:val="center"/>
              <w:rPr>
                <w:szCs w:val="21"/>
              </w:rPr>
            </w:pPr>
            <w:r>
              <w:rPr>
                <w:rFonts w:hint="eastAsia"/>
                <w:szCs w:val="21"/>
              </w:rPr>
              <w:t>4</w:t>
            </w:r>
          </w:p>
        </w:tc>
      </w:tr>
      <w:tr w14:paraId="374B0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EBD728">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04FE187">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7B7E891">
            <w:pPr>
              <w:widowControl/>
              <w:spacing w:line="240" w:lineRule="exact"/>
              <w:jc w:val="center"/>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7C2C11B">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17DD928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政府采购执行率=（实际政府采购预算项目个数/政府采购预算项目个数）×100%。</w:t>
            </w:r>
          </w:p>
          <w:p w14:paraId="57B89F2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213FC4B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1.政府采购执行率等于100%的，得满分；</w:t>
            </w:r>
          </w:p>
          <w:p w14:paraId="21E98ED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2.政府采购执行率小于或等于90%的，0分；</w:t>
            </w:r>
          </w:p>
          <w:p w14:paraId="057EE98E">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3.政府采购执行率在90%-100%之间的，在0和满分之间计算确定：</w:t>
            </w:r>
          </w:p>
          <w:p w14:paraId="00F248D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0EDD9DE">
            <w:pPr>
              <w:widowControl/>
              <w:spacing w:line="240" w:lineRule="exact"/>
              <w:jc w:val="center"/>
              <w:rPr>
                <w:szCs w:val="21"/>
              </w:rPr>
            </w:pPr>
            <w:r>
              <w:rPr>
                <w:rFonts w:hint="eastAsia"/>
                <w:szCs w:val="21"/>
              </w:rPr>
              <w:t>4</w:t>
            </w:r>
          </w:p>
        </w:tc>
      </w:tr>
      <w:tr w14:paraId="6BA9C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15D7DB3">
            <w:pPr>
              <w:spacing w:line="240" w:lineRule="exact"/>
              <w:jc w:val="center"/>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8231902">
            <w:pPr>
              <w:widowControl/>
              <w:spacing w:line="240" w:lineRule="exact"/>
              <w:jc w:val="center"/>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050C786D">
            <w:pPr>
              <w:widowControl/>
              <w:spacing w:line="240" w:lineRule="exact"/>
              <w:jc w:val="center"/>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229EFCCA">
            <w:pPr>
              <w:widowControl/>
              <w:spacing w:line="240" w:lineRule="exact"/>
              <w:jc w:val="center"/>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AE81171">
            <w:pPr>
              <w:widowControl/>
              <w:spacing w:line="240" w:lineRule="exact"/>
              <w:jc w:val="center"/>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13E6F8BF">
            <w:pPr>
              <w:widowControl/>
              <w:spacing w:line="240" w:lineRule="exact"/>
              <w:jc w:val="center"/>
              <w:rPr>
                <w:szCs w:val="21"/>
              </w:rPr>
            </w:pPr>
            <w:r>
              <w:rPr>
                <w:rFonts w:ascii="仿宋_GB2312" w:hAnsi="新宋体" w:eastAsia="仿宋_GB2312" w:cs="仿宋_GB2312"/>
                <w:kern w:val="0"/>
                <w:szCs w:val="21"/>
              </w:rPr>
              <w:t>评价要点：</w:t>
            </w:r>
          </w:p>
          <w:p w14:paraId="2A93B6C3">
            <w:pPr>
              <w:widowControl/>
              <w:spacing w:line="240" w:lineRule="exact"/>
              <w:jc w:val="center"/>
              <w:rPr>
                <w:szCs w:val="21"/>
              </w:rPr>
            </w:pPr>
            <w:r>
              <w:rPr>
                <w:rFonts w:ascii="仿宋_GB2312" w:hAnsi="新宋体" w:eastAsia="仿宋_GB2312" w:cs="仿宋_GB2312"/>
                <w:kern w:val="0"/>
                <w:szCs w:val="21"/>
              </w:rPr>
              <w:t>1.符合国家财经法规和财务管理制度规定以及有关部门资金管理办法的规定；</w:t>
            </w:r>
          </w:p>
          <w:p w14:paraId="5B95DF8F">
            <w:pPr>
              <w:widowControl/>
              <w:spacing w:line="240" w:lineRule="exact"/>
              <w:jc w:val="center"/>
              <w:rPr>
                <w:szCs w:val="21"/>
              </w:rPr>
            </w:pPr>
            <w:r>
              <w:rPr>
                <w:rFonts w:ascii="仿宋_GB2312" w:hAnsi="新宋体" w:eastAsia="仿宋_GB2312" w:cs="仿宋_GB2312"/>
                <w:kern w:val="0"/>
                <w:szCs w:val="21"/>
              </w:rPr>
              <w:t>2.资金的拨付有完整的审批过程和手续；</w:t>
            </w:r>
          </w:p>
          <w:p w14:paraId="70ECF039">
            <w:pPr>
              <w:widowControl/>
              <w:spacing w:line="240" w:lineRule="exact"/>
              <w:jc w:val="center"/>
              <w:rPr>
                <w:szCs w:val="21"/>
              </w:rPr>
            </w:pPr>
            <w:r>
              <w:rPr>
                <w:rFonts w:ascii="仿宋_GB2312" w:hAnsi="新宋体" w:eastAsia="仿宋_GB2312" w:cs="仿宋_GB2312"/>
                <w:kern w:val="0"/>
                <w:szCs w:val="21"/>
              </w:rPr>
              <w:t>3.项目的重大开支经过评估论证；</w:t>
            </w:r>
          </w:p>
          <w:p w14:paraId="05F638DF">
            <w:pPr>
              <w:widowControl/>
              <w:spacing w:line="240" w:lineRule="exact"/>
              <w:jc w:val="center"/>
              <w:rPr>
                <w:szCs w:val="21"/>
              </w:rPr>
            </w:pPr>
            <w:r>
              <w:rPr>
                <w:rFonts w:ascii="仿宋_GB2312" w:hAnsi="新宋体" w:eastAsia="仿宋_GB2312" w:cs="仿宋_GB2312"/>
                <w:kern w:val="0"/>
                <w:szCs w:val="21"/>
              </w:rPr>
              <w:t>4.符合部门预算批复的用途；</w:t>
            </w:r>
          </w:p>
          <w:p w14:paraId="02394887">
            <w:pPr>
              <w:widowControl/>
              <w:spacing w:line="240" w:lineRule="exact"/>
              <w:jc w:val="center"/>
              <w:rPr>
                <w:szCs w:val="21"/>
              </w:rPr>
            </w:pPr>
            <w:r>
              <w:rPr>
                <w:rFonts w:ascii="仿宋_GB2312" w:hAnsi="新宋体" w:eastAsia="仿宋_GB2312" w:cs="仿宋_GB2312"/>
                <w:kern w:val="0"/>
                <w:szCs w:val="21"/>
              </w:rPr>
              <w:t>5.不存在截留情况；</w:t>
            </w:r>
          </w:p>
          <w:p w14:paraId="0A7C41DE">
            <w:pPr>
              <w:widowControl/>
              <w:spacing w:line="240" w:lineRule="exact"/>
              <w:jc w:val="center"/>
              <w:rPr>
                <w:szCs w:val="21"/>
              </w:rPr>
            </w:pPr>
            <w:r>
              <w:rPr>
                <w:rFonts w:ascii="仿宋_GB2312" w:hAnsi="新宋体" w:eastAsia="仿宋_GB2312" w:cs="仿宋_GB2312"/>
                <w:kern w:val="0"/>
                <w:szCs w:val="21"/>
              </w:rPr>
              <w:t>6.不存在挤占情况；</w:t>
            </w:r>
          </w:p>
          <w:p w14:paraId="1AECCB50">
            <w:pPr>
              <w:widowControl/>
              <w:spacing w:line="240" w:lineRule="exact"/>
              <w:jc w:val="center"/>
              <w:rPr>
                <w:szCs w:val="21"/>
              </w:rPr>
            </w:pPr>
            <w:r>
              <w:rPr>
                <w:rFonts w:ascii="仿宋_GB2312" w:hAnsi="新宋体" w:eastAsia="仿宋_GB2312" w:cs="仿宋_GB2312"/>
                <w:kern w:val="0"/>
                <w:szCs w:val="21"/>
              </w:rPr>
              <w:t>7.不存在挪用情况；</w:t>
            </w:r>
          </w:p>
          <w:p w14:paraId="79032247">
            <w:pPr>
              <w:widowControl/>
              <w:spacing w:line="240" w:lineRule="exact"/>
              <w:jc w:val="center"/>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47A9AA9">
            <w:pPr>
              <w:widowControl/>
              <w:spacing w:line="240" w:lineRule="exact"/>
              <w:jc w:val="center"/>
              <w:rPr>
                <w:szCs w:val="21"/>
              </w:rPr>
            </w:pPr>
            <w:r>
              <w:rPr>
                <w:rFonts w:ascii="仿宋_GB2312" w:hAnsi="新宋体" w:eastAsia="仿宋_GB2312" w:cs="仿宋_GB2312"/>
                <w:kern w:val="0"/>
                <w:szCs w:val="21"/>
              </w:rPr>
              <w:t>全部符合（8）；</w:t>
            </w:r>
          </w:p>
          <w:p w14:paraId="2CA85A33">
            <w:pPr>
              <w:widowControl/>
              <w:spacing w:line="240" w:lineRule="exact"/>
              <w:jc w:val="center"/>
              <w:rPr>
                <w:szCs w:val="21"/>
              </w:rPr>
            </w:pPr>
            <w:r>
              <w:rPr>
                <w:rFonts w:ascii="仿宋_GB2312" w:hAnsi="新宋体" w:eastAsia="仿宋_GB2312" w:cs="仿宋_GB2312"/>
                <w:kern w:val="0"/>
                <w:szCs w:val="21"/>
              </w:rPr>
              <w:t>符合其中七项（6）；</w:t>
            </w:r>
          </w:p>
          <w:p w14:paraId="31CA8FA4">
            <w:pPr>
              <w:widowControl/>
              <w:spacing w:line="240" w:lineRule="exact"/>
              <w:jc w:val="center"/>
              <w:rPr>
                <w:szCs w:val="21"/>
              </w:rPr>
            </w:pPr>
            <w:r>
              <w:rPr>
                <w:rFonts w:ascii="仿宋_GB2312" w:hAnsi="新宋体" w:eastAsia="仿宋_GB2312" w:cs="仿宋_GB2312"/>
                <w:kern w:val="0"/>
                <w:szCs w:val="21"/>
              </w:rPr>
              <w:t>符合其中六项（4）；</w:t>
            </w:r>
          </w:p>
          <w:p w14:paraId="1040015A">
            <w:pPr>
              <w:widowControl/>
              <w:spacing w:line="240" w:lineRule="exact"/>
              <w:jc w:val="center"/>
              <w:rPr>
                <w:szCs w:val="21"/>
              </w:rPr>
            </w:pPr>
            <w:r>
              <w:rPr>
                <w:rFonts w:ascii="仿宋_GB2312" w:hAnsi="新宋体" w:eastAsia="仿宋_GB2312" w:cs="仿宋_GB2312"/>
                <w:kern w:val="0"/>
                <w:szCs w:val="21"/>
              </w:rPr>
              <w:t>符合其中五项（2）；</w:t>
            </w:r>
          </w:p>
          <w:p w14:paraId="01F36482">
            <w:pPr>
              <w:widowControl/>
              <w:spacing w:line="240" w:lineRule="exact"/>
              <w:jc w:val="center"/>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DDDC7C1">
            <w:pPr>
              <w:widowControl/>
              <w:spacing w:line="240" w:lineRule="exact"/>
              <w:jc w:val="center"/>
              <w:rPr>
                <w:szCs w:val="21"/>
              </w:rPr>
            </w:pPr>
            <w:r>
              <w:rPr>
                <w:rFonts w:hint="eastAsia"/>
                <w:szCs w:val="21"/>
              </w:rPr>
              <w:t>8</w:t>
            </w:r>
          </w:p>
        </w:tc>
      </w:tr>
      <w:tr w14:paraId="72493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1363163">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09722CC">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09BF7BC">
            <w:pPr>
              <w:widowControl/>
              <w:spacing w:line="240" w:lineRule="exact"/>
              <w:jc w:val="center"/>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BC18395">
            <w:pPr>
              <w:widowControl/>
              <w:spacing w:line="240" w:lineRule="exact"/>
              <w:jc w:val="center"/>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5E48C905">
            <w:pPr>
              <w:widowControl/>
              <w:spacing w:line="240" w:lineRule="exact"/>
              <w:jc w:val="center"/>
              <w:rPr>
                <w:szCs w:val="21"/>
              </w:rPr>
            </w:pPr>
            <w:r>
              <w:rPr>
                <w:rFonts w:ascii="仿宋_GB2312" w:hAnsi="新宋体" w:eastAsia="仿宋_GB2312" w:cs="仿宋_GB2312"/>
                <w:kern w:val="0"/>
                <w:szCs w:val="21"/>
              </w:rPr>
              <w:t>预决算信息是指与部门预算、执行、决算、监督、绩效等管理相关的信息。</w:t>
            </w:r>
          </w:p>
          <w:p w14:paraId="47853F2B">
            <w:pPr>
              <w:widowControl/>
              <w:spacing w:line="240" w:lineRule="exact"/>
              <w:jc w:val="center"/>
              <w:rPr>
                <w:szCs w:val="21"/>
              </w:rPr>
            </w:pPr>
            <w:r>
              <w:rPr>
                <w:rFonts w:ascii="仿宋_GB2312" w:hAnsi="新宋体" w:eastAsia="仿宋_GB2312" w:cs="仿宋_GB2312"/>
                <w:kern w:val="0"/>
                <w:szCs w:val="21"/>
              </w:rPr>
              <w:t>评价要点：</w:t>
            </w:r>
          </w:p>
          <w:p w14:paraId="16451033">
            <w:pPr>
              <w:widowControl/>
              <w:spacing w:line="240" w:lineRule="exact"/>
              <w:jc w:val="center"/>
              <w:rPr>
                <w:szCs w:val="21"/>
              </w:rPr>
            </w:pPr>
            <w:r>
              <w:rPr>
                <w:rFonts w:ascii="仿宋_GB2312" w:hAnsi="新宋体" w:eastAsia="仿宋_GB2312" w:cs="仿宋_GB2312"/>
                <w:kern w:val="0"/>
                <w:szCs w:val="21"/>
              </w:rPr>
              <w:t>1.公开预决算信息；</w:t>
            </w:r>
          </w:p>
          <w:p w14:paraId="3C1283E8">
            <w:pPr>
              <w:widowControl/>
              <w:spacing w:line="240" w:lineRule="exact"/>
              <w:jc w:val="center"/>
              <w:rPr>
                <w:szCs w:val="21"/>
              </w:rPr>
            </w:pPr>
            <w:r>
              <w:rPr>
                <w:rFonts w:ascii="仿宋_GB2312" w:hAnsi="新宋体" w:eastAsia="仿宋_GB2312" w:cs="仿宋_GB2312"/>
                <w:kern w:val="0"/>
                <w:szCs w:val="21"/>
              </w:rPr>
              <w:t>2.按规定内容公开预决算信息；</w:t>
            </w:r>
          </w:p>
          <w:p w14:paraId="4CB7165D">
            <w:pPr>
              <w:widowControl/>
              <w:spacing w:line="240" w:lineRule="exact"/>
              <w:jc w:val="center"/>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3318A0A7">
            <w:pPr>
              <w:widowControl/>
              <w:spacing w:line="240" w:lineRule="exact"/>
              <w:jc w:val="center"/>
              <w:rPr>
                <w:szCs w:val="21"/>
              </w:rPr>
            </w:pPr>
            <w:r>
              <w:rPr>
                <w:rFonts w:ascii="仿宋_GB2312" w:hAnsi="新宋体" w:eastAsia="仿宋_GB2312" w:cs="仿宋_GB2312"/>
                <w:kern w:val="0"/>
                <w:szCs w:val="21"/>
              </w:rPr>
              <w:t>全部符合（3）；</w:t>
            </w:r>
          </w:p>
          <w:p w14:paraId="35365F93">
            <w:pPr>
              <w:widowControl/>
              <w:spacing w:line="240" w:lineRule="exact"/>
              <w:jc w:val="center"/>
              <w:rPr>
                <w:szCs w:val="21"/>
              </w:rPr>
            </w:pPr>
            <w:r>
              <w:rPr>
                <w:rFonts w:ascii="仿宋_GB2312" w:hAnsi="新宋体" w:eastAsia="仿宋_GB2312" w:cs="仿宋_GB2312"/>
                <w:kern w:val="0"/>
                <w:szCs w:val="21"/>
              </w:rPr>
              <w:t>符合其中两项（2）</w:t>
            </w:r>
          </w:p>
          <w:p w14:paraId="1859EA79">
            <w:pPr>
              <w:widowControl/>
              <w:spacing w:line="240" w:lineRule="exact"/>
              <w:jc w:val="center"/>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44B42281">
            <w:pPr>
              <w:widowControl/>
              <w:spacing w:line="240" w:lineRule="exact"/>
              <w:jc w:val="center"/>
              <w:rPr>
                <w:szCs w:val="21"/>
              </w:rPr>
            </w:pPr>
            <w:r>
              <w:rPr>
                <w:rFonts w:hint="eastAsia"/>
                <w:szCs w:val="21"/>
              </w:rPr>
              <w:t>3</w:t>
            </w:r>
          </w:p>
        </w:tc>
      </w:tr>
      <w:tr w14:paraId="45628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24EE279">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57F6DAB">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C3BA424">
            <w:pPr>
              <w:widowControl/>
              <w:spacing w:line="240" w:lineRule="exact"/>
              <w:jc w:val="center"/>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A473568">
            <w:pPr>
              <w:widowControl/>
              <w:spacing w:line="240" w:lineRule="exact"/>
              <w:jc w:val="center"/>
              <w:rPr>
                <w:szCs w:val="21"/>
              </w:rPr>
            </w:pPr>
            <w:r>
              <w:rPr>
                <w:rFonts w:ascii="仿宋_GB2312" w:hAnsi="新宋体" w:eastAsia="仿宋_GB2312" w:cs="仿宋_GB2312"/>
                <w:kern w:val="0"/>
                <w:szCs w:val="21"/>
              </w:rPr>
              <w:t>部门基础信息是否完善，用以反映和评价基础信息对预算管理工作的支撑情况。</w:t>
            </w:r>
          </w:p>
          <w:p w14:paraId="2E0DD7AB">
            <w:pPr>
              <w:widowControl/>
              <w:spacing w:line="240" w:lineRule="exact"/>
              <w:jc w:val="center"/>
              <w:rPr>
                <w:szCs w:val="21"/>
              </w:rPr>
            </w:pPr>
            <w:r>
              <w:rPr>
                <w:rFonts w:ascii="仿宋_GB2312" w:hAnsi="新宋体" w:eastAsia="仿宋_GB2312" w:cs="仿宋_GB2312"/>
                <w:kern w:val="0"/>
                <w:szCs w:val="21"/>
              </w:rPr>
              <w:t>评价要点：</w:t>
            </w:r>
          </w:p>
          <w:p w14:paraId="045E0FD9">
            <w:pPr>
              <w:widowControl/>
              <w:spacing w:line="240" w:lineRule="exact"/>
              <w:jc w:val="center"/>
              <w:rPr>
                <w:szCs w:val="21"/>
              </w:rPr>
            </w:pPr>
            <w:r>
              <w:rPr>
                <w:rFonts w:ascii="仿宋_GB2312" w:hAnsi="新宋体" w:eastAsia="仿宋_GB2312" w:cs="仿宋_GB2312"/>
                <w:kern w:val="0"/>
                <w:szCs w:val="21"/>
              </w:rPr>
              <w:t>1.基本财务管理制度健全；</w:t>
            </w:r>
          </w:p>
          <w:p w14:paraId="4294F1EF">
            <w:pPr>
              <w:widowControl/>
              <w:spacing w:line="240" w:lineRule="exact"/>
              <w:jc w:val="center"/>
              <w:rPr>
                <w:szCs w:val="21"/>
              </w:rPr>
            </w:pPr>
            <w:r>
              <w:rPr>
                <w:rFonts w:ascii="仿宋_GB2312" w:hAnsi="新宋体" w:eastAsia="仿宋_GB2312" w:cs="仿宋_GB2312"/>
                <w:kern w:val="0"/>
                <w:szCs w:val="21"/>
              </w:rPr>
              <w:t>2.基础数据信息和会计信息资料真实；</w:t>
            </w:r>
          </w:p>
          <w:p w14:paraId="235CA548">
            <w:pPr>
              <w:widowControl/>
              <w:spacing w:line="240" w:lineRule="exact"/>
              <w:jc w:val="center"/>
              <w:rPr>
                <w:szCs w:val="21"/>
              </w:rPr>
            </w:pPr>
            <w:r>
              <w:rPr>
                <w:rFonts w:ascii="仿宋_GB2312" w:hAnsi="新宋体" w:eastAsia="仿宋_GB2312" w:cs="仿宋_GB2312"/>
                <w:kern w:val="0"/>
                <w:szCs w:val="21"/>
              </w:rPr>
              <w:t>3.基础数据信息和会计信息资料完整；</w:t>
            </w:r>
          </w:p>
          <w:p w14:paraId="169BAA0F">
            <w:pPr>
              <w:widowControl/>
              <w:spacing w:line="240" w:lineRule="exact"/>
              <w:jc w:val="center"/>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455BBE42">
            <w:pPr>
              <w:widowControl/>
              <w:spacing w:line="240" w:lineRule="exact"/>
              <w:jc w:val="center"/>
              <w:rPr>
                <w:szCs w:val="21"/>
              </w:rPr>
            </w:pPr>
            <w:r>
              <w:rPr>
                <w:rFonts w:ascii="仿宋_GB2312" w:hAnsi="新宋体" w:eastAsia="仿宋_GB2312" w:cs="仿宋_GB2312"/>
                <w:kern w:val="0"/>
                <w:szCs w:val="21"/>
              </w:rPr>
              <w:t>符合全部四项（4）；</w:t>
            </w:r>
          </w:p>
          <w:p w14:paraId="5C5C9F3B">
            <w:pPr>
              <w:widowControl/>
              <w:spacing w:line="240" w:lineRule="exact"/>
              <w:jc w:val="center"/>
              <w:rPr>
                <w:szCs w:val="21"/>
              </w:rPr>
            </w:pPr>
            <w:r>
              <w:rPr>
                <w:rFonts w:ascii="仿宋_GB2312" w:hAnsi="新宋体" w:eastAsia="仿宋_GB2312" w:cs="仿宋_GB2312"/>
                <w:kern w:val="0"/>
                <w:szCs w:val="21"/>
              </w:rPr>
              <w:t>符合其中三项（2）；</w:t>
            </w:r>
          </w:p>
          <w:p w14:paraId="33D9EB1D">
            <w:pPr>
              <w:widowControl/>
              <w:spacing w:line="240" w:lineRule="exact"/>
              <w:jc w:val="center"/>
              <w:rPr>
                <w:szCs w:val="21"/>
              </w:rPr>
            </w:pPr>
            <w:r>
              <w:rPr>
                <w:rFonts w:ascii="仿宋_GB2312" w:hAnsi="新宋体" w:eastAsia="仿宋_GB2312" w:cs="仿宋_GB2312"/>
                <w:kern w:val="0"/>
                <w:szCs w:val="21"/>
              </w:rPr>
              <w:t>符合其中两项（1）；</w:t>
            </w:r>
          </w:p>
          <w:p w14:paraId="752C1E3C">
            <w:pPr>
              <w:widowControl/>
              <w:spacing w:line="240" w:lineRule="exact"/>
              <w:jc w:val="center"/>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48D7294">
            <w:pPr>
              <w:widowControl/>
              <w:spacing w:line="240" w:lineRule="exact"/>
              <w:jc w:val="center"/>
              <w:rPr>
                <w:szCs w:val="21"/>
              </w:rPr>
            </w:pPr>
            <w:r>
              <w:rPr>
                <w:rFonts w:hint="eastAsia"/>
                <w:szCs w:val="21"/>
              </w:rPr>
              <w:t>4</w:t>
            </w:r>
          </w:p>
        </w:tc>
      </w:tr>
      <w:tr w14:paraId="7066E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4DDF48C">
            <w:pPr>
              <w:spacing w:line="240" w:lineRule="exact"/>
              <w:jc w:val="center"/>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CBBB0FE">
            <w:pPr>
              <w:widowControl/>
              <w:spacing w:line="240" w:lineRule="exact"/>
              <w:jc w:val="center"/>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2FC416E9">
            <w:pPr>
              <w:widowControl/>
              <w:spacing w:line="240" w:lineRule="exact"/>
              <w:jc w:val="center"/>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0D748915">
            <w:pPr>
              <w:widowControl/>
              <w:spacing w:line="240" w:lineRule="exact"/>
              <w:jc w:val="center"/>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19603661">
            <w:pPr>
              <w:widowControl/>
              <w:spacing w:line="240" w:lineRule="exact"/>
              <w:jc w:val="center"/>
              <w:rPr>
                <w:szCs w:val="21"/>
              </w:rPr>
            </w:pPr>
            <w:r>
              <w:rPr>
                <w:rFonts w:ascii="仿宋_GB2312" w:hAnsi="新宋体" w:eastAsia="仿宋_GB2312" w:cs="仿宋_GB2312"/>
                <w:kern w:val="0"/>
                <w:szCs w:val="21"/>
              </w:rPr>
              <w:t>评价要点：</w:t>
            </w:r>
          </w:p>
          <w:p w14:paraId="667E54EC">
            <w:pPr>
              <w:widowControl/>
              <w:spacing w:line="240" w:lineRule="exact"/>
              <w:jc w:val="center"/>
              <w:rPr>
                <w:szCs w:val="21"/>
              </w:rPr>
            </w:pPr>
            <w:r>
              <w:rPr>
                <w:rFonts w:ascii="仿宋_GB2312" w:hAnsi="新宋体" w:eastAsia="仿宋_GB2312" w:cs="仿宋_GB2312"/>
                <w:kern w:val="0"/>
                <w:szCs w:val="21"/>
              </w:rPr>
              <w:t>1.资产保存完整；</w:t>
            </w:r>
          </w:p>
          <w:p w14:paraId="1F9120A8">
            <w:pPr>
              <w:widowControl/>
              <w:spacing w:line="240" w:lineRule="exact"/>
              <w:jc w:val="center"/>
              <w:rPr>
                <w:szCs w:val="21"/>
              </w:rPr>
            </w:pPr>
            <w:r>
              <w:rPr>
                <w:rFonts w:ascii="仿宋_GB2312" w:hAnsi="新宋体" w:eastAsia="仿宋_GB2312" w:cs="仿宋_GB2312"/>
                <w:kern w:val="0"/>
                <w:szCs w:val="21"/>
              </w:rPr>
              <w:t>2.资产账务管理是否合规，帐实相符；</w:t>
            </w:r>
          </w:p>
          <w:p w14:paraId="0076FB00">
            <w:pPr>
              <w:widowControl/>
              <w:spacing w:line="240" w:lineRule="exact"/>
              <w:jc w:val="center"/>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7A9D75F6">
            <w:pPr>
              <w:widowControl/>
              <w:spacing w:line="240" w:lineRule="exact"/>
              <w:jc w:val="center"/>
              <w:rPr>
                <w:szCs w:val="21"/>
              </w:rPr>
            </w:pPr>
            <w:r>
              <w:rPr>
                <w:rFonts w:ascii="仿宋_GB2312" w:hAnsi="新宋体" w:eastAsia="仿宋_GB2312" w:cs="仿宋_GB2312"/>
                <w:kern w:val="0"/>
                <w:szCs w:val="21"/>
              </w:rPr>
              <w:t>符合全部三项（3）；</w:t>
            </w:r>
          </w:p>
          <w:p w14:paraId="2F3EEF22">
            <w:pPr>
              <w:widowControl/>
              <w:spacing w:line="240" w:lineRule="exact"/>
              <w:jc w:val="center"/>
              <w:rPr>
                <w:szCs w:val="21"/>
              </w:rPr>
            </w:pPr>
            <w:r>
              <w:rPr>
                <w:rFonts w:ascii="仿宋_GB2312" w:hAnsi="新宋体" w:eastAsia="仿宋_GB2312" w:cs="仿宋_GB2312"/>
                <w:kern w:val="0"/>
                <w:szCs w:val="21"/>
              </w:rPr>
              <w:t>符合其中两项（2）；</w:t>
            </w:r>
          </w:p>
          <w:p w14:paraId="441ECC16">
            <w:pPr>
              <w:widowControl/>
              <w:spacing w:line="240" w:lineRule="exact"/>
              <w:jc w:val="center"/>
              <w:rPr>
                <w:szCs w:val="21"/>
              </w:rPr>
            </w:pPr>
            <w:r>
              <w:rPr>
                <w:rFonts w:ascii="仿宋_GB2312" w:hAnsi="新宋体" w:eastAsia="仿宋_GB2312" w:cs="仿宋_GB2312"/>
                <w:kern w:val="0"/>
                <w:szCs w:val="21"/>
              </w:rPr>
              <w:t>符合其中一项（1）；</w:t>
            </w:r>
          </w:p>
          <w:p w14:paraId="50570694">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0E00F466">
            <w:pPr>
              <w:widowControl/>
              <w:spacing w:line="240" w:lineRule="exact"/>
              <w:jc w:val="center"/>
              <w:rPr>
                <w:szCs w:val="21"/>
              </w:rPr>
            </w:pPr>
            <w:r>
              <w:rPr>
                <w:rFonts w:hint="eastAsia"/>
                <w:szCs w:val="21"/>
              </w:rPr>
              <w:t>2</w:t>
            </w:r>
          </w:p>
        </w:tc>
      </w:tr>
      <w:tr w14:paraId="458D2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62789E0">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69ABD21">
            <w:pPr>
              <w:spacing w:line="240" w:lineRule="exact"/>
              <w:jc w:val="center"/>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1D90A41E">
            <w:pPr>
              <w:widowControl/>
              <w:spacing w:line="240" w:lineRule="exact"/>
              <w:jc w:val="center"/>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62A7644B">
            <w:pPr>
              <w:widowControl/>
              <w:spacing w:line="240" w:lineRule="exact"/>
              <w:jc w:val="center"/>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737CCC54">
            <w:pPr>
              <w:widowControl/>
              <w:spacing w:line="240" w:lineRule="exact"/>
              <w:jc w:val="center"/>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1CE3C593">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1.固定资产利用率大于或等于95%的，得满分；</w:t>
            </w:r>
          </w:p>
          <w:p w14:paraId="625A240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2.固定资产利用率小于或等于85%的，得0分；</w:t>
            </w:r>
          </w:p>
          <w:p w14:paraId="48F2FEA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3.固定资产利用率在85%-95%之间的，在0和满分之间计算确定：</w:t>
            </w:r>
          </w:p>
          <w:p w14:paraId="6C04D7FB">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D07402B">
            <w:pPr>
              <w:widowControl/>
              <w:spacing w:line="240" w:lineRule="exact"/>
              <w:jc w:val="center"/>
              <w:rPr>
                <w:szCs w:val="21"/>
              </w:rPr>
            </w:pPr>
            <w:r>
              <w:rPr>
                <w:rFonts w:hint="eastAsia"/>
                <w:szCs w:val="21"/>
              </w:rPr>
              <w:t>3</w:t>
            </w:r>
          </w:p>
        </w:tc>
      </w:tr>
      <w:tr w14:paraId="79071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5B62893">
            <w:pPr>
              <w:widowControl/>
              <w:spacing w:line="240" w:lineRule="exact"/>
              <w:jc w:val="center"/>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2063980">
            <w:pPr>
              <w:widowControl/>
              <w:spacing w:line="240" w:lineRule="exact"/>
              <w:jc w:val="center"/>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40827EF2">
            <w:pPr>
              <w:widowControl/>
              <w:spacing w:line="240" w:lineRule="exact"/>
              <w:jc w:val="center"/>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980513B">
            <w:pPr>
              <w:widowControl/>
              <w:spacing w:line="240" w:lineRule="exact"/>
              <w:jc w:val="center"/>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55E12E6C">
            <w:pPr>
              <w:widowControl/>
              <w:spacing w:line="240" w:lineRule="exact"/>
              <w:jc w:val="center"/>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6D9B8040">
            <w:pPr>
              <w:widowControl/>
              <w:spacing w:line="240" w:lineRule="exact"/>
              <w:jc w:val="center"/>
              <w:rPr>
                <w:szCs w:val="21"/>
              </w:rPr>
            </w:pPr>
            <w:r>
              <w:rPr>
                <w:rFonts w:hint="eastAsia"/>
                <w:szCs w:val="21"/>
              </w:rPr>
              <w:t>10</w:t>
            </w:r>
          </w:p>
        </w:tc>
      </w:tr>
      <w:tr w14:paraId="5076E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9CD1FC3">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5054218">
            <w:pPr>
              <w:spacing w:line="240" w:lineRule="exact"/>
              <w:jc w:val="center"/>
              <w:rPr>
                <w:rFonts w:ascii="宋体"/>
                <w:szCs w:val="21"/>
              </w:rPr>
            </w:pPr>
          </w:p>
        </w:tc>
        <w:tc>
          <w:tcPr>
            <w:tcW w:w="1275" w:type="dxa"/>
            <w:tcBorders>
              <w:top w:val="single" w:color="000000" w:sz="4" w:space="0"/>
              <w:left w:val="single" w:color="000000" w:sz="4" w:space="0"/>
              <w:right w:val="single" w:color="auto" w:sz="4" w:space="0"/>
            </w:tcBorders>
            <w:vAlign w:val="center"/>
          </w:tcPr>
          <w:p w14:paraId="011889CA">
            <w:pPr>
              <w:widowControl/>
              <w:spacing w:line="240" w:lineRule="exact"/>
              <w:jc w:val="center"/>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3901B7BE">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76DC236E">
            <w:pPr>
              <w:widowControl/>
              <w:spacing w:line="240" w:lineRule="exact"/>
              <w:jc w:val="center"/>
              <w:rPr>
                <w:szCs w:val="21"/>
              </w:rPr>
            </w:pPr>
            <w:r>
              <w:rPr>
                <w:rFonts w:ascii="仿宋_GB2312" w:hAnsi="新宋体" w:eastAsia="仿宋_GB2312" w:cs="仿宋_GB2312"/>
                <w:kern w:val="0"/>
                <w:szCs w:val="21"/>
              </w:rPr>
              <w:t>项目质量达标率=（已完成项目中质量达标项目个数/已完成项目个数）×100%。</w:t>
            </w:r>
          </w:p>
          <w:p w14:paraId="3A31861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AEA4A65">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1.项目质量达标率等于100%的，得满分；</w:t>
            </w:r>
          </w:p>
          <w:p w14:paraId="5F9F2640">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2.项目质量达标率小于或等于99%的，得0分；</w:t>
            </w:r>
          </w:p>
          <w:p w14:paraId="47BCC13D">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3.项目质量达标率在99%-100%之间的，在0和满分之间计算确定：</w:t>
            </w:r>
          </w:p>
          <w:p w14:paraId="6C9D8AC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46D8F245">
            <w:pPr>
              <w:widowControl/>
              <w:spacing w:line="240" w:lineRule="exact"/>
              <w:jc w:val="center"/>
              <w:rPr>
                <w:szCs w:val="21"/>
              </w:rPr>
            </w:pPr>
            <w:r>
              <w:rPr>
                <w:rFonts w:hint="eastAsia"/>
                <w:szCs w:val="21"/>
              </w:rPr>
              <w:t>15</w:t>
            </w:r>
          </w:p>
        </w:tc>
      </w:tr>
      <w:tr w14:paraId="04A8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C73AE1F">
            <w:pPr>
              <w:widowControl/>
              <w:spacing w:line="240" w:lineRule="exact"/>
              <w:jc w:val="center"/>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7F62DDB8">
            <w:pPr>
              <w:widowControl/>
              <w:spacing w:line="240" w:lineRule="exact"/>
              <w:jc w:val="center"/>
              <w:rPr>
                <w:rFonts w:ascii="仿宋_GB2312" w:hAnsi="新宋体" w:eastAsia="仿宋_GB2312" w:cs="仿宋_GB2312"/>
                <w:kern w:val="0"/>
                <w:szCs w:val="21"/>
              </w:rPr>
            </w:pPr>
          </w:p>
          <w:p w14:paraId="37B7A44B">
            <w:pPr>
              <w:widowControl/>
              <w:spacing w:line="240" w:lineRule="exact"/>
              <w:jc w:val="center"/>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20CE2DAB">
            <w:pPr>
              <w:widowControl/>
              <w:spacing w:line="240" w:lineRule="exact"/>
              <w:jc w:val="center"/>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05C7BE2">
            <w:pPr>
              <w:widowControl/>
              <w:spacing w:line="240" w:lineRule="exact"/>
              <w:jc w:val="center"/>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D5B7DAF">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1354C266">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525561C3">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EBA971E">
            <w:pPr>
              <w:widowControl/>
              <w:spacing w:line="240" w:lineRule="exact"/>
              <w:jc w:val="center"/>
              <w:rPr>
                <w:szCs w:val="21"/>
              </w:rPr>
            </w:pPr>
            <w:r>
              <w:rPr>
                <w:rFonts w:hint="eastAsia"/>
                <w:szCs w:val="21"/>
              </w:rPr>
              <w:t>5</w:t>
            </w:r>
          </w:p>
        </w:tc>
      </w:tr>
      <w:tr w14:paraId="1732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5C6BBACC">
            <w:pPr>
              <w:widowControl/>
              <w:spacing w:line="240" w:lineRule="exact"/>
              <w:jc w:val="center"/>
              <w:rPr>
                <w:rFonts w:ascii="仿宋_GB2312" w:hAnsi="新宋体" w:eastAsia="仿宋_GB2312" w:cs="仿宋_GB2312"/>
                <w:b/>
                <w:bCs/>
                <w:kern w:val="0"/>
                <w:szCs w:val="21"/>
              </w:rPr>
            </w:pPr>
          </w:p>
        </w:tc>
        <w:tc>
          <w:tcPr>
            <w:tcW w:w="743" w:type="dxa"/>
            <w:vMerge w:val="continue"/>
            <w:tcBorders>
              <w:left w:val="single" w:color="000000" w:sz="4" w:space="0"/>
              <w:right w:val="single" w:color="000000" w:sz="4" w:space="0"/>
            </w:tcBorders>
            <w:vAlign w:val="center"/>
          </w:tcPr>
          <w:p w14:paraId="5DEEFE17">
            <w:pPr>
              <w:widowControl/>
              <w:spacing w:line="240" w:lineRule="exact"/>
              <w:jc w:val="center"/>
              <w:rPr>
                <w:rFonts w:ascii="仿宋_GB2312" w:hAnsi="新宋体" w:eastAsia="仿宋_GB2312" w:cs="仿宋_GB2312"/>
                <w:b/>
                <w:bCs/>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3DCD570">
            <w:pPr>
              <w:widowControl/>
              <w:spacing w:line="240" w:lineRule="exact"/>
              <w:jc w:val="center"/>
              <w:rPr>
                <w:rFonts w:ascii="仿宋_GB2312" w:hAnsi="新宋体" w:eastAsia="仿宋_GB2312" w:cs="仿宋_GB2312"/>
                <w:b/>
                <w:bCs/>
                <w:color w:val="000000"/>
                <w:kern w:val="0"/>
                <w:szCs w:val="21"/>
              </w:rPr>
            </w:pPr>
            <w:r>
              <w:rPr>
                <w:rFonts w:hint="eastAsia" w:ascii="仿宋_GB2312" w:hAnsi="新宋体" w:eastAsia="仿宋_GB2312" w:cs="仿宋_GB2312"/>
                <w:b/>
                <w:bCs/>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526D88C">
            <w:pPr>
              <w:widowControl/>
              <w:spacing w:line="2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部门及所属二级单位履行职责对社会发展所带来的直接或间接影响。</w:t>
            </w:r>
          </w:p>
          <w:p w14:paraId="53F03CBD">
            <w:pPr>
              <w:widowControl/>
              <w:spacing w:line="2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评价要点：</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 xml:space="preserve">1.通过部门所属企事业单位的改革，促进了企事业单位可持续发展，带动就业增长情况；          </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2.通过预算支出项目的实施，是否明显促进了行业精神文明建设；</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3.通过部门履职是否明显提高城乡居民生活水平，满足了人们日益增长的物质与文化生活需求；</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4.通过预算项目的实施，是否提高了劳动生产率，降低了劳动强度，促进了劳动人民的身心健康；</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6BD57B70">
            <w:pPr>
              <w:widowControl/>
              <w:spacing w:line="240" w:lineRule="exact"/>
              <w:jc w:val="center"/>
              <w:textAlignment w:val="center"/>
              <w:rPr>
                <w:rFonts w:ascii="仿宋" w:hAnsi="仿宋" w:eastAsia="仿宋" w:cs="仿宋"/>
                <w:b/>
                <w:bCs/>
                <w:szCs w:val="21"/>
              </w:rPr>
            </w:pPr>
            <w:r>
              <w:rPr>
                <w:rFonts w:hint="eastAsia" w:ascii="仿宋" w:hAnsi="仿宋" w:eastAsia="仿宋" w:cs="仿宋"/>
                <w:b/>
                <w:bCs/>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106BEC5D">
            <w:pPr>
              <w:widowControl/>
              <w:spacing w:line="240" w:lineRule="exact"/>
              <w:jc w:val="center"/>
              <w:rPr>
                <w:b/>
                <w:bCs/>
                <w:szCs w:val="21"/>
              </w:rPr>
            </w:pPr>
            <w:r>
              <w:rPr>
                <w:rFonts w:hint="eastAsia"/>
                <w:b/>
                <w:bCs/>
                <w:szCs w:val="21"/>
              </w:rPr>
              <w:t>5</w:t>
            </w:r>
          </w:p>
        </w:tc>
      </w:tr>
      <w:tr w14:paraId="638BE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41C4E169">
            <w:pPr>
              <w:widowControl/>
              <w:spacing w:line="240" w:lineRule="exact"/>
              <w:jc w:val="center"/>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1928145F">
            <w:pPr>
              <w:widowControl/>
              <w:spacing w:line="240" w:lineRule="exact"/>
              <w:jc w:val="center"/>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654B67C">
            <w:pPr>
              <w:widowControl/>
              <w:spacing w:line="240" w:lineRule="exact"/>
              <w:jc w:val="center"/>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5813BBAA">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74621136">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23309DB1">
            <w:pPr>
              <w:widowControl/>
              <w:spacing w:line="240" w:lineRule="exact"/>
              <w:jc w:val="center"/>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06D5365">
            <w:pPr>
              <w:widowControl/>
              <w:spacing w:line="240" w:lineRule="exact"/>
              <w:jc w:val="center"/>
              <w:rPr>
                <w:szCs w:val="21"/>
              </w:rPr>
            </w:pPr>
            <w:r>
              <w:rPr>
                <w:rFonts w:hint="eastAsia"/>
                <w:szCs w:val="21"/>
              </w:rPr>
              <w:t>5</w:t>
            </w:r>
          </w:p>
        </w:tc>
      </w:tr>
      <w:tr w14:paraId="5CAE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A837971">
            <w:pPr>
              <w:spacing w:line="240" w:lineRule="exact"/>
              <w:jc w:val="center"/>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40198658">
            <w:pPr>
              <w:widowControl/>
              <w:spacing w:line="240" w:lineRule="exact"/>
              <w:jc w:val="center"/>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8A0E231">
            <w:pPr>
              <w:widowControl/>
              <w:spacing w:line="240" w:lineRule="exact"/>
              <w:jc w:val="center"/>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269ACA28">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724C6C7B">
            <w:pPr>
              <w:widowControl/>
              <w:spacing w:line="240" w:lineRule="exact"/>
              <w:jc w:val="center"/>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36C01696">
            <w:pPr>
              <w:widowControl/>
              <w:spacing w:line="240" w:lineRule="exact"/>
              <w:jc w:val="center"/>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3A7E13CA">
            <w:pPr>
              <w:widowControl/>
              <w:spacing w:line="240" w:lineRule="exact"/>
              <w:jc w:val="center"/>
              <w:rPr>
                <w:szCs w:val="21"/>
              </w:rPr>
            </w:pPr>
            <w:r>
              <w:rPr>
                <w:rFonts w:hint="eastAsia"/>
                <w:szCs w:val="21"/>
              </w:rPr>
              <w:t>5</w:t>
            </w:r>
          </w:p>
        </w:tc>
      </w:tr>
    </w:tbl>
    <w:p w14:paraId="5EE3D3B9">
      <w:pPr>
        <w:spacing w:line="240" w:lineRule="exact"/>
        <w:rPr>
          <w:rFonts w:ascii="仿宋" w:hAnsi="仿宋" w:eastAsia="仿宋" w:cs="仿宋"/>
          <w:sz w:val="32"/>
          <w:szCs w:val="32"/>
        </w:rPr>
      </w:pPr>
    </w:p>
    <w:p w14:paraId="11EF73F9">
      <w:pPr>
        <w:spacing w:line="240" w:lineRule="exact"/>
        <w:rPr>
          <w:rFonts w:ascii="仿宋" w:hAnsi="仿宋" w:eastAsia="仿宋" w:cs="仿宋"/>
          <w:sz w:val="32"/>
          <w:szCs w:val="32"/>
        </w:rPr>
      </w:pPr>
    </w:p>
    <w:p w14:paraId="5F1FD13C">
      <w:pPr>
        <w:spacing w:line="240" w:lineRule="exact"/>
        <w:rPr>
          <w:rFonts w:ascii="仿宋" w:hAnsi="仿宋" w:eastAsia="仿宋" w:cs="仿宋"/>
          <w:sz w:val="32"/>
          <w:szCs w:val="32"/>
        </w:rPr>
      </w:pPr>
    </w:p>
    <w:p w14:paraId="1D4E446C">
      <w:pPr>
        <w:rPr>
          <w:rFonts w:hint="eastAsia" w:ascii="仿宋" w:hAnsi="仿宋" w:eastAsia="仿宋" w:cs="仿宋"/>
          <w:b/>
          <w:bCs/>
          <w:sz w:val="30"/>
          <w:szCs w:val="30"/>
        </w:rPr>
      </w:pPr>
    </w:p>
    <w:p w14:paraId="3AEB468A">
      <w:pPr>
        <w:rPr>
          <w:rFonts w:hint="eastAsia" w:ascii="仿宋" w:hAnsi="仿宋" w:eastAsia="仿宋" w:cs="仿宋"/>
          <w:b/>
          <w:bCs/>
          <w:sz w:val="30"/>
          <w:szCs w:val="30"/>
        </w:rPr>
      </w:pPr>
    </w:p>
    <w:p w14:paraId="7DDB350C">
      <w:pPr>
        <w:rPr>
          <w:rFonts w:hint="eastAsia" w:ascii="仿宋" w:hAnsi="仿宋" w:eastAsia="仿宋" w:cs="仿宋"/>
          <w:b/>
          <w:bCs/>
          <w:sz w:val="30"/>
          <w:szCs w:val="30"/>
        </w:rPr>
      </w:pPr>
    </w:p>
    <w:p w14:paraId="7DCE8632">
      <w:pPr>
        <w:rPr>
          <w:rFonts w:hint="eastAsia" w:ascii="仿宋" w:hAnsi="仿宋" w:eastAsia="仿宋" w:cs="仿宋"/>
          <w:b/>
          <w:bCs/>
          <w:sz w:val="30"/>
          <w:szCs w:val="30"/>
        </w:rPr>
      </w:pPr>
    </w:p>
    <w:p w14:paraId="52144CC5">
      <w:pPr>
        <w:rPr>
          <w:rFonts w:hint="eastAsia" w:ascii="仿宋" w:hAnsi="仿宋" w:eastAsia="仿宋" w:cs="仿宋"/>
          <w:b/>
          <w:bCs/>
          <w:sz w:val="30"/>
          <w:szCs w:val="30"/>
        </w:rPr>
      </w:pPr>
    </w:p>
    <w:p w14:paraId="54341AB5">
      <w:pPr>
        <w:rPr>
          <w:rFonts w:hint="eastAsia" w:ascii="仿宋" w:hAnsi="仿宋" w:eastAsia="仿宋" w:cs="仿宋"/>
          <w:b/>
          <w:bCs/>
          <w:sz w:val="30"/>
          <w:szCs w:val="30"/>
        </w:rPr>
      </w:pPr>
    </w:p>
    <w:p w14:paraId="28BD777E">
      <w:pPr>
        <w:rPr>
          <w:rFonts w:hint="eastAsia" w:ascii="仿宋" w:hAnsi="仿宋" w:eastAsia="仿宋" w:cs="仿宋"/>
          <w:b/>
          <w:bCs/>
          <w:sz w:val="30"/>
          <w:szCs w:val="30"/>
        </w:rPr>
      </w:pPr>
    </w:p>
    <w:p w14:paraId="10922BB6">
      <w:pPr>
        <w:rPr>
          <w:rFonts w:hint="eastAsia" w:ascii="仿宋" w:hAnsi="仿宋" w:eastAsia="仿宋" w:cs="仿宋"/>
          <w:b/>
          <w:bCs/>
          <w:sz w:val="30"/>
          <w:szCs w:val="30"/>
        </w:rPr>
      </w:pPr>
    </w:p>
    <w:p w14:paraId="24E6AE1F">
      <w:pPr>
        <w:rPr>
          <w:rFonts w:hint="eastAsia" w:ascii="仿宋" w:hAnsi="仿宋" w:eastAsia="仿宋" w:cs="仿宋"/>
          <w:b/>
          <w:bCs/>
          <w:sz w:val="30"/>
          <w:szCs w:val="30"/>
        </w:rPr>
      </w:pPr>
    </w:p>
    <w:p w14:paraId="404AEAFA">
      <w:pPr>
        <w:rPr>
          <w:rFonts w:hint="eastAsia" w:ascii="仿宋" w:hAnsi="仿宋" w:eastAsia="仿宋" w:cs="仿宋"/>
          <w:b/>
          <w:bCs/>
          <w:sz w:val="30"/>
          <w:szCs w:val="30"/>
        </w:rPr>
      </w:pPr>
    </w:p>
    <w:p w14:paraId="2E2DF0CE">
      <w:pPr>
        <w:rPr>
          <w:rFonts w:hint="eastAsia" w:ascii="仿宋" w:hAnsi="仿宋" w:eastAsia="仿宋" w:cs="仿宋"/>
          <w:b/>
          <w:bCs/>
          <w:sz w:val="30"/>
          <w:szCs w:val="30"/>
        </w:rPr>
      </w:pPr>
    </w:p>
    <w:p w14:paraId="148C55F0">
      <w:pPr>
        <w:rPr>
          <w:rFonts w:hint="eastAsia" w:ascii="仿宋" w:hAnsi="仿宋" w:eastAsia="仿宋" w:cs="仿宋"/>
          <w:b/>
          <w:bCs/>
          <w:sz w:val="30"/>
          <w:szCs w:val="30"/>
        </w:rPr>
      </w:pPr>
    </w:p>
    <w:p w14:paraId="4EF12C8E">
      <w:pPr>
        <w:ind w:firstLine="602" w:firstLineChars="200"/>
        <w:rPr>
          <w:rFonts w:ascii="仿宋" w:hAnsi="仿宋" w:eastAsia="仿宋" w:cs="仿宋"/>
          <w:b/>
          <w:bCs/>
          <w:sz w:val="30"/>
          <w:szCs w:val="30"/>
        </w:rPr>
      </w:pPr>
      <w:r>
        <w:rPr>
          <w:rFonts w:hint="eastAsia" w:ascii="仿宋" w:hAnsi="仿宋" w:eastAsia="仿宋" w:cs="仿宋"/>
          <w:b/>
          <w:bCs/>
          <w:sz w:val="30"/>
          <w:szCs w:val="30"/>
        </w:rPr>
        <w:t>县直二幼整体支出绩效评价报告主要内容包括：</w:t>
      </w:r>
    </w:p>
    <w:p w14:paraId="467060D5">
      <w:pPr>
        <w:widowControl/>
        <w:numPr>
          <w:ilvl w:val="0"/>
          <w:numId w:val="0"/>
        </w:numPr>
        <w:shd w:val="clear" w:color="auto" w:fill="FFFFFF"/>
        <w:spacing w:line="400" w:lineRule="atLeast"/>
        <w:ind w:firstLine="640" w:firstLineChars="200"/>
        <w:jc w:val="left"/>
        <w:rPr>
          <w:rFonts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基本概况。</w:t>
      </w:r>
    </w:p>
    <w:p w14:paraId="402A28AA">
      <w:pPr>
        <w:widowControl/>
        <w:shd w:val="clear" w:color="auto" w:fill="FFFFFF"/>
        <w:spacing w:line="40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1、部门组织架构、人员</w:t>
      </w:r>
    </w:p>
    <w:p w14:paraId="34E82A90">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平乡县县直第二幼儿园是一所公办幼儿园，现</w:t>
      </w:r>
      <w:r>
        <w:rPr>
          <w:rFonts w:hint="eastAsia" w:ascii="仿宋" w:hAnsi="仿宋" w:eastAsia="仿宋" w:cs="仿宋"/>
          <w:sz w:val="32"/>
          <w:szCs w:val="32"/>
          <w:lang w:eastAsia="zh-CN"/>
        </w:rPr>
        <w:t>有教</w:t>
      </w:r>
      <w:r>
        <w:rPr>
          <w:rFonts w:hint="eastAsia" w:ascii="仿宋" w:hAnsi="仿宋" w:eastAsia="仿宋" w:cs="仿宋"/>
          <w:sz w:val="32"/>
          <w:szCs w:val="32"/>
        </w:rPr>
        <w:t>职工11人,其中事业编制10人,乡村振兴人才1人.全园共有大、中、小3个</w:t>
      </w:r>
      <w:r>
        <w:rPr>
          <w:rFonts w:hint="eastAsia" w:ascii="仿宋" w:hAnsi="仿宋" w:eastAsia="仿宋" w:cs="仿宋"/>
          <w:sz w:val="32"/>
          <w:szCs w:val="32"/>
          <w:lang w:eastAsia="zh-CN"/>
        </w:rPr>
        <w:t>教学</w:t>
      </w:r>
      <w:r>
        <w:rPr>
          <w:rFonts w:hint="eastAsia" w:ascii="仿宋" w:hAnsi="仿宋" w:eastAsia="仿宋" w:cs="仿宋"/>
          <w:sz w:val="32"/>
          <w:szCs w:val="32"/>
        </w:rPr>
        <w:t>班,共计幼儿1</w:t>
      </w:r>
      <w:r>
        <w:rPr>
          <w:rFonts w:hint="eastAsia" w:ascii="仿宋" w:hAnsi="仿宋" w:eastAsia="仿宋" w:cs="仿宋"/>
          <w:sz w:val="32"/>
          <w:szCs w:val="32"/>
          <w:lang w:val="en-US" w:eastAsia="zh-CN"/>
        </w:rPr>
        <w:t>1</w:t>
      </w:r>
      <w:r>
        <w:rPr>
          <w:rFonts w:hint="eastAsia" w:ascii="仿宋" w:hAnsi="仿宋" w:eastAsia="仿宋" w:cs="仿宋"/>
          <w:sz w:val="32"/>
          <w:szCs w:val="32"/>
        </w:rPr>
        <w:t>3名.我单位为财政全额拨款单位,执行事业会计制度。</w:t>
      </w:r>
    </w:p>
    <w:p w14:paraId="1E52FF0B">
      <w:pPr>
        <w:widowControl/>
        <w:numPr>
          <w:ilvl w:val="0"/>
          <w:numId w:val="1"/>
        </w:numPr>
        <w:shd w:val="clear" w:color="auto" w:fill="FFFFFF"/>
        <w:spacing w:line="40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资产情况</w:t>
      </w:r>
    </w:p>
    <w:p w14:paraId="5E51B78C">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我园严格资产的购置、领用、处置、报废等工作程序</w:t>
      </w:r>
      <w:r>
        <w:rPr>
          <w:rFonts w:hint="eastAsia" w:ascii="仿宋" w:hAnsi="仿宋" w:eastAsia="仿宋" w:cs="仿宋"/>
          <w:sz w:val="32"/>
          <w:szCs w:val="32"/>
          <w:lang w:eastAsia="zh-CN"/>
        </w:rPr>
        <w:t>，</w:t>
      </w:r>
      <w:r>
        <w:rPr>
          <w:rFonts w:hint="eastAsia" w:ascii="仿宋" w:hAnsi="仿宋" w:eastAsia="仿宋" w:cs="仿宋"/>
          <w:sz w:val="32"/>
          <w:szCs w:val="32"/>
        </w:rPr>
        <w:t xml:space="preserve">所有资产全部按要求建档建册，用卡片进行登记，款物相符，登记准确无误。合理使用有限资金，集中力量，加大教育教学、教育科研的投入。各项收入做到心中有数，坚持做到了“量入为出，以收定支，略有节余”。 </w:t>
      </w:r>
    </w:p>
    <w:p w14:paraId="75D9347E">
      <w:pPr>
        <w:widowControl/>
        <w:shd w:val="clear" w:color="auto" w:fill="FFFFFF"/>
        <w:spacing w:line="40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3、部门主要职责职能</w:t>
      </w:r>
    </w:p>
    <w:p w14:paraId="066E14CE">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贯彻国家的教育方针，按照保育和教育相结合的原则，遵循幼儿身心发展特点和规律，实施德、智、体、美等方面全面发展的教育，促进幼儿身心和谐发展。同时面向幼儿家长提供科学育儿指导。</w:t>
      </w:r>
    </w:p>
    <w:p w14:paraId="145263F9">
      <w:pPr>
        <w:widowControl/>
        <w:shd w:val="clear" w:color="auto" w:fill="FFFFFF"/>
        <w:spacing w:line="400" w:lineRule="atLeast"/>
        <w:ind w:left="550"/>
        <w:jc w:val="left"/>
        <w:rPr>
          <w:rFonts w:ascii="仿宋" w:hAnsi="仿宋" w:eastAsia="仿宋" w:cs="仿宋"/>
          <w:b/>
          <w:bCs/>
          <w:sz w:val="32"/>
          <w:szCs w:val="32"/>
        </w:rPr>
      </w:pPr>
      <w:r>
        <w:rPr>
          <w:rFonts w:hint="eastAsia" w:ascii="仿宋" w:hAnsi="仿宋" w:eastAsia="仿宋" w:cs="仿宋"/>
          <w:b/>
          <w:bCs/>
          <w:sz w:val="32"/>
          <w:szCs w:val="32"/>
        </w:rPr>
        <w:t>4、部门履职总体目标</w:t>
      </w:r>
    </w:p>
    <w:p w14:paraId="4383733F">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(一）满足当前学前教育的需求，力求为幼儿提供最优质的启蒙教育服务。</w:t>
      </w:r>
    </w:p>
    <w:p w14:paraId="46B170CD">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（二）改善教育教学环境，使我园的教育教学环境能符合当前幼儿教育的新要求，为幼儿的成长提供更加舒适的学习环境。</w:t>
      </w:r>
    </w:p>
    <w:p w14:paraId="35EE0446">
      <w:pPr>
        <w:widowControl/>
        <w:shd w:val="clear" w:color="auto" w:fill="FFFFFF"/>
        <w:spacing w:line="40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5、年度整体绩效目标、工作任务</w:t>
      </w:r>
    </w:p>
    <w:p w14:paraId="47413FA0">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我园认真贯彻&lt;&lt;幼儿园工作规程&gt;&gt;和&lt;&lt;幼儿园工作条例&gt;&gt;，一直坚持以保教为主,以办园质量得到家长和社会的认可为目标,遵循教育规律与幼儿年龄特点组织保教活动,大力提高保教质量,同时面向幼儿家长提供科学育儿指导，不断完善和提高幼儿园的整体形象和水平,起引领示范的带头作用，培养德智体美劳全面和谐发展的社会主义建设者和接班人。</w:t>
      </w:r>
    </w:p>
    <w:p w14:paraId="15093EEB">
      <w:pPr>
        <w:widowControl/>
        <w:shd w:val="clear" w:color="auto" w:fill="FFFFFF"/>
        <w:spacing w:line="40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6、预算资金安排及资金支出情况</w:t>
      </w:r>
    </w:p>
    <w:p w14:paraId="64CD8F30">
      <w:pPr>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年我园预算资金安排共计</w:t>
      </w:r>
      <w:r>
        <w:rPr>
          <w:rFonts w:hint="eastAsia" w:ascii="仿宋" w:hAnsi="仿宋" w:eastAsia="仿宋" w:cs="仿宋"/>
          <w:sz w:val="32"/>
          <w:szCs w:val="32"/>
          <w:lang w:val="en-US" w:eastAsia="zh-CN"/>
        </w:rPr>
        <w:t>93.4</w:t>
      </w:r>
      <w:r>
        <w:rPr>
          <w:rFonts w:hint="eastAsia" w:ascii="仿宋" w:hAnsi="仿宋" w:eastAsia="仿宋" w:cs="仿宋"/>
          <w:sz w:val="32"/>
          <w:szCs w:val="32"/>
        </w:rPr>
        <w:t>万元，主要用于人员经费以及办公费、印刷费、水电费、环境创设布置、办公设备购置等日常公用经费支出。其中</w:t>
      </w:r>
      <w:r>
        <w:rPr>
          <w:rFonts w:hint="eastAsia" w:ascii="仿宋" w:hAnsi="仿宋" w:eastAsia="仿宋" w:cs="仿宋"/>
          <w:sz w:val="32"/>
          <w:szCs w:val="32"/>
          <w:lang w:eastAsia="zh-CN"/>
        </w:rPr>
        <w:t>人员经费</w:t>
      </w:r>
      <w:r>
        <w:rPr>
          <w:rFonts w:hint="eastAsia" w:ascii="仿宋" w:hAnsi="仿宋" w:eastAsia="仿宋" w:cs="仿宋"/>
          <w:sz w:val="32"/>
          <w:szCs w:val="32"/>
        </w:rPr>
        <w:t>支出</w:t>
      </w:r>
      <w:r>
        <w:rPr>
          <w:rFonts w:hint="eastAsia" w:ascii="仿宋" w:hAnsi="仿宋" w:eastAsia="仿宋" w:cs="仿宋"/>
          <w:sz w:val="32"/>
          <w:szCs w:val="32"/>
          <w:lang w:val="en-US" w:eastAsia="zh-CN"/>
        </w:rPr>
        <w:t>78.3</w:t>
      </w:r>
      <w:r>
        <w:rPr>
          <w:rFonts w:hint="eastAsia" w:ascii="仿宋" w:hAnsi="仿宋" w:eastAsia="仿宋" w:cs="仿宋"/>
          <w:sz w:val="32"/>
          <w:szCs w:val="32"/>
        </w:rPr>
        <w:t>万元,日常公用经费支出</w:t>
      </w:r>
      <w:r>
        <w:rPr>
          <w:rFonts w:hint="eastAsia" w:ascii="仿宋" w:hAnsi="仿宋" w:eastAsia="仿宋" w:cs="仿宋"/>
          <w:sz w:val="32"/>
          <w:szCs w:val="32"/>
          <w:lang w:val="en-US" w:eastAsia="zh-CN"/>
        </w:rPr>
        <w:t>15.1</w:t>
      </w:r>
      <w:r>
        <w:rPr>
          <w:rFonts w:hint="eastAsia" w:ascii="仿宋" w:hAnsi="仿宋" w:eastAsia="仿宋" w:cs="仿宋"/>
          <w:sz w:val="32"/>
          <w:szCs w:val="32"/>
        </w:rPr>
        <w:t>万元。</w:t>
      </w:r>
    </w:p>
    <w:p w14:paraId="66112ED4">
      <w:pPr>
        <w:ind w:firstLine="640" w:firstLineChars="200"/>
        <w:rPr>
          <w:rFonts w:ascii="仿宋" w:hAnsi="仿宋" w:eastAsia="仿宋" w:cs="仿宋"/>
          <w:sz w:val="32"/>
          <w:szCs w:val="32"/>
        </w:rPr>
      </w:pPr>
      <w:r>
        <w:rPr>
          <w:rFonts w:hint="eastAsia" w:ascii="仿宋" w:hAnsi="仿宋" w:eastAsia="仿宋" w:cs="仿宋"/>
          <w:sz w:val="32"/>
          <w:szCs w:val="32"/>
        </w:rPr>
        <w:t>我园认真贯彻中央八项规定和六项禁令,厉行节约、日常公用经费，先后制定了《财务管理制度》和内部控制制度》并就劳务费、差旅费、办公费等制定了相关实施细则，实行“部门预算”公开制度，就大额资金实行园务集体决策制度，有效控制了一般公共性支出，实际支出没有超出预算规模、范围和标准。</w:t>
      </w:r>
    </w:p>
    <w:p w14:paraId="091986A7">
      <w:pPr>
        <w:ind w:firstLine="640" w:firstLineChars="200"/>
        <w:rPr>
          <w:rFonts w:ascii="黑体" w:hAnsi="黑体" w:eastAsia="黑体" w:cs="黑体"/>
          <w:sz w:val="32"/>
          <w:szCs w:val="32"/>
        </w:rPr>
      </w:pPr>
      <w:r>
        <w:rPr>
          <w:rFonts w:hint="eastAsia" w:ascii="黑体" w:hAnsi="黑体" w:eastAsia="黑体" w:cs="黑体"/>
          <w:sz w:val="32"/>
          <w:szCs w:val="32"/>
        </w:rPr>
        <w:t>二、预算绩效管理开展及整体绩效实现情况。</w:t>
      </w:r>
    </w:p>
    <w:p w14:paraId="333BFAEE">
      <w:pPr>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1、部门开展预算绩效管理情况、工作履行活动完成情况</w:t>
      </w:r>
    </w:p>
    <w:p w14:paraId="2B1AB42B">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我园专门</w:t>
      </w:r>
      <w:r>
        <w:rPr>
          <w:rFonts w:hint="eastAsia" w:ascii="仿宋" w:hAnsi="仿宋" w:eastAsia="仿宋" w:cs="仿宋"/>
          <w:sz w:val="32"/>
          <w:szCs w:val="32"/>
        </w:rPr>
        <w:t>成立预算绩效管理工作领导小组，制定完善管理制度，规范财务纪律，发挥项目资金的使用效益</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我园</w:t>
      </w:r>
      <w:r>
        <w:rPr>
          <w:rFonts w:hint="eastAsia" w:ascii="仿宋" w:hAnsi="仿宋" w:eastAsia="仿宋" w:cs="仿宋"/>
          <w:color w:val="000000"/>
          <w:sz w:val="32"/>
          <w:szCs w:val="32"/>
          <w:shd w:val="clear" w:color="auto" w:fill="FFFFFF"/>
        </w:rPr>
        <w:t>按照年初预算来完成各工作</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积极开展预算绩效管理工作，整体效果较好,年度开支控制在预算及财政局规定的范围内,</w:t>
      </w:r>
      <w:r>
        <w:rPr>
          <w:rFonts w:hint="eastAsia" w:ascii="仿宋" w:hAnsi="仿宋" w:eastAsia="仿宋" w:cs="仿宋"/>
          <w:color w:val="000000"/>
          <w:sz w:val="32"/>
          <w:szCs w:val="32"/>
          <w:shd w:val="clear" w:color="auto" w:fill="FFFFFF"/>
          <w:lang w:eastAsia="zh-CN"/>
        </w:rPr>
        <w:t>能够</w:t>
      </w:r>
      <w:r>
        <w:rPr>
          <w:rFonts w:hint="eastAsia" w:ascii="仿宋" w:hAnsi="仿宋" w:eastAsia="仿宋" w:cs="仿宋"/>
          <w:color w:val="000000"/>
          <w:sz w:val="32"/>
          <w:szCs w:val="32"/>
          <w:shd w:val="clear" w:color="auto" w:fill="FFFFFF"/>
        </w:rPr>
        <w:t>如质如量按时完成各项工作。</w:t>
      </w:r>
    </w:p>
    <w:p w14:paraId="16E441BC">
      <w:pPr>
        <w:numPr>
          <w:ilvl w:val="0"/>
          <w:numId w:val="2"/>
        </w:numPr>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实施履职活动产生的效果及社会公众或服务对象满意程度</w:t>
      </w:r>
    </w:p>
    <w:p w14:paraId="2039016F">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我园认真贯彻执行党和国家的有关法律法规，方针，政策，依法办园，坚持正确的办园方向；实行保育和教育相结合的原则，对幼儿实施体、智、德、美诸方面全面发展的教育，促进其身心和谐发展；为家长解除后顾之忧，为家长服务，得到了上级部门、社会、家长的认可。</w:t>
      </w:r>
    </w:p>
    <w:p w14:paraId="397BBBFD">
      <w:pPr>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b/>
          <w:bCs/>
          <w:sz w:val="32"/>
          <w:szCs w:val="32"/>
        </w:rPr>
        <w:t>绩效评价的组织实施情况</w:t>
      </w:r>
      <w:r>
        <w:rPr>
          <w:rFonts w:hint="eastAsia" w:ascii="黑体" w:hAnsi="黑体" w:eastAsia="黑体" w:cs="黑体"/>
          <w:sz w:val="32"/>
          <w:szCs w:val="32"/>
        </w:rPr>
        <w:t>。</w:t>
      </w:r>
    </w:p>
    <w:p w14:paraId="4249EEEE">
      <w:pPr>
        <w:ind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通过项目绩效的实施落实，提高了园所建设，增加教育承载能力，为适龄学前儿童提供保育、教育合格率100%，学生、家长满意度99%以上，为幼儿创造了一个相对安全、健康、丰富的生活和活动环境，满足他们多方面发展的需要，使他们度过快乐而有意义的童年。</w:t>
      </w:r>
    </w:p>
    <w:p w14:paraId="06AA6593">
      <w:pPr>
        <w:ind w:left="420" w:leftChars="200" w:firstLine="320" w:firstLineChars="100"/>
        <w:rPr>
          <w:rFonts w:ascii="仿宋" w:hAnsi="仿宋" w:eastAsia="仿宋" w:cs="仿宋"/>
          <w:sz w:val="32"/>
          <w:szCs w:val="32"/>
        </w:rPr>
      </w:pPr>
      <w:r>
        <w:rPr>
          <w:rFonts w:hint="eastAsia" w:ascii="黑体" w:hAnsi="黑体" w:eastAsia="黑体" w:cs="黑体"/>
          <w:sz w:val="32"/>
          <w:szCs w:val="32"/>
        </w:rPr>
        <w:t>四、各项绩效目标的实现程度及差异性原因分析。</w:t>
      </w:r>
    </w:p>
    <w:p w14:paraId="05393159">
      <w:pPr>
        <w:ind w:firstLine="640" w:firstLineChars="200"/>
        <w:rPr>
          <w:rFonts w:ascii="仿宋" w:hAnsi="仿宋" w:eastAsia="仿宋" w:cs="仿宋"/>
          <w:sz w:val="32"/>
          <w:szCs w:val="32"/>
        </w:rPr>
      </w:pPr>
      <w:r>
        <w:rPr>
          <w:rFonts w:hint="eastAsia" w:ascii="仿宋" w:hAnsi="仿宋" w:eastAsia="仿宋" w:cs="仿宋"/>
          <w:sz w:val="32"/>
          <w:szCs w:val="32"/>
        </w:rPr>
        <w:t>加强项目资金的管理和使用，积极开展项目绩效评价，确保项目绩效目标的完成。</w:t>
      </w:r>
    </w:p>
    <w:p w14:paraId="7D9AE206">
      <w:pPr>
        <w:ind w:firstLine="640" w:firstLineChars="200"/>
        <w:rPr>
          <w:rFonts w:ascii="黑体" w:hAnsi="黑体" w:eastAsia="黑体" w:cs="黑体"/>
          <w:sz w:val="32"/>
          <w:szCs w:val="32"/>
        </w:rPr>
      </w:pPr>
      <w:r>
        <w:rPr>
          <w:rFonts w:hint="eastAsia" w:ascii="黑体" w:hAnsi="黑体" w:eastAsia="黑体" w:cs="黑体"/>
          <w:sz w:val="32"/>
          <w:szCs w:val="32"/>
        </w:rPr>
        <w:t>五、存在问题、采取的纠偏措施及改进绩效管理建议。</w:t>
      </w:r>
    </w:p>
    <w:p w14:paraId="2FE5DDBC">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无</w:t>
      </w:r>
    </w:p>
    <w:p w14:paraId="3BE315D1">
      <w:pPr>
        <w:ind w:firstLine="643" w:firstLineChars="200"/>
        <w:rPr>
          <w:rFonts w:ascii="仿宋" w:hAnsi="仿宋" w:eastAsia="仿宋" w:cs="仿宋"/>
          <w:b/>
          <w:bCs/>
          <w:sz w:val="32"/>
          <w:szCs w:val="32"/>
        </w:rPr>
      </w:pPr>
      <w:r>
        <w:rPr>
          <w:rFonts w:hint="eastAsia" w:ascii="仿宋" w:hAnsi="仿宋" w:eastAsia="仿宋" w:cs="仿宋"/>
          <w:b/>
          <w:bCs/>
          <w:sz w:val="32"/>
          <w:szCs w:val="32"/>
        </w:rPr>
        <w:t>六、其他需要说明的问题。</w:t>
      </w:r>
    </w:p>
    <w:p w14:paraId="40D868C0">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无</w:t>
      </w:r>
    </w:p>
    <w:p w14:paraId="39B05E11">
      <w:pPr>
        <w:ind w:firstLine="960" w:firstLineChars="300"/>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2620">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14:paraId="139F5FBC">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33D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06F0FC4A">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F2F12"/>
    <w:multiLevelType w:val="singleLevel"/>
    <w:tmpl w:val="905F2F12"/>
    <w:lvl w:ilvl="0" w:tentative="0">
      <w:start w:val="2"/>
      <w:numFmt w:val="decimal"/>
      <w:suff w:val="nothing"/>
      <w:lvlText w:val="%1、"/>
      <w:lvlJc w:val="left"/>
    </w:lvl>
  </w:abstractNum>
  <w:abstractNum w:abstractNumId="1">
    <w:nsid w:val="2CF6B8D5"/>
    <w:multiLevelType w:val="singleLevel"/>
    <w:tmpl w:val="2CF6B8D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B16D3"/>
    <w:rsid w:val="002F2268"/>
    <w:rsid w:val="003C50C2"/>
    <w:rsid w:val="003E514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B6B2F"/>
    <w:rsid w:val="00AD5F30"/>
    <w:rsid w:val="00B0681D"/>
    <w:rsid w:val="00B4371D"/>
    <w:rsid w:val="00B53717"/>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1812AD1"/>
    <w:rsid w:val="02312241"/>
    <w:rsid w:val="03610BCF"/>
    <w:rsid w:val="05374814"/>
    <w:rsid w:val="0F8F6BFC"/>
    <w:rsid w:val="10EC74CB"/>
    <w:rsid w:val="11A8625B"/>
    <w:rsid w:val="12A53486"/>
    <w:rsid w:val="15313235"/>
    <w:rsid w:val="194B5F69"/>
    <w:rsid w:val="1D222D54"/>
    <w:rsid w:val="1F903305"/>
    <w:rsid w:val="22897945"/>
    <w:rsid w:val="23E03341"/>
    <w:rsid w:val="23F75569"/>
    <w:rsid w:val="24883F5F"/>
    <w:rsid w:val="25145FFC"/>
    <w:rsid w:val="25C7167B"/>
    <w:rsid w:val="28717BCA"/>
    <w:rsid w:val="2B8F78DE"/>
    <w:rsid w:val="2B9221B0"/>
    <w:rsid w:val="2C9343FA"/>
    <w:rsid w:val="30E00A98"/>
    <w:rsid w:val="3791647A"/>
    <w:rsid w:val="38024B15"/>
    <w:rsid w:val="3E0D3CC0"/>
    <w:rsid w:val="455969D8"/>
    <w:rsid w:val="47807EC3"/>
    <w:rsid w:val="47B2620F"/>
    <w:rsid w:val="4DF0034E"/>
    <w:rsid w:val="4FC15FE6"/>
    <w:rsid w:val="51A024E3"/>
    <w:rsid w:val="52023AB6"/>
    <w:rsid w:val="526A3656"/>
    <w:rsid w:val="55EB6D97"/>
    <w:rsid w:val="56FD0D74"/>
    <w:rsid w:val="573D752C"/>
    <w:rsid w:val="5969460A"/>
    <w:rsid w:val="5D643D56"/>
    <w:rsid w:val="600709E5"/>
    <w:rsid w:val="60F72F6A"/>
    <w:rsid w:val="616B0EC5"/>
    <w:rsid w:val="62814153"/>
    <w:rsid w:val="69BD0A47"/>
    <w:rsid w:val="69BD642F"/>
    <w:rsid w:val="6D760BEF"/>
    <w:rsid w:val="6D826171"/>
    <w:rsid w:val="71A911C9"/>
    <w:rsid w:val="731956FA"/>
    <w:rsid w:val="737A0D91"/>
    <w:rsid w:val="756C7BA6"/>
    <w:rsid w:val="75AB4EE3"/>
    <w:rsid w:val="780E25F6"/>
    <w:rsid w:val="7887592E"/>
    <w:rsid w:val="78B11C6A"/>
    <w:rsid w:val="7CCC213E"/>
    <w:rsid w:val="7D8F7158"/>
    <w:rsid w:val="7F0A5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6100</Words>
  <Characters>6451</Characters>
  <Lines>49</Lines>
  <Paragraphs>13</Paragraphs>
  <TotalTime>4</TotalTime>
  <ScaleCrop>false</ScaleCrop>
  <LinksUpToDate>false</LinksUpToDate>
  <CharactersWithSpaces>6483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2021-09-02T09:15:00Z</cp:lastPrinted>
  <dcterms:modified xsi:type="dcterms:W3CDTF">2025-05-30T12:08:50Z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B82CDE3049BD4E798504E763B7F761CB_12</vt:lpwstr>
  </property>
</Properties>
</file>