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979A7">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附件</w:t>
      </w:r>
      <w:r>
        <w:rPr>
          <w:rFonts w:ascii="仿宋" w:hAnsi="仿宋" w:eastAsia="仿宋" w:cs="仿宋"/>
          <w:kern w:val="0"/>
          <w:sz w:val="32"/>
          <w:szCs w:val="32"/>
          <w:shd w:val="clear" w:color="auto" w:fill="FFFFFF"/>
        </w:rPr>
        <w:t>6</w:t>
      </w:r>
      <w:r>
        <w:rPr>
          <w:rFonts w:hint="eastAsia" w:ascii="仿宋" w:hAnsi="仿宋" w:eastAsia="仿宋" w:cs="仿宋"/>
          <w:kern w:val="0"/>
          <w:sz w:val="32"/>
          <w:szCs w:val="32"/>
          <w:shd w:val="clear" w:color="auto" w:fill="FFFFFF"/>
        </w:rPr>
        <w:t>：</w:t>
      </w:r>
    </w:p>
    <w:p w14:paraId="7CFE512D">
      <w:pPr>
        <w:spacing w:line="480" w:lineRule="exact"/>
        <w:jc w:val="center"/>
        <w:rPr>
          <w:rFonts w:ascii="宋体" w:cs="宋体"/>
          <w:b/>
          <w:color w:val="000000"/>
          <w:kern w:val="0"/>
          <w:sz w:val="32"/>
          <w:szCs w:val="32"/>
          <w:shd w:val="clear" w:color="auto" w:fill="FFFFFF"/>
        </w:rPr>
      </w:pPr>
      <w:r>
        <w:rPr>
          <w:rFonts w:hint="eastAsia" w:ascii="宋体" w:hAnsi="宋体"/>
          <w:b/>
          <w:sz w:val="32"/>
          <w:szCs w:val="32"/>
        </w:rPr>
        <w:t>油召学区整体支出绩效评价</w:t>
      </w:r>
      <w:r>
        <w:rPr>
          <w:rFonts w:hint="eastAsia" w:ascii="宋体" w:hAnsi="宋体" w:cs="宋体"/>
          <w:b/>
          <w:color w:val="000000"/>
          <w:kern w:val="0"/>
          <w:sz w:val="32"/>
          <w:szCs w:val="32"/>
          <w:shd w:val="clear" w:color="auto" w:fill="FFFFFF"/>
        </w:rPr>
        <w:t>指标体系评分表</w:t>
      </w:r>
    </w:p>
    <w:p w14:paraId="3463DC55">
      <w:pPr>
        <w:spacing w:line="480" w:lineRule="exact"/>
        <w:jc w:val="center"/>
        <w:rPr>
          <w:rFonts w:ascii="仿宋" w:hAnsi="仿宋" w:eastAsia="仿宋" w:cs="仿宋"/>
          <w:sz w:val="32"/>
          <w:szCs w:val="32"/>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6733B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vAlign w:val="center"/>
          </w:tcPr>
          <w:p w14:paraId="7133DA4C">
            <w:pPr>
              <w:widowControl/>
              <w:spacing w:line="240" w:lineRule="exact"/>
              <w:ind w:firstLine="482" w:firstLineChars="200"/>
              <w:jc w:val="center"/>
              <w:rPr>
                <w:b/>
              </w:rPr>
            </w:pPr>
            <w:r>
              <w:rPr>
                <w:rFonts w:hint="eastAsia" w:ascii="仿宋_GB2312" w:hAnsi="新宋体" w:eastAsia="仿宋_GB2312" w:cs="仿宋_GB2312"/>
                <w:b/>
                <w:kern w:val="0"/>
                <w:sz w:val="24"/>
                <w:szCs w:val="24"/>
              </w:rPr>
              <w:t>一级指标</w:t>
            </w:r>
          </w:p>
        </w:tc>
        <w:tc>
          <w:tcPr>
            <w:tcW w:w="743" w:type="dxa"/>
            <w:vMerge w:val="restart"/>
            <w:vAlign w:val="center"/>
          </w:tcPr>
          <w:p w14:paraId="3CE4C620">
            <w:pPr>
              <w:widowControl/>
              <w:spacing w:line="240" w:lineRule="exact"/>
              <w:ind w:firstLine="482" w:firstLineChars="200"/>
              <w:jc w:val="center"/>
              <w:rPr>
                <w:b/>
              </w:rPr>
            </w:pPr>
            <w:r>
              <w:rPr>
                <w:rFonts w:hint="eastAsia" w:ascii="仿宋_GB2312" w:hAnsi="新宋体" w:eastAsia="仿宋_GB2312" w:cs="仿宋_GB2312"/>
                <w:b/>
                <w:kern w:val="0"/>
                <w:sz w:val="24"/>
                <w:szCs w:val="24"/>
              </w:rPr>
              <w:t>二级指标</w:t>
            </w:r>
          </w:p>
        </w:tc>
        <w:tc>
          <w:tcPr>
            <w:tcW w:w="4711" w:type="dxa"/>
            <w:gridSpan w:val="2"/>
            <w:tcBorders>
              <w:right w:val="single" w:color="auto" w:sz="4" w:space="0"/>
            </w:tcBorders>
            <w:vAlign w:val="center"/>
          </w:tcPr>
          <w:p w14:paraId="01A35799">
            <w:pPr>
              <w:widowControl/>
              <w:spacing w:line="240" w:lineRule="exact"/>
              <w:ind w:firstLine="482" w:firstLineChars="200"/>
              <w:jc w:val="center"/>
              <w:rPr>
                <w:b/>
              </w:rPr>
            </w:pPr>
            <w:r>
              <w:rPr>
                <w:rFonts w:hint="eastAsia" w:ascii="仿宋_GB2312" w:hAnsi="新宋体" w:eastAsia="仿宋_GB2312" w:cs="仿宋_GB2312"/>
                <w:b/>
                <w:kern w:val="0"/>
                <w:sz w:val="24"/>
                <w:szCs w:val="24"/>
              </w:rPr>
              <w:t>三级指标</w:t>
            </w:r>
          </w:p>
        </w:tc>
        <w:tc>
          <w:tcPr>
            <w:tcW w:w="2373" w:type="dxa"/>
            <w:vMerge w:val="restart"/>
            <w:tcBorders>
              <w:left w:val="single" w:color="auto" w:sz="4" w:space="0"/>
              <w:right w:val="single" w:color="auto" w:sz="4" w:space="0"/>
            </w:tcBorders>
            <w:vAlign w:val="center"/>
          </w:tcPr>
          <w:p w14:paraId="1E05D4E4">
            <w:pPr>
              <w:widowControl/>
              <w:spacing w:line="240" w:lineRule="exact"/>
              <w:ind w:firstLine="482" w:firstLineChars="200"/>
              <w:jc w:val="center"/>
              <w:rPr>
                <w:b/>
              </w:rPr>
            </w:pPr>
            <w:r>
              <w:rPr>
                <w:rFonts w:hint="eastAsia" w:ascii="仿宋_GB2312" w:hAnsi="新宋体" w:eastAsia="仿宋_GB2312" w:cs="仿宋_GB2312"/>
                <w:b/>
                <w:kern w:val="0"/>
                <w:sz w:val="24"/>
                <w:szCs w:val="24"/>
              </w:rPr>
              <w:t>评分标准</w:t>
            </w:r>
          </w:p>
        </w:tc>
        <w:tc>
          <w:tcPr>
            <w:tcW w:w="764" w:type="dxa"/>
            <w:vMerge w:val="restart"/>
            <w:tcBorders>
              <w:left w:val="single" w:color="auto" w:sz="4" w:space="0"/>
              <w:right w:val="single" w:color="auto" w:sz="4" w:space="0"/>
            </w:tcBorders>
            <w:vAlign w:val="center"/>
          </w:tcPr>
          <w:p w14:paraId="3341D96F">
            <w:pPr>
              <w:widowControl/>
              <w:spacing w:line="240" w:lineRule="exact"/>
              <w:jc w:val="left"/>
              <w:rPr>
                <w:b/>
              </w:rPr>
            </w:pPr>
            <w:r>
              <w:rPr>
                <w:rFonts w:hint="eastAsia" w:ascii="仿宋_GB2312" w:hAnsi="新宋体" w:eastAsia="仿宋_GB2312" w:cs="仿宋_GB2312"/>
                <w:b/>
                <w:kern w:val="0"/>
                <w:sz w:val="24"/>
                <w:szCs w:val="24"/>
              </w:rPr>
              <w:t>得分</w:t>
            </w:r>
          </w:p>
        </w:tc>
      </w:tr>
      <w:tr w14:paraId="31553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vAlign w:val="center"/>
          </w:tcPr>
          <w:p w14:paraId="10E0847C">
            <w:pPr>
              <w:ind w:firstLine="420" w:firstLineChars="200"/>
              <w:rPr>
                <w:rFonts w:ascii="宋体"/>
                <w:szCs w:val="21"/>
              </w:rPr>
            </w:pPr>
          </w:p>
        </w:tc>
        <w:tc>
          <w:tcPr>
            <w:tcW w:w="743" w:type="dxa"/>
            <w:vMerge w:val="continue"/>
            <w:vAlign w:val="center"/>
          </w:tcPr>
          <w:p w14:paraId="4AF6EA8B">
            <w:pPr>
              <w:ind w:firstLine="420" w:firstLineChars="200"/>
              <w:rPr>
                <w:rFonts w:ascii="宋体"/>
                <w:szCs w:val="21"/>
              </w:rPr>
            </w:pPr>
          </w:p>
        </w:tc>
        <w:tc>
          <w:tcPr>
            <w:tcW w:w="1275" w:type="dxa"/>
            <w:tcBorders>
              <w:right w:val="single" w:color="auto" w:sz="4" w:space="0"/>
            </w:tcBorders>
            <w:vAlign w:val="center"/>
          </w:tcPr>
          <w:p w14:paraId="3D364D7D">
            <w:pPr>
              <w:widowControl/>
              <w:spacing w:line="240" w:lineRule="exact"/>
              <w:ind w:firstLine="482" w:firstLineChars="200"/>
              <w:jc w:val="center"/>
              <w:rPr>
                <w:b/>
              </w:rPr>
            </w:pPr>
            <w:r>
              <w:rPr>
                <w:rFonts w:hint="eastAsia" w:ascii="仿宋_GB2312" w:hAnsi="新宋体" w:eastAsia="仿宋_GB2312" w:cs="仿宋_GB2312"/>
                <w:b/>
                <w:kern w:val="0"/>
                <w:sz w:val="24"/>
                <w:szCs w:val="24"/>
              </w:rPr>
              <w:t>指标名称</w:t>
            </w:r>
          </w:p>
        </w:tc>
        <w:tc>
          <w:tcPr>
            <w:tcW w:w="3436" w:type="dxa"/>
            <w:tcBorders>
              <w:left w:val="single" w:color="auto" w:sz="4" w:space="0"/>
              <w:right w:val="single" w:color="auto" w:sz="4" w:space="0"/>
            </w:tcBorders>
            <w:vAlign w:val="center"/>
          </w:tcPr>
          <w:p w14:paraId="6115372A">
            <w:pPr>
              <w:widowControl/>
              <w:spacing w:line="240" w:lineRule="exact"/>
              <w:ind w:firstLine="482" w:firstLineChars="200"/>
              <w:jc w:val="center"/>
              <w:rPr>
                <w:b/>
              </w:rPr>
            </w:pPr>
            <w:r>
              <w:rPr>
                <w:rFonts w:hint="eastAsia" w:ascii="仿宋_GB2312" w:hAnsi="新宋体" w:eastAsia="仿宋_GB2312" w:cs="仿宋_GB2312"/>
                <w:b/>
                <w:kern w:val="0"/>
                <w:sz w:val="24"/>
                <w:szCs w:val="24"/>
              </w:rPr>
              <w:t>指标解释说明</w:t>
            </w:r>
          </w:p>
        </w:tc>
        <w:tc>
          <w:tcPr>
            <w:tcW w:w="2373" w:type="dxa"/>
            <w:vMerge w:val="continue"/>
            <w:tcBorders>
              <w:left w:val="single" w:color="auto" w:sz="4" w:space="0"/>
              <w:right w:val="single" w:color="auto" w:sz="4" w:space="0"/>
            </w:tcBorders>
            <w:vAlign w:val="center"/>
          </w:tcPr>
          <w:p w14:paraId="53CC5F37">
            <w:pPr>
              <w:ind w:firstLine="420" w:firstLineChars="200"/>
              <w:rPr>
                <w:rFonts w:ascii="宋体"/>
                <w:szCs w:val="21"/>
              </w:rPr>
            </w:pPr>
          </w:p>
        </w:tc>
        <w:tc>
          <w:tcPr>
            <w:tcW w:w="764" w:type="dxa"/>
            <w:vMerge w:val="continue"/>
            <w:tcBorders>
              <w:left w:val="single" w:color="auto" w:sz="4" w:space="0"/>
              <w:right w:val="single" w:color="auto" w:sz="4" w:space="0"/>
            </w:tcBorders>
            <w:vAlign w:val="center"/>
          </w:tcPr>
          <w:p w14:paraId="64D4E07D">
            <w:pPr>
              <w:ind w:firstLine="420" w:firstLineChars="200"/>
              <w:rPr>
                <w:rFonts w:ascii="宋体"/>
                <w:szCs w:val="21"/>
              </w:rPr>
            </w:pPr>
          </w:p>
        </w:tc>
      </w:tr>
      <w:tr w14:paraId="7AFD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vAlign w:val="center"/>
          </w:tcPr>
          <w:p w14:paraId="3F3E1D62">
            <w:pPr>
              <w:widowControl/>
              <w:spacing w:line="240" w:lineRule="exact"/>
              <w:ind w:firstLine="420" w:firstLineChars="200"/>
              <w:jc w:val="left"/>
              <w:rPr>
                <w:szCs w:val="21"/>
              </w:rPr>
            </w:pPr>
            <w:r>
              <w:rPr>
                <w:rFonts w:hint="eastAsia" w:ascii="仿宋_GB2312" w:hAnsi="新宋体" w:eastAsia="仿宋_GB2312" w:cs="仿宋_GB2312"/>
                <w:kern w:val="0"/>
                <w:szCs w:val="21"/>
              </w:rPr>
              <w:t>投入（</w:t>
            </w:r>
            <w:r>
              <w:rPr>
                <w:rFonts w:ascii="仿宋_GB2312" w:hAnsi="新宋体" w:eastAsia="仿宋_GB2312" w:cs="仿宋_GB2312"/>
                <w:kern w:val="0"/>
                <w:szCs w:val="21"/>
              </w:rPr>
              <w:t>10</w:t>
            </w:r>
            <w:r>
              <w:rPr>
                <w:rFonts w:hint="eastAsia" w:ascii="仿宋_GB2312" w:hAnsi="新宋体" w:eastAsia="仿宋_GB2312" w:cs="仿宋_GB2312"/>
                <w:kern w:val="0"/>
                <w:szCs w:val="21"/>
              </w:rPr>
              <w:t>）</w:t>
            </w:r>
          </w:p>
        </w:tc>
        <w:tc>
          <w:tcPr>
            <w:tcW w:w="743" w:type="dxa"/>
            <w:vMerge w:val="restart"/>
            <w:vAlign w:val="center"/>
          </w:tcPr>
          <w:p w14:paraId="354B4A69">
            <w:pPr>
              <w:widowControl/>
              <w:spacing w:line="240" w:lineRule="exact"/>
              <w:ind w:firstLine="420" w:firstLineChars="200"/>
              <w:jc w:val="left"/>
              <w:rPr>
                <w:szCs w:val="21"/>
              </w:rPr>
            </w:pPr>
            <w:r>
              <w:rPr>
                <w:rFonts w:hint="eastAsia" w:ascii="仿宋_GB2312" w:hAnsi="新宋体" w:eastAsia="仿宋_GB2312" w:cs="仿宋_GB2312"/>
                <w:kern w:val="0"/>
                <w:szCs w:val="21"/>
              </w:rPr>
              <w:t>绩效目标设定情况</w:t>
            </w:r>
          </w:p>
          <w:p w14:paraId="6AE1BDB9">
            <w:pPr>
              <w:widowControl/>
              <w:spacing w:line="240" w:lineRule="exact"/>
              <w:ind w:firstLine="420" w:firstLineChars="200"/>
              <w:jc w:val="left"/>
              <w:rPr>
                <w:color w:val="FF000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bottom w:val="single" w:color="auto" w:sz="4" w:space="0"/>
              <w:right w:val="single" w:color="auto" w:sz="4" w:space="0"/>
            </w:tcBorders>
            <w:vAlign w:val="center"/>
          </w:tcPr>
          <w:p w14:paraId="467860CF">
            <w:pPr>
              <w:widowControl/>
              <w:spacing w:line="240" w:lineRule="exact"/>
              <w:ind w:firstLine="420" w:firstLineChars="200"/>
              <w:jc w:val="left"/>
              <w:rPr>
                <w:szCs w:val="21"/>
              </w:rPr>
            </w:pPr>
            <w:r>
              <w:rPr>
                <w:rFonts w:hint="eastAsia" w:ascii="仿宋_GB2312" w:hAnsi="新宋体" w:eastAsia="仿宋_GB2312" w:cs="仿宋_GB2312"/>
                <w:kern w:val="0"/>
                <w:szCs w:val="21"/>
              </w:rPr>
              <w:t>职责明确（</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14:paraId="1AED4B05">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left w:val="single" w:color="auto" w:sz="4" w:space="0"/>
              <w:bottom w:val="single" w:color="auto" w:sz="4" w:space="0"/>
              <w:right w:val="single" w:color="auto" w:sz="4" w:space="0"/>
            </w:tcBorders>
            <w:vAlign w:val="center"/>
          </w:tcPr>
          <w:p w14:paraId="5710C2AB">
            <w:pPr>
              <w:widowControl/>
              <w:spacing w:line="240" w:lineRule="exact"/>
              <w:ind w:firstLine="420" w:firstLineChars="200"/>
              <w:jc w:val="left"/>
              <w:rPr>
                <w:szCs w:val="21"/>
              </w:rPr>
            </w:pPr>
            <w:r>
              <w:rPr>
                <w:rFonts w:hint="eastAsia" w:ascii="仿宋_GB2312" w:hAnsi="新宋体" w:eastAsia="仿宋_GB2312" w:cs="仿宋_GB2312"/>
                <w:kern w:val="0"/>
                <w:szCs w:val="21"/>
              </w:rPr>
              <w:t>符合（</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20B7E8BF">
            <w:pPr>
              <w:widowControl/>
              <w:spacing w:line="240" w:lineRule="exact"/>
              <w:ind w:firstLine="420" w:firstLineChars="200"/>
              <w:jc w:val="left"/>
              <w:rPr>
                <w:szCs w:val="21"/>
              </w:rPr>
            </w:pPr>
            <w:r>
              <w:rPr>
                <w:rFonts w:hint="eastAsia" w:ascii="仿宋_GB2312" w:hAnsi="新宋体" w:eastAsia="仿宋_GB2312" w:cs="仿宋_GB2312"/>
                <w:kern w:val="0"/>
                <w:szCs w:val="21"/>
              </w:rPr>
              <w:t>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14:paraId="29F51641">
            <w:pPr>
              <w:widowControl/>
              <w:spacing w:line="240" w:lineRule="exact"/>
              <w:ind w:firstLine="420" w:firstLineChars="200"/>
              <w:jc w:val="left"/>
              <w:rPr>
                <w:szCs w:val="21"/>
              </w:rPr>
            </w:pPr>
            <w:r>
              <w:rPr>
                <w:szCs w:val="21"/>
              </w:rPr>
              <w:t>1</w:t>
            </w:r>
          </w:p>
        </w:tc>
      </w:tr>
      <w:tr w14:paraId="56AE2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vAlign w:val="center"/>
          </w:tcPr>
          <w:p w14:paraId="21CE22A4">
            <w:pPr>
              <w:spacing w:line="240" w:lineRule="exact"/>
              <w:ind w:firstLine="420" w:firstLineChars="200"/>
              <w:rPr>
                <w:rFonts w:ascii="宋体"/>
                <w:szCs w:val="21"/>
              </w:rPr>
            </w:pPr>
          </w:p>
        </w:tc>
        <w:tc>
          <w:tcPr>
            <w:tcW w:w="743" w:type="dxa"/>
            <w:vMerge w:val="continue"/>
            <w:vAlign w:val="center"/>
          </w:tcPr>
          <w:p w14:paraId="72FC3624">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14:paraId="0DAD85EB">
            <w:pPr>
              <w:widowControl/>
              <w:spacing w:line="240" w:lineRule="exact"/>
              <w:ind w:firstLine="420" w:firstLineChars="200"/>
              <w:jc w:val="left"/>
              <w:rPr>
                <w:szCs w:val="21"/>
              </w:rPr>
            </w:pPr>
            <w:r>
              <w:rPr>
                <w:rFonts w:hint="eastAsia" w:ascii="仿宋_GB2312" w:hAnsi="新宋体" w:eastAsia="仿宋_GB2312" w:cs="仿宋_GB2312"/>
                <w:kern w:val="0"/>
                <w:szCs w:val="21"/>
              </w:rPr>
              <w:t>活动合规性（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14:paraId="420D507E">
            <w:pPr>
              <w:widowControl/>
              <w:spacing w:line="240" w:lineRule="exact"/>
              <w:ind w:firstLine="420" w:firstLineChars="200"/>
              <w:jc w:val="left"/>
              <w:rPr>
                <w:szCs w:val="21"/>
              </w:rPr>
            </w:pPr>
            <w:r>
              <w:rPr>
                <w:rFonts w:hint="eastAsia"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16499EB3">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29C1DEAF">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部门活动的设定在部门所确定的职责范围之内；</w:t>
            </w:r>
          </w:p>
          <w:p w14:paraId="243A4FD4">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部门活动符合市委、市政府的发展规划及本部门的年度工作安排与发展规划。</w:t>
            </w:r>
          </w:p>
        </w:tc>
        <w:tc>
          <w:tcPr>
            <w:tcW w:w="2373" w:type="dxa"/>
            <w:tcBorders>
              <w:left w:val="single" w:color="auto" w:sz="4" w:space="0"/>
              <w:bottom w:val="single" w:color="auto" w:sz="4" w:space="0"/>
              <w:right w:val="single" w:color="auto" w:sz="4" w:space="0"/>
            </w:tcBorders>
            <w:vAlign w:val="center"/>
          </w:tcPr>
          <w:p w14:paraId="26882342">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23B38334">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14:paraId="192C0063">
            <w:pPr>
              <w:widowControl/>
              <w:spacing w:line="240" w:lineRule="exact"/>
              <w:ind w:firstLine="420" w:firstLineChars="200"/>
              <w:jc w:val="left"/>
              <w:rPr>
                <w:szCs w:val="21"/>
              </w:rPr>
            </w:pPr>
            <w:r>
              <w:rPr>
                <w:szCs w:val="21"/>
              </w:rPr>
              <w:t>2</w:t>
            </w:r>
          </w:p>
        </w:tc>
      </w:tr>
      <w:tr w14:paraId="6DE2A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61BDCEB3">
            <w:pPr>
              <w:spacing w:line="240" w:lineRule="exact"/>
              <w:ind w:firstLine="420" w:firstLineChars="200"/>
              <w:rPr>
                <w:rFonts w:ascii="宋体"/>
                <w:szCs w:val="21"/>
              </w:rPr>
            </w:pPr>
          </w:p>
        </w:tc>
        <w:tc>
          <w:tcPr>
            <w:tcW w:w="743" w:type="dxa"/>
            <w:vMerge w:val="continue"/>
            <w:vAlign w:val="center"/>
          </w:tcPr>
          <w:p w14:paraId="6FCF0965">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14:paraId="33BB8F8D">
            <w:pPr>
              <w:widowControl/>
              <w:spacing w:line="240" w:lineRule="exact"/>
              <w:ind w:firstLine="420" w:firstLineChars="200"/>
              <w:jc w:val="left"/>
              <w:rPr>
                <w:szCs w:val="21"/>
              </w:rPr>
            </w:pPr>
            <w:r>
              <w:rPr>
                <w:rFonts w:hint="eastAsia" w:ascii="仿宋_GB2312" w:hAnsi="新宋体" w:eastAsia="仿宋_GB2312" w:cs="仿宋_GB2312"/>
                <w:kern w:val="0"/>
                <w:szCs w:val="21"/>
              </w:rPr>
              <w:t>活动合理性（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14:paraId="52A07F09">
            <w:pPr>
              <w:widowControl/>
              <w:spacing w:line="240" w:lineRule="exact"/>
              <w:ind w:firstLine="420" w:firstLineChars="200"/>
              <w:jc w:val="left"/>
              <w:rPr>
                <w:szCs w:val="21"/>
              </w:rPr>
            </w:pPr>
            <w:r>
              <w:rPr>
                <w:rFonts w:hint="eastAsia" w:ascii="仿宋_GB2312" w:hAnsi="新宋体" w:eastAsia="仿宋_GB2312" w:cs="仿宋_GB2312"/>
                <w:kern w:val="0"/>
                <w:szCs w:val="21"/>
              </w:rPr>
              <w:t>部门所设立的活动是否明确合理、活动的关键性指标设置是否可衡量，用以反映和评价部门活动目标设定的合理性。</w:t>
            </w:r>
          </w:p>
          <w:p w14:paraId="2FFBAA90">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7981C831">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活动目标的设定是可量化的，可通过清晰、可衡量的关键指标值予以体现；</w:t>
            </w:r>
          </w:p>
          <w:p w14:paraId="48EB4E22">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在活动目标设定时，将关键指标明细分解为具体的达成目标与工作任务。</w:t>
            </w:r>
          </w:p>
        </w:tc>
        <w:tc>
          <w:tcPr>
            <w:tcW w:w="2373" w:type="dxa"/>
            <w:tcBorders>
              <w:left w:val="single" w:color="auto" w:sz="4" w:space="0"/>
              <w:bottom w:val="single" w:color="auto" w:sz="4" w:space="0"/>
              <w:right w:val="single" w:color="auto" w:sz="4" w:space="0"/>
            </w:tcBorders>
            <w:vAlign w:val="center"/>
          </w:tcPr>
          <w:p w14:paraId="18F98B45">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0E45D9C9">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14:paraId="4D6A79EC">
            <w:pPr>
              <w:widowControl/>
              <w:spacing w:line="240" w:lineRule="exact"/>
              <w:ind w:firstLine="420" w:firstLineChars="200"/>
              <w:jc w:val="left"/>
              <w:rPr>
                <w:szCs w:val="21"/>
              </w:rPr>
            </w:pPr>
            <w:r>
              <w:rPr>
                <w:szCs w:val="21"/>
              </w:rPr>
              <w:t>2</w:t>
            </w:r>
          </w:p>
        </w:tc>
      </w:tr>
      <w:tr w14:paraId="0CB5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14:paraId="7F339479">
            <w:pPr>
              <w:spacing w:line="240" w:lineRule="exact"/>
              <w:ind w:firstLine="420" w:firstLineChars="200"/>
              <w:rPr>
                <w:rFonts w:ascii="宋体"/>
                <w:szCs w:val="21"/>
              </w:rPr>
            </w:pPr>
          </w:p>
        </w:tc>
        <w:tc>
          <w:tcPr>
            <w:tcW w:w="743" w:type="dxa"/>
            <w:vMerge w:val="restart"/>
            <w:vAlign w:val="center"/>
          </w:tcPr>
          <w:p w14:paraId="67CE1BC8">
            <w:pPr>
              <w:widowControl/>
              <w:spacing w:line="240" w:lineRule="exact"/>
              <w:ind w:firstLine="420" w:firstLineChars="200"/>
              <w:jc w:val="left"/>
              <w:rPr>
                <w:szCs w:val="21"/>
              </w:rPr>
            </w:pPr>
            <w:r>
              <w:rPr>
                <w:rFonts w:hint="eastAsia" w:ascii="仿宋_GB2312" w:hAnsi="新宋体" w:eastAsia="仿宋_GB2312" w:cs="仿宋_GB2312"/>
                <w:kern w:val="0"/>
                <w:szCs w:val="21"/>
              </w:rPr>
              <w:t>预算配置情况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auto" w:sz="4" w:space="0"/>
              <w:right w:val="single" w:color="auto" w:sz="4" w:space="0"/>
            </w:tcBorders>
            <w:vAlign w:val="center"/>
          </w:tcPr>
          <w:p w14:paraId="59B5C31F">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14:paraId="0FA979E0">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部门本年度实际在职人员数与编制数的比率，用以反映和评价部门对人员成本的控制程度。</w:t>
            </w:r>
          </w:p>
          <w:p w14:paraId="253FC1B5">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（在职人员数</w:t>
            </w:r>
            <w:r>
              <w:rPr>
                <w:rFonts w:ascii="仿宋_GB2312" w:hAnsi="新宋体" w:eastAsia="仿宋_GB2312" w:cs="仿宋_GB2312"/>
                <w:kern w:val="0"/>
                <w:szCs w:val="21"/>
              </w:rPr>
              <w:t>/</w:t>
            </w:r>
            <w:r>
              <w:rPr>
                <w:rFonts w:hint="eastAsia" w:ascii="仿宋_GB2312" w:hAnsi="新宋体" w:eastAsia="仿宋_GB2312" w:cs="仿宋_GB2312"/>
                <w:kern w:val="0"/>
                <w:szCs w:val="21"/>
              </w:rPr>
              <w:t>编制数）×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76A3E40B">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76BC926F">
            <w:pPr>
              <w:widowControl/>
              <w:spacing w:line="240" w:lineRule="exact"/>
              <w:ind w:firstLine="420" w:firstLineChars="200"/>
              <w:jc w:val="left"/>
              <w:rPr>
                <w:szCs w:val="21"/>
              </w:rPr>
            </w:pPr>
            <w:r>
              <w:rPr>
                <w:rFonts w:hint="eastAsia"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36CA6393">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在职人员控制率小于或等于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1FF61C98">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在职人员控制率大于或等于</w:t>
            </w:r>
            <w:r>
              <w:rPr>
                <w:rFonts w:ascii="仿宋_GB2312" w:hAnsi="新宋体" w:eastAsia="仿宋_GB2312" w:cs="仿宋_GB2312"/>
                <w:kern w:val="0"/>
                <w:szCs w:val="21"/>
              </w:rPr>
              <w:t>115%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3D4C170A">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100%-115%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103A9FE7">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（在职人员控制率）－某部门在职人员控制率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14:paraId="54FD92F9">
            <w:pPr>
              <w:widowControl/>
              <w:spacing w:line="240" w:lineRule="exact"/>
              <w:ind w:firstLine="420" w:firstLineChars="200"/>
              <w:jc w:val="left"/>
              <w:rPr>
                <w:szCs w:val="21"/>
              </w:rPr>
            </w:pPr>
            <w:r>
              <w:rPr>
                <w:szCs w:val="21"/>
              </w:rPr>
              <w:t>1</w:t>
            </w:r>
          </w:p>
        </w:tc>
      </w:tr>
      <w:tr w14:paraId="1B29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vAlign w:val="center"/>
          </w:tcPr>
          <w:p w14:paraId="77175218">
            <w:pPr>
              <w:spacing w:line="240" w:lineRule="exact"/>
              <w:ind w:firstLine="420" w:firstLineChars="200"/>
              <w:rPr>
                <w:rFonts w:ascii="宋体"/>
                <w:szCs w:val="21"/>
              </w:rPr>
            </w:pPr>
          </w:p>
        </w:tc>
        <w:tc>
          <w:tcPr>
            <w:tcW w:w="743" w:type="dxa"/>
            <w:vMerge w:val="continue"/>
            <w:vAlign w:val="center"/>
          </w:tcPr>
          <w:p w14:paraId="129747C5">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14:paraId="748257CA">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14:paraId="405FF3E6">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w:t>
            </w:r>
            <w:r>
              <w:rPr>
                <w:rFonts w:ascii="仿宋" w:hAnsi="仿宋" w:eastAsia="仿宋" w:cs="仿宋"/>
                <w:color w:val="000000"/>
                <w:kern w:val="0"/>
                <w:szCs w:val="21"/>
              </w:rPr>
              <w:t>=[</w:t>
            </w:r>
            <w:r>
              <w:rPr>
                <w:rFonts w:hint="eastAsia" w:ascii="仿宋" w:hAnsi="仿宋" w:eastAsia="仿宋" w:cs="仿宋"/>
                <w:color w:val="000000"/>
                <w:kern w:val="0"/>
                <w:szCs w:val="21"/>
              </w:rPr>
              <w:t>（本年度“三公经费”总额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上年度“三公经费”总额）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上年度“三公经费”总额</w:t>
            </w:r>
            <w:r>
              <w:rPr>
                <w:rFonts w:ascii="仿宋" w:hAnsi="仿宋" w:eastAsia="仿宋" w:cs="仿宋"/>
                <w:color w:val="000000"/>
                <w:kern w:val="0"/>
                <w:szCs w:val="21"/>
              </w:rPr>
              <w:t>]</w:t>
            </w:r>
            <w:r>
              <w:rPr>
                <w:rFonts w:hint="eastAsia" w:ascii="仿宋" w:hAnsi="仿宋" w:eastAsia="仿宋" w:cs="仿宋"/>
                <w:color w:val="000000"/>
                <w:kern w:val="0"/>
                <w:szCs w:val="21"/>
              </w:rPr>
              <w:t>×</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01D05359">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-5%</w:t>
            </w:r>
            <w:r>
              <w:rPr>
                <w:rFonts w:hint="eastAsia" w:ascii="仿宋_GB2312" w:hAnsi="新宋体" w:eastAsia="仿宋_GB2312" w:cs="仿宋_GB2312"/>
                <w:kern w:val="0"/>
                <w:szCs w:val="21"/>
              </w:rPr>
              <w:t>的，得满分；</w:t>
            </w:r>
          </w:p>
          <w:p w14:paraId="10C14EFE">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0E8F1904">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-5%-10%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324B6D94">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14:paraId="7D3C6064">
            <w:pPr>
              <w:widowControl/>
              <w:spacing w:line="240" w:lineRule="exact"/>
              <w:ind w:firstLine="420" w:firstLineChars="200"/>
              <w:jc w:val="left"/>
              <w:rPr>
                <w:szCs w:val="21"/>
              </w:rPr>
            </w:pPr>
            <w:r>
              <w:rPr>
                <w:szCs w:val="21"/>
              </w:rPr>
              <w:t>2</w:t>
            </w:r>
          </w:p>
        </w:tc>
      </w:tr>
      <w:tr w14:paraId="182C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14:paraId="20C1D368">
            <w:pPr>
              <w:spacing w:line="240" w:lineRule="exact"/>
              <w:ind w:firstLine="420" w:firstLineChars="200"/>
              <w:rPr>
                <w:rFonts w:ascii="宋体"/>
                <w:szCs w:val="21"/>
              </w:rPr>
            </w:pPr>
          </w:p>
        </w:tc>
        <w:tc>
          <w:tcPr>
            <w:tcW w:w="743" w:type="dxa"/>
            <w:vMerge w:val="continue"/>
            <w:vAlign w:val="center"/>
          </w:tcPr>
          <w:p w14:paraId="42F003CD">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14:paraId="07CFF72C">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14:paraId="5C403841">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szCs w:val="21"/>
              </w:rPr>
              <w:t>=</w:t>
            </w:r>
            <w:r>
              <w:rPr>
                <w:rFonts w:hint="eastAsia" w:ascii="仿宋" w:hAnsi="仿宋" w:eastAsia="仿宋" w:cs="仿宋"/>
                <w:color w:val="000000"/>
                <w:kern w:val="0"/>
                <w:szCs w:val="21"/>
              </w:rPr>
              <w:t>（重点项目支出</w:t>
            </w:r>
            <w:r>
              <w:rPr>
                <w:rFonts w:ascii="仿宋" w:hAnsi="仿宋" w:eastAsia="仿宋" w:cs="仿宋"/>
                <w:color w:val="000000"/>
                <w:kern w:val="0"/>
                <w:szCs w:val="21"/>
              </w:rPr>
              <w:t>/</w:t>
            </w:r>
            <w:r>
              <w:rPr>
                <w:rFonts w:hint="eastAsia" w:ascii="仿宋" w:hAnsi="仿宋" w:eastAsia="仿宋" w:cs="仿宋"/>
                <w:color w:val="000000"/>
                <w:kern w:val="0"/>
                <w:szCs w:val="21"/>
              </w:rPr>
              <w:t>项目总支出）×</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07AD8541">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27806429">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114C63BB">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2677EFA4">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14:paraId="0BD874EE">
            <w:pPr>
              <w:widowControl/>
              <w:spacing w:line="240" w:lineRule="exact"/>
              <w:ind w:firstLine="420" w:firstLineChars="200"/>
              <w:jc w:val="left"/>
              <w:rPr>
                <w:szCs w:val="21"/>
              </w:rPr>
            </w:pPr>
            <w:r>
              <w:rPr>
                <w:szCs w:val="21"/>
              </w:rPr>
              <w:t>2</w:t>
            </w:r>
          </w:p>
        </w:tc>
      </w:tr>
      <w:tr w14:paraId="0045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1C724E4C">
            <w:pPr>
              <w:widowControl/>
              <w:spacing w:line="240" w:lineRule="exact"/>
              <w:ind w:firstLine="420" w:firstLineChars="200"/>
              <w:jc w:val="left"/>
              <w:rPr>
                <w:szCs w:val="21"/>
              </w:rPr>
            </w:pPr>
            <w:r>
              <w:rPr>
                <w:rFonts w:hint="eastAsia" w:ascii="仿宋_GB2312" w:hAnsi="新宋体" w:eastAsia="仿宋_GB2312" w:cs="仿宋_GB2312"/>
                <w:kern w:val="0"/>
                <w:szCs w:val="21"/>
              </w:rPr>
              <w:t>过程</w:t>
            </w:r>
            <w:r>
              <w:rPr>
                <w:rFonts w:ascii="仿宋_GB2312" w:hAnsi="新宋体" w:eastAsia="仿宋_GB2312" w:cs="仿宋_GB2312"/>
                <w:kern w:val="0"/>
                <w:szCs w:val="21"/>
              </w:rPr>
              <w:t>(45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14:paraId="774179DC">
            <w:pPr>
              <w:widowControl/>
              <w:spacing w:line="240" w:lineRule="exact"/>
              <w:ind w:firstLine="420" w:firstLineChars="200"/>
              <w:jc w:val="left"/>
              <w:rPr>
                <w:szCs w:val="21"/>
              </w:rPr>
            </w:pPr>
            <w:r>
              <w:rPr>
                <w:rFonts w:hint="eastAsia" w:ascii="仿宋_GB2312" w:hAnsi="新宋体" w:eastAsia="仿宋_GB2312" w:cs="仿宋_GB2312"/>
                <w:kern w:val="0"/>
                <w:szCs w:val="21"/>
              </w:rPr>
              <w:t>预算执行情况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right w:val="single" w:color="auto" w:sz="4" w:space="0"/>
            </w:tcBorders>
            <w:vAlign w:val="center"/>
          </w:tcPr>
          <w:p w14:paraId="657205DC">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79CB8A38">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通过对部门本年度预算完成数与预算数的比较，反映和评价部门预算的完成程度。</w:t>
            </w:r>
          </w:p>
          <w:p w14:paraId="5D956CD4">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（预算完成数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36374107">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预算完成率大于或等于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54A723E8">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预算完成率小于或等于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3DABAC42">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预算完成率在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14:paraId="313BCAB4">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14:paraId="6B6F2ACB">
            <w:pPr>
              <w:widowControl/>
              <w:spacing w:line="240" w:lineRule="exact"/>
              <w:ind w:firstLine="420" w:firstLineChars="200"/>
              <w:jc w:val="left"/>
              <w:rPr>
                <w:szCs w:val="21"/>
              </w:rPr>
            </w:pPr>
            <w:r>
              <w:rPr>
                <w:szCs w:val="21"/>
              </w:rPr>
              <w:t>5</w:t>
            </w:r>
          </w:p>
        </w:tc>
      </w:tr>
      <w:tr w14:paraId="27983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72D6499F">
            <w:pPr>
              <w:spacing w:line="240" w:lineRule="exact"/>
              <w:ind w:firstLine="420" w:firstLineChars="200"/>
              <w:rPr>
                <w:rFonts w:ascii="宋体"/>
                <w:szCs w:val="21"/>
              </w:rPr>
            </w:pPr>
          </w:p>
        </w:tc>
        <w:tc>
          <w:tcPr>
            <w:tcW w:w="743" w:type="dxa"/>
            <w:vMerge w:val="continue"/>
            <w:vAlign w:val="center"/>
          </w:tcPr>
          <w:p w14:paraId="30484A3F">
            <w:pPr>
              <w:spacing w:line="240" w:lineRule="exact"/>
              <w:ind w:firstLine="420" w:firstLineChars="200"/>
              <w:rPr>
                <w:rFonts w:ascii="宋体"/>
                <w:szCs w:val="21"/>
              </w:rPr>
            </w:pPr>
          </w:p>
        </w:tc>
        <w:tc>
          <w:tcPr>
            <w:tcW w:w="1275" w:type="dxa"/>
            <w:tcBorders>
              <w:right w:val="single" w:color="auto" w:sz="4" w:space="0"/>
            </w:tcBorders>
            <w:vAlign w:val="center"/>
          </w:tcPr>
          <w:p w14:paraId="5AE53EAF">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58F8FD20">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部门本年度预算调整数与预算数的比率，用以反映和评价部门预算的调整程度。</w:t>
            </w:r>
          </w:p>
          <w:p w14:paraId="141AACAA">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（预算调整数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2A3AAA2D">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预算调整率等于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14:paraId="5C511209">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预算调整率大于或等于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512EFB31">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预算调整率在</w:t>
            </w:r>
            <w:r>
              <w:rPr>
                <w:rFonts w:ascii="仿宋_GB2312" w:hAnsi="新宋体" w:eastAsia="仿宋_GB2312" w:cs="仿宋_GB2312"/>
                <w:kern w:val="0"/>
                <w:szCs w:val="21"/>
              </w:rPr>
              <w:t>0-10%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分和满分之间确定：</w:t>
            </w:r>
          </w:p>
          <w:p w14:paraId="270272F6">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（预算调整率）］×该指标分值。</w:t>
            </w:r>
          </w:p>
        </w:tc>
        <w:tc>
          <w:tcPr>
            <w:tcW w:w="764" w:type="dxa"/>
            <w:tcBorders>
              <w:left w:val="single" w:color="auto" w:sz="4" w:space="0"/>
            </w:tcBorders>
            <w:vAlign w:val="center"/>
          </w:tcPr>
          <w:p w14:paraId="30BD484A">
            <w:pPr>
              <w:widowControl/>
              <w:spacing w:line="240" w:lineRule="exact"/>
              <w:ind w:firstLine="420" w:firstLineChars="200"/>
              <w:jc w:val="left"/>
              <w:rPr>
                <w:szCs w:val="21"/>
              </w:rPr>
            </w:pPr>
            <w:r>
              <w:rPr>
                <w:szCs w:val="21"/>
              </w:rPr>
              <w:t>3</w:t>
            </w:r>
          </w:p>
        </w:tc>
      </w:tr>
      <w:tr w14:paraId="39C74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vAlign w:val="center"/>
          </w:tcPr>
          <w:p w14:paraId="49B0EE5F">
            <w:pPr>
              <w:spacing w:line="240" w:lineRule="exact"/>
              <w:ind w:firstLine="420" w:firstLineChars="200"/>
              <w:rPr>
                <w:rFonts w:ascii="宋体"/>
                <w:szCs w:val="21"/>
              </w:rPr>
            </w:pPr>
          </w:p>
        </w:tc>
        <w:tc>
          <w:tcPr>
            <w:tcW w:w="743" w:type="dxa"/>
            <w:vMerge w:val="continue"/>
            <w:vAlign w:val="center"/>
          </w:tcPr>
          <w:p w14:paraId="77465D77">
            <w:pPr>
              <w:spacing w:line="240" w:lineRule="exact"/>
              <w:ind w:firstLine="420" w:firstLineChars="200"/>
              <w:rPr>
                <w:rFonts w:ascii="宋体"/>
                <w:szCs w:val="21"/>
              </w:rPr>
            </w:pPr>
          </w:p>
        </w:tc>
        <w:tc>
          <w:tcPr>
            <w:tcW w:w="1275" w:type="dxa"/>
            <w:tcBorders>
              <w:right w:val="single" w:color="auto" w:sz="4" w:space="0"/>
            </w:tcBorders>
            <w:vAlign w:val="center"/>
          </w:tcPr>
          <w:p w14:paraId="31BD323B">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支付进度率</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71E70C74">
            <w:pPr>
              <w:widowControl/>
              <w:spacing w:line="240" w:lineRule="exact"/>
              <w:ind w:firstLine="420" w:firstLineChars="200"/>
              <w:jc w:val="left"/>
              <w:rPr>
                <w:szCs w:val="21"/>
              </w:rPr>
            </w:pPr>
            <w:r>
              <w:rPr>
                <w:rFonts w:hint="eastAsia" w:ascii="仿宋_GB2312" w:hAnsi="新宋体" w:eastAsia="仿宋_GB2312" w:cs="仿宋_GB2312"/>
                <w:kern w:val="0"/>
                <w:szCs w:val="21"/>
              </w:rPr>
              <w:t>部门年度支付数与年度任务数的比率，用以反映和评价部门预算执行的及时和均衡程度。</w:t>
            </w:r>
          </w:p>
          <w:p w14:paraId="03CF44DD">
            <w:pPr>
              <w:widowControl/>
              <w:spacing w:line="240" w:lineRule="exact"/>
              <w:ind w:firstLine="420" w:firstLineChars="200"/>
              <w:jc w:val="left"/>
              <w:rPr>
                <w:szCs w:val="21"/>
              </w:rPr>
            </w:pPr>
            <w:r>
              <w:rPr>
                <w:rFonts w:hint="eastAsia" w:ascii="仿宋_GB2312" w:hAnsi="新宋体" w:eastAsia="仿宋_GB2312" w:cs="仿宋_GB2312"/>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1A4506D9">
            <w:pPr>
              <w:widowControl/>
              <w:spacing w:line="240" w:lineRule="exact"/>
              <w:ind w:firstLine="420" w:firstLineChars="200"/>
              <w:jc w:val="left"/>
              <w:rPr>
                <w:szCs w:val="21"/>
              </w:rPr>
            </w:pPr>
            <w:r>
              <w:rPr>
                <w:rFonts w:hint="eastAsia" w:ascii="仿宋_GB2312" w:hAnsi="新宋体" w:eastAsia="仿宋_GB2312" w:cs="仿宋_GB2312"/>
                <w:kern w:val="0"/>
                <w:szCs w:val="21"/>
              </w:rPr>
              <w:t>按年度的执行情况进行打分。得分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年度任务数×该指标分值。</w:t>
            </w:r>
          </w:p>
          <w:p w14:paraId="04367F10">
            <w:pPr>
              <w:widowControl/>
              <w:spacing w:line="240" w:lineRule="exact"/>
              <w:ind w:firstLine="420" w:firstLineChars="200"/>
              <w:jc w:val="left"/>
              <w:rPr>
                <w:szCs w:val="21"/>
              </w:rPr>
            </w:pPr>
          </w:p>
        </w:tc>
        <w:tc>
          <w:tcPr>
            <w:tcW w:w="764" w:type="dxa"/>
            <w:tcBorders>
              <w:left w:val="single" w:color="auto" w:sz="4" w:space="0"/>
            </w:tcBorders>
            <w:vAlign w:val="center"/>
          </w:tcPr>
          <w:p w14:paraId="6DF575BF">
            <w:pPr>
              <w:widowControl/>
              <w:spacing w:line="240" w:lineRule="exact"/>
              <w:ind w:firstLine="420" w:firstLineChars="200"/>
              <w:jc w:val="left"/>
              <w:rPr>
                <w:szCs w:val="21"/>
              </w:rPr>
            </w:pPr>
            <w:r>
              <w:rPr>
                <w:szCs w:val="21"/>
              </w:rPr>
              <w:t>5</w:t>
            </w:r>
          </w:p>
        </w:tc>
      </w:tr>
      <w:tr w14:paraId="41878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vAlign w:val="center"/>
          </w:tcPr>
          <w:p w14:paraId="628F6F77">
            <w:pPr>
              <w:spacing w:line="240" w:lineRule="exact"/>
              <w:ind w:firstLine="420" w:firstLineChars="200"/>
              <w:rPr>
                <w:rFonts w:ascii="宋体"/>
                <w:szCs w:val="21"/>
              </w:rPr>
            </w:pPr>
          </w:p>
        </w:tc>
        <w:tc>
          <w:tcPr>
            <w:tcW w:w="743" w:type="dxa"/>
            <w:vMerge w:val="continue"/>
            <w:vAlign w:val="center"/>
          </w:tcPr>
          <w:p w14:paraId="4433BA85">
            <w:pPr>
              <w:spacing w:line="240" w:lineRule="exact"/>
              <w:ind w:firstLine="420" w:firstLineChars="200"/>
              <w:rPr>
                <w:rFonts w:ascii="宋体"/>
                <w:szCs w:val="21"/>
              </w:rPr>
            </w:pPr>
          </w:p>
        </w:tc>
        <w:tc>
          <w:tcPr>
            <w:tcW w:w="1275" w:type="dxa"/>
            <w:tcBorders>
              <w:right w:val="single" w:color="auto" w:sz="4" w:space="0"/>
            </w:tcBorders>
            <w:vAlign w:val="center"/>
          </w:tcPr>
          <w:p w14:paraId="6CC86C1F">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145EA24C">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通过对部门本年度结转结余总额与支出预算数的比较，反映和评价部门对本年度结转结余资金的实际控制程度。</w:t>
            </w:r>
          </w:p>
          <w:p w14:paraId="0090DBAB">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（结转结余总额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支出预算数）×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46AFAB54">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结转结余率等于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14:paraId="317260C8">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结转结余率大于或等于</w:t>
            </w:r>
            <w:r>
              <w:rPr>
                <w:rFonts w:ascii="仿宋_GB2312" w:hAnsi="新宋体" w:eastAsia="仿宋_GB2312" w:cs="仿宋_GB2312"/>
                <w:kern w:val="0"/>
                <w:szCs w:val="21"/>
              </w:rPr>
              <w:t>50%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386E926F">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结转结余率在</w:t>
            </w:r>
            <w:r>
              <w:rPr>
                <w:rFonts w:ascii="仿宋_GB2312" w:hAnsi="新宋体" w:eastAsia="仿宋_GB2312" w:cs="仿宋_GB2312"/>
                <w:kern w:val="0"/>
                <w:szCs w:val="21"/>
              </w:rPr>
              <w:t>0-50%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02BE3A52">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（结转结余率）－某部门结转结余率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14:paraId="7718A49B">
            <w:pPr>
              <w:widowControl/>
              <w:spacing w:line="240" w:lineRule="exact"/>
              <w:ind w:firstLine="420" w:firstLineChars="200"/>
              <w:jc w:val="left"/>
              <w:rPr>
                <w:szCs w:val="21"/>
              </w:rPr>
            </w:pPr>
            <w:r>
              <w:rPr>
                <w:szCs w:val="21"/>
              </w:rPr>
              <w:t>4</w:t>
            </w:r>
          </w:p>
        </w:tc>
      </w:tr>
      <w:tr w14:paraId="1B9D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vAlign w:val="center"/>
          </w:tcPr>
          <w:p w14:paraId="3936A205">
            <w:pPr>
              <w:spacing w:line="240" w:lineRule="exact"/>
              <w:ind w:firstLine="420" w:firstLineChars="200"/>
              <w:rPr>
                <w:rFonts w:ascii="宋体"/>
                <w:szCs w:val="21"/>
              </w:rPr>
            </w:pPr>
          </w:p>
        </w:tc>
        <w:tc>
          <w:tcPr>
            <w:tcW w:w="743" w:type="dxa"/>
            <w:vMerge w:val="continue"/>
            <w:vAlign w:val="center"/>
          </w:tcPr>
          <w:p w14:paraId="2BA13A74">
            <w:pPr>
              <w:spacing w:line="240" w:lineRule="exact"/>
              <w:ind w:firstLine="420" w:firstLineChars="200"/>
              <w:rPr>
                <w:rFonts w:ascii="宋体"/>
                <w:szCs w:val="21"/>
              </w:rPr>
            </w:pPr>
          </w:p>
        </w:tc>
        <w:tc>
          <w:tcPr>
            <w:tcW w:w="1275" w:type="dxa"/>
            <w:tcBorders>
              <w:right w:val="single" w:color="auto" w:sz="4" w:space="0"/>
            </w:tcBorders>
            <w:vAlign w:val="center"/>
          </w:tcPr>
          <w:p w14:paraId="5DD23319">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55D9F697">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4F285D01">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（实际支出公用经费总额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预算安排公用经费总额）×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14:paraId="1EC3920F">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公用经费控制率小于或等于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748DD739">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公用经费控制率大于或等于</w:t>
            </w:r>
            <w:r>
              <w:rPr>
                <w:rFonts w:ascii="仿宋_GB2312" w:hAnsi="新宋体" w:eastAsia="仿宋_GB2312" w:cs="仿宋_GB2312"/>
                <w:kern w:val="0"/>
                <w:szCs w:val="21"/>
              </w:rPr>
              <w:t>105%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12A900A2">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公用经费控制率在</w:t>
            </w:r>
            <w:r>
              <w:rPr>
                <w:rFonts w:ascii="仿宋_GB2312" w:hAnsi="新宋体" w:eastAsia="仿宋_GB2312" w:cs="仿宋_GB2312"/>
                <w:kern w:val="0"/>
                <w:szCs w:val="21"/>
              </w:rPr>
              <w:t>100%-105%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2FB43762">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（公用经费控制率）］×该指标分值。</w:t>
            </w:r>
          </w:p>
        </w:tc>
        <w:tc>
          <w:tcPr>
            <w:tcW w:w="764" w:type="dxa"/>
            <w:tcBorders>
              <w:left w:val="single" w:color="auto" w:sz="4" w:space="0"/>
            </w:tcBorders>
            <w:vAlign w:val="center"/>
          </w:tcPr>
          <w:p w14:paraId="70DFC13F">
            <w:pPr>
              <w:widowControl/>
              <w:spacing w:line="240" w:lineRule="exact"/>
              <w:ind w:firstLine="420" w:firstLineChars="200"/>
              <w:jc w:val="left"/>
              <w:rPr>
                <w:szCs w:val="21"/>
              </w:rPr>
            </w:pPr>
            <w:r>
              <w:rPr>
                <w:szCs w:val="21"/>
              </w:rPr>
              <w:t>4</w:t>
            </w:r>
          </w:p>
        </w:tc>
      </w:tr>
      <w:tr w14:paraId="06422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vAlign w:val="center"/>
          </w:tcPr>
          <w:p w14:paraId="34FDCB82">
            <w:pPr>
              <w:spacing w:line="240" w:lineRule="exact"/>
              <w:ind w:firstLine="420" w:firstLineChars="200"/>
              <w:rPr>
                <w:rFonts w:ascii="宋体"/>
                <w:szCs w:val="21"/>
              </w:rPr>
            </w:pPr>
          </w:p>
        </w:tc>
        <w:tc>
          <w:tcPr>
            <w:tcW w:w="743" w:type="dxa"/>
            <w:vMerge w:val="continue"/>
            <w:vAlign w:val="center"/>
          </w:tcPr>
          <w:p w14:paraId="27F35E88">
            <w:pPr>
              <w:spacing w:line="240" w:lineRule="exact"/>
              <w:ind w:firstLine="420" w:firstLineChars="200"/>
              <w:rPr>
                <w:rFonts w:ascii="宋体"/>
                <w:szCs w:val="21"/>
              </w:rPr>
            </w:pPr>
          </w:p>
        </w:tc>
        <w:tc>
          <w:tcPr>
            <w:tcW w:w="1275" w:type="dxa"/>
            <w:tcBorders>
              <w:right w:val="single" w:color="auto" w:sz="4" w:space="0"/>
            </w:tcBorders>
            <w:vAlign w:val="center"/>
          </w:tcPr>
          <w:p w14:paraId="153CB563">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4C825E04">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6D4310B6">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（实际政府采购预算项目个数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政府采购预算项目个数）×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24F0CF68">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政府采购项目中非预算内安排的项目除外。</w:t>
            </w:r>
          </w:p>
        </w:tc>
        <w:tc>
          <w:tcPr>
            <w:tcW w:w="2373" w:type="dxa"/>
            <w:tcBorders>
              <w:left w:val="single" w:color="auto" w:sz="4" w:space="0"/>
              <w:right w:val="single" w:color="auto" w:sz="4" w:space="0"/>
            </w:tcBorders>
            <w:vAlign w:val="center"/>
          </w:tcPr>
          <w:p w14:paraId="36F9373B">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政府采购执行率等于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241B6665">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政府采购执行率小于或等于</w:t>
            </w:r>
            <w:r>
              <w:rPr>
                <w:rFonts w:ascii="仿宋_GB2312" w:hAnsi="新宋体" w:eastAsia="仿宋_GB2312" w:cs="仿宋_GB2312"/>
                <w:kern w:val="0"/>
                <w:szCs w:val="21"/>
              </w:rPr>
              <w:t>90%</w:t>
            </w:r>
            <w:r>
              <w:rPr>
                <w:rFonts w:hint="eastAsia" w:ascii="仿宋_GB2312" w:hAnsi="新宋体" w:eastAsia="仿宋_GB2312" w:cs="仿宋_GB2312"/>
                <w:kern w:val="0"/>
                <w:szCs w:val="21"/>
              </w:rPr>
              <w:t>的，</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4ACD3359">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政府采购执行率在</w:t>
            </w:r>
            <w:r>
              <w:rPr>
                <w:rFonts w:ascii="仿宋_GB2312" w:hAnsi="新宋体" w:eastAsia="仿宋_GB2312" w:cs="仿宋_GB2312"/>
                <w:kern w:val="0"/>
                <w:szCs w:val="21"/>
              </w:rPr>
              <w:t>90%-100%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70FD2641">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（政府采购执行率）］×该指标分值。</w:t>
            </w:r>
          </w:p>
        </w:tc>
        <w:tc>
          <w:tcPr>
            <w:tcW w:w="764" w:type="dxa"/>
            <w:tcBorders>
              <w:left w:val="single" w:color="auto" w:sz="4" w:space="0"/>
            </w:tcBorders>
            <w:vAlign w:val="center"/>
          </w:tcPr>
          <w:p w14:paraId="7D9DFDC5">
            <w:pPr>
              <w:widowControl/>
              <w:spacing w:line="240" w:lineRule="exact"/>
              <w:ind w:firstLine="420" w:firstLineChars="200"/>
              <w:jc w:val="left"/>
              <w:rPr>
                <w:szCs w:val="21"/>
              </w:rPr>
            </w:pPr>
            <w:r>
              <w:rPr>
                <w:szCs w:val="21"/>
              </w:rPr>
              <w:t>4</w:t>
            </w:r>
          </w:p>
        </w:tc>
      </w:tr>
      <w:tr w14:paraId="20B08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516F2AF5">
            <w:pPr>
              <w:spacing w:line="240" w:lineRule="exact"/>
              <w:ind w:firstLine="420" w:firstLineChars="200"/>
              <w:rPr>
                <w:rFonts w:ascii="宋体"/>
                <w:szCs w:val="21"/>
              </w:rPr>
            </w:pPr>
          </w:p>
        </w:tc>
        <w:tc>
          <w:tcPr>
            <w:tcW w:w="743" w:type="dxa"/>
            <w:vMerge w:val="restart"/>
            <w:vAlign w:val="center"/>
          </w:tcPr>
          <w:p w14:paraId="53FF790D">
            <w:pPr>
              <w:widowControl/>
              <w:spacing w:line="240" w:lineRule="exact"/>
              <w:ind w:firstLine="420" w:firstLineChars="200"/>
              <w:jc w:val="left"/>
              <w:rPr>
                <w:szCs w:val="21"/>
              </w:rPr>
            </w:pPr>
            <w:r>
              <w:rPr>
                <w:rFonts w:hint="eastAsia" w:ascii="仿宋_GB2312" w:hAnsi="新宋体" w:eastAsia="仿宋_GB2312" w:cs="仿宋_GB2312"/>
                <w:kern w:val="0"/>
                <w:szCs w:val="21"/>
              </w:rPr>
              <w:t>预算管理情况</w:t>
            </w:r>
          </w:p>
          <w:p w14:paraId="077F63DE">
            <w:pPr>
              <w:widowControl/>
              <w:spacing w:line="240" w:lineRule="exact"/>
              <w:ind w:firstLine="420" w:firstLineChars="200"/>
              <w:jc w:val="left"/>
              <w:rPr>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1275" w:type="dxa"/>
            <w:tcBorders>
              <w:right w:val="single" w:color="auto" w:sz="4" w:space="0"/>
            </w:tcBorders>
            <w:vAlign w:val="center"/>
          </w:tcPr>
          <w:p w14:paraId="429DFD81">
            <w:pPr>
              <w:widowControl/>
              <w:spacing w:line="240" w:lineRule="exact"/>
              <w:ind w:firstLine="420" w:firstLineChars="200"/>
              <w:jc w:val="left"/>
              <w:rPr>
                <w:szCs w:val="21"/>
              </w:rPr>
            </w:pPr>
            <w:r>
              <w:rPr>
                <w:rFonts w:hint="eastAsia" w:ascii="仿宋_GB2312" w:hAnsi="新宋体" w:eastAsia="仿宋_GB2312" w:cs="仿宋_GB2312"/>
                <w:kern w:val="0"/>
                <w:szCs w:val="21"/>
              </w:rPr>
              <w:t>资金使用合规性（</w:t>
            </w: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2CF55265">
            <w:pPr>
              <w:widowControl/>
              <w:spacing w:line="240" w:lineRule="exact"/>
              <w:ind w:firstLine="420" w:firstLineChars="200"/>
              <w:jc w:val="left"/>
              <w:rPr>
                <w:szCs w:val="21"/>
              </w:rPr>
            </w:pPr>
            <w:r>
              <w:rPr>
                <w:rFonts w:hint="eastAsia" w:ascii="仿宋_GB2312" w:hAnsi="新宋体" w:eastAsia="仿宋_GB2312" w:cs="仿宋_GB2312"/>
                <w:kern w:val="0"/>
                <w:szCs w:val="21"/>
              </w:rPr>
              <w:t>部门使用预算资金是否符合相关的预算财务管理制度的规定，反映和评价部门预算资金的规范运行情况。</w:t>
            </w:r>
          </w:p>
          <w:p w14:paraId="4FD92A16">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60A4EA16">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符合国家财经法规和财务管理制度规定以及有关部门资金管理办法的规定；</w:t>
            </w:r>
          </w:p>
          <w:p w14:paraId="0EB4B537">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资金的拨付有完整的审批过程和手续；</w:t>
            </w:r>
          </w:p>
          <w:p w14:paraId="54169CC9">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项目的重大开支经过评估论证；</w:t>
            </w:r>
          </w:p>
          <w:p w14:paraId="62D978BC">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符合部门预算批复的用途；</w:t>
            </w:r>
          </w:p>
          <w:p w14:paraId="0E7BF0F9">
            <w:pPr>
              <w:widowControl/>
              <w:spacing w:line="240" w:lineRule="exact"/>
              <w:ind w:firstLine="420" w:firstLineChars="200"/>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不存在截留情况；</w:t>
            </w:r>
          </w:p>
          <w:p w14:paraId="3D2D0140">
            <w:pPr>
              <w:widowControl/>
              <w:spacing w:line="240" w:lineRule="exact"/>
              <w:ind w:firstLine="420" w:firstLineChars="200"/>
              <w:jc w:val="left"/>
              <w:rPr>
                <w:szCs w:val="21"/>
              </w:rPr>
            </w:pPr>
            <w:r>
              <w:rPr>
                <w:rFonts w:ascii="仿宋_GB2312" w:hAnsi="新宋体" w:eastAsia="仿宋_GB2312" w:cs="仿宋_GB2312"/>
                <w:kern w:val="0"/>
                <w:szCs w:val="21"/>
              </w:rPr>
              <w:t>6.</w:t>
            </w:r>
            <w:r>
              <w:rPr>
                <w:rFonts w:hint="eastAsia" w:ascii="仿宋_GB2312" w:hAnsi="新宋体" w:eastAsia="仿宋_GB2312" w:cs="仿宋_GB2312"/>
                <w:kern w:val="0"/>
                <w:szCs w:val="21"/>
              </w:rPr>
              <w:t>不存在挤占情况；</w:t>
            </w:r>
          </w:p>
          <w:p w14:paraId="1226EF35">
            <w:pPr>
              <w:widowControl/>
              <w:spacing w:line="240" w:lineRule="exact"/>
              <w:ind w:firstLine="420" w:firstLineChars="200"/>
              <w:jc w:val="left"/>
              <w:rPr>
                <w:szCs w:val="21"/>
              </w:rPr>
            </w:pPr>
            <w:r>
              <w:rPr>
                <w:rFonts w:ascii="仿宋_GB2312" w:hAnsi="新宋体" w:eastAsia="仿宋_GB2312" w:cs="仿宋_GB2312"/>
                <w:kern w:val="0"/>
                <w:szCs w:val="21"/>
              </w:rPr>
              <w:t>7.</w:t>
            </w:r>
            <w:r>
              <w:rPr>
                <w:rFonts w:hint="eastAsia" w:ascii="仿宋_GB2312" w:hAnsi="新宋体" w:eastAsia="仿宋_GB2312" w:cs="仿宋_GB2312"/>
                <w:kern w:val="0"/>
                <w:szCs w:val="21"/>
              </w:rPr>
              <w:t>不存在挪用情况；</w:t>
            </w:r>
          </w:p>
          <w:p w14:paraId="7F81D436">
            <w:pPr>
              <w:widowControl/>
              <w:spacing w:line="240" w:lineRule="exact"/>
              <w:ind w:firstLine="420" w:firstLineChars="200"/>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不存在虚列支出情况。</w:t>
            </w:r>
          </w:p>
        </w:tc>
        <w:tc>
          <w:tcPr>
            <w:tcW w:w="2373" w:type="dxa"/>
            <w:tcBorders>
              <w:left w:val="single" w:color="auto" w:sz="4" w:space="0"/>
              <w:right w:val="single" w:color="auto" w:sz="4" w:space="0"/>
            </w:tcBorders>
            <w:vAlign w:val="center"/>
          </w:tcPr>
          <w:p w14:paraId="06C2AB04">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8</w:t>
            </w:r>
            <w:r>
              <w:rPr>
                <w:rFonts w:hint="eastAsia" w:ascii="仿宋_GB2312" w:hAnsi="新宋体" w:eastAsia="仿宋_GB2312" w:cs="仿宋_GB2312"/>
                <w:kern w:val="0"/>
                <w:szCs w:val="21"/>
              </w:rPr>
              <w:t>）；</w:t>
            </w:r>
          </w:p>
          <w:p w14:paraId="219088BF">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符合其中七项（</w:t>
            </w:r>
            <w:r>
              <w:rPr>
                <w:rFonts w:ascii="仿宋_GB2312" w:hAnsi="新宋体" w:eastAsia="仿宋_GB2312" w:cs="仿宋_GB2312"/>
                <w:kern w:val="0"/>
                <w:szCs w:val="21"/>
              </w:rPr>
              <w:t>6</w:t>
            </w:r>
            <w:r>
              <w:rPr>
                <w:rFonts w:hint="eastAsia" w:ascii="仿宋_GB2312" w:hAnsi="新宋体" w:eastAsia="仿宋_GB2312" w:cs="仿宋_GB2312"/>
                <w:kern w:val="0"/>
                <w:szCs w:val="21"/>
              </w:rPr>
              <w:t>）；</w:t>
            </w:r>
          </w:p>
          <w:p w14:paraId="12312A3A">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符合其中六项（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14:paraId="0D249FC5">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符合其中五项（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5897A83B">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符合其中四项及以下（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14:paraId="7816C989">
            <w:pPr>
              <w:widowControl/>
              <w:spacing w:line="240" w:lineRule="exact"/>
              <w:ind w:firstLine="420" w:firstLineChars="200"/>
              <w:jc w:val="left"/>
              <w:rPr>
                <w:szCs w:val="21"/>
              </w:rPr>
            </w:pPr>
            <w:r>
              <w:rPr>
                <w:szCs w:val="21"/>
              </w:rPr>
              <w:t>8</w:t>
            </w:r>
          </w:p>
        </w:tc>
      </w:tr>
      <w:tr w14:paraId="51AA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5ED28744">
            <w:pPr>
              <w:spacing w:line="240" w:lineRule="exact"/>
              <w:ind w:firstLine="420" w:firstLineChars="200"/>
              <w:rPr>
                <w:rFonts w:ascii="宋体"/>
                <w:szCs w:val="21"/>
              </w:rPr>
            </w:pPr>
          </w:p>
        </w:tc>
        <w:tc>
          <w:tcPr>
            <w:tcW w:w="743" w:type="dxa"/>
            <w:vMerge w:val="continue"/>
            <w:vAlign w:val="center"/>
          </w:tcPr>
          <w:p w14:paraId="629E8D00">
            <w:pPr>
              <w:spacing w:line="240" w:lineRule="exact"/>
              <w:ind w:firstLine="420" w:firstLineChars="200"/>
              <w:rPr>
                <w:rFonts w:ascii="宋体"/>
                <w:szCs w:val="21"/>
              </w:rPr>
            </w:pPr>
          </w:p>
        </w:tc>
        <w:tc>
          <w:tcPr>
            <w:tcW w:w="1275" w:type="dxa"/>
            <w:tcBorders>
              <w:right w:val="single" w:color="auto" w:sz="4" w:space="0"/>
            </w:tcBorders>
            <w:vAlign w:val="center"/>
          </w:tcPr>
          <w:p w14:paraId="036EEF15">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预决算信息公开性（</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6CE5B0A8">
            <w:pPr>
              <w:widowControl/>
              <w:spacing w:line="240" w:lineRule="exact"/>
              <w:ind w:firstLine="420" w:firstLineChars="200"/>
              <w:jc w:val="left"/>
              <w:rPr>
                <w:szCs w:val="21"/>
              </w:rPr>
            </w:pPr>
            <w:r>
              <w:rPr>
                <w:rFonts w:hint="eastAsia" w:ascii="仿宋_GB2312" w:hAnsi="新宋体" w:eastAsia="仿宋_GB2312" w:cs="仿宋_GB2312"/>
                <w:kern w:val="0"/>
                <w:szCs w:val="21"/>
              </w:rPr>
              <w:t>部门是否按照政府信息公开有关规定公开相关预决算信息，用以反映和评价部门预决算管理的公开透明情况。</w:t>
            </w:r>
          </w:p>
          <w:p w14:paraId="14B20B3E">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预决算信息是指与部门预算、执行、决算、监督、绩效等管理相关的信息。</w:t>
            </w:r>
          </w:p>
          <w:p w14:paraId="00F04392">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33B1FE4A">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公开预决算信息；</w:t>
            </w:r>
          </w:p>
          <w:p w14:paraId="509214E9">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按规定内容公开预决算信息；</w:t>
            </w:r>
          </w:p>
          <w:p w14:paraId="271DD4A5">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按规定时限公开预决算信息。</w:t>
            </w:r>
          </w:p>
        </w:tc>
        <w:tc>
          <w:tcPr>
            <w:tcW w:w="2373" w:type="dxa"/>
            <w:tcBorders>
              <w:left w:val="single" w:color="auto" w:sz="4" w:space="0"/>
              <w:right w:val="single" w:color="auto" w:sz="4" w:space="0"/>
            </w:tcBorders>
            <w:vAlign w:val="center"/>
          </w:tcPr>
          <w:p w14:paraId="2963F659">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14:paraId="3E562373">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46F0E313">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14:paraId="396EAC21">
            <w:pPr>
              <w:widowControl/>
              <w:spacing w:line="240" w:lineRule="exact"/>
              <w:ind w:firstLine="420" w:firstLineChars="200"/>
              <w:jc w:val="left"/>
              <w:rPr>
                <w:szCs w:val="21"/>
              </w:rPr>
            </w:pPr>
            <w:r>
              <w:rPr>
                <w:szCs w:val="21"/>
              </w:rPr>
              <w:t>3</w:t>
            </w:r>
          </w:p>
        </w:tc>
      </w:tr>
      <w:tr w14:paraId="6D17B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2D2D4E7A">
            <w:pPr>
              <w:spacing w:line="240" w:lineRule="exact"/>
              <w:ind w:firstLine="420" w:firstLineChars="200"/>
              <w:rPr>
                <w:rFonts w:ascii="宋体"/>
                <w:szCs w:val="21"/>
              </w:rPr>
            </w:pPr>
          </w:p>
        </w:tc>
        <w:tc>
          <w:tcPr>
            <w:tcW w:w="743" w:type="dxa"/>
            <w:vMerge w:val="continue"/>
            <w:vAlign w:val="center"/>
          </w:tcPr>
          <w:p w14:paraId="0322530A">
            <w:pPr>
              <w:spacing w:line="240" w:lineRule="exact"/>
              <w:ind w:firstLine="420" w:firstLineChars="200"/>
              <w:rPr>
                <w:rFonts w:ascii="宋体"/>
                <w:szCs w:val="21"/>
              </w:rPr>
            </w:pPr>
          </w:p>
        </w:tc>
        <w:tc>
          <w:tcPr>
            <w:tcW w:w="1275" w:type="dxa"/>
            <w:tcBorders>
              <w:right w:val="single" w:color="auto" w:sz="4" w:space="0"/>
            </w:tcBorders>
            <w:vAlign w:val="center"/>
          </w:tcPr>
          <w:p w14:paraId="1E819AC5">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基础信息完善性</w:t>
            </w:r>
            <w:r>
              <w:rPr>
                <w:rFonts w:hint="eastAsia" w:ascii="仿宋_GB2312" w:hAnsi="新宋体" w:eastAsia="仿宋_GB2312" w:cs="仿宋_GB2312"/>
                <w:kern w:val="0"/>
                <w:szCs w:val="21"/>
              </w:rPr>
              <w:t>（</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34D5DD6A">
            <w:pPr>
              <w:widowControl/>
              <w:spacing w:line="240" w:lineRule="exact"/>
              <w:ind w:firstLine="420" w:firstLineChars="200"/>
              <w:jc w:val="left"/>
              <w:rPr>
                <w:szCs w:val="21"/>
              </w:rPr>
            </w:pPr>
            <w:r>
              <w:rPr>
                <w:rFonts w:hint="eastAsia" w:ascii="仿宋_GB2312" w:hAnsi="新宋体" w:eastAsia="仿宋_GB2312" w:cs="仿宋_GB2312"/>
                <w:kern w:val="0"/>
                <w:szCs w:val="21"/>
              </w:rPr>
              <w:t>部门基础信息是否完善，用以反映和评价基础信息对预算管理工作的支撑情况。</w:t>
            </w:r>
          </w:p>
          <w:p w14:paraId="7F4E2639">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17488E24">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基本财务管理制度健全；</w:t>
            </w:r>
          </w:p>
          <w:p w14:paraId="7DBE3D91">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基础数据信息和会计信息资料真实；</w:t>
            </w:r>
          </w:p>
          <w:p w14:paraId="70EF5B95">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基础数据信息和会计信息资料完整；</w:t>
            </w:r>
          </w:p>
          <w:p w14:paraId="64B47CAD">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基础数据信息和会计信息资料准确。</w:t>
            </w:r>
          </w:p>
        </w:tc>
        <w:tc>
          <w:tcPr>
            <w:tcW w:w="2373" w:type="dxa"/>
            <w:tcBorders>
              <w:left w:val="single" w:color="auto" w:sz="4" w:space="0"/>
              <w:right w:val="single" w:color="auto" w:sz="4" w:space="0"/>
            </w:tcBorders>
            <w:vAlign w:val="center"/>
          </w:tcPr>
          <w:p w14:paraId="13A53BFA">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符合全部四项（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14:paraId="36D68E24">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符合其中三项（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6721BABA">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5401B80A">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14:paraId="468D3D05">
            <w:pPr>
              <w:widowControl/>
              <w:spacing w:line="240" w:lineRule="exact"/>
              <w:ind w:firstLine="420" w:firstLineChars="200"/>
              <w:jc w:val="left"/>
              <w:rPr>
                <w:szCs w:val="21"/>
              </w:rPr>
            </w:pPr>
            <w:r>
              <w:rPr>
                <w:szCs w:val="21"/>
              </w:rPr>
              <w:t>4</w:t>
            </w:r>
          </w:p>
        </w:tc>
      </w:tr>
      <w:tr w14:paraId="4D13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1FB40999">
            <w:pPr>
              <w:spacing w:line="240" w:lineRule="exact"/>
              <w:ind w:firstLine="420" w:firstLineChars="200"/>
              <w:rPr>
                <w:rFonts w:ascii="宋体"/>
                <w:szCs w:val="21"/>
              </w:rPr>
            </w:pPr>
          </w:p>
        </w:tc>
        <w:tc>
          <w:tcPr>
            <w:tcW w:w="743" w:type="dxa"/>
            <w:vMerge w:val="restart"/>
            <w:vAlign w:val="center"/>
          </w:tcPr>
          <w:p w14:paraId="534C161A">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top w:val="single" w:color="auto" w:sz="4" w:space="0"/>
              <w:right w:val="single" w:color="auto" w:sz="4" w:space="0"/>
            </w:tcBorders>
            <w:vAlign w:val="center"/>
          </w:tcPr>
          <w:p w14:paraId="1F71546B">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资产管理完整性（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14:paraId="58C95C99">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部门的资产是否保存完整、使用合规、收入及时足额上缴，用以反映和评价部门资产运行情况。</w:t>
            </w:r>
          </w:p>
          <w:p w14:paraId="6531E73C">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14:paraId="72CB4EC7">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资产保存完整；</w:t>
            </w:r>
          </w:p>
          <w:p w14:paraId="5BAB99C1">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资产账务管理是否合规，帐实相符；</w:t>
            </w:r>
          </w:p>
          <w:p w14:paraId="46AF1756">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资产有偿使用及处置收入及时足额上缴。</w:t>
            </w:r>
          </w:p>
        </w:tc>
        <w:tc>
          <w:tcPr>
            <w:tcW w:w="2373" w:type="dxa"/>
            <w:tcBorders>
              <w:top w:val="single" w:color="auto" w:sz="4" w:space="0"/>
              <w:left w:val="single" w:color="auto" w:sz="4" w:space="0"/>
              <w:right w:val="single" w:color="auto" w:sz="4" w:space="0"/>
            </w:tcBorders>
            <w:vAlign w:val="center"/>
          </w:tcPr>
          <w:p w14:paraId="1C5FF79B">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符合全部三项（</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14:paraId="62187303">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14:paraId="771A7DB8">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14:paraId="60C316A5">
            <w:pPr>
              <w:widowControl/>
              <w:spacing w:line="240" w:lineRule="exact"/>
              <w:ind w:firstLine="420" w:firstLineChars="200"/>
              <w:jc w:val="left"/>
              <w:rPr>
                <w:szCs w:val="21"/>
              </w:rPr>
            </w:pPr>
            <w:r>
              <w:rPr>
                <w:rFonts w:hint="eastAsia" w:ascii="仿宋_GB2312" w:hAnsi="新宋体" w:eastAsia="仿宋_GB2312" w:cs="仿宋_GB2312"/>
                <w:kern w:val="0"/>
                <w:szCs w:val="21"/>
              </w:rPr>
              <w:t>符合零项（</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top w:val="single" w:color="auto" w:sz="4" w:space="0"/>
              <w:left w:val="single" w:color="auto" w:sz="4" w:space="0"/>
            </w:tcBorders>
            <w:vAlign w:val="center"/>
          </w:tcPr>
          <w:p w14:paraId="2542495E">
            <w:pPr>
              <w:widowControl/>
              <w:spacing w:line="240" w:lineRule="exact"/>
              <w:ind w:firstLine="420" w:firstLineChars="200"/>
              <w:jc w:val="left"/>
              <w:rPr>
                <w:szCs w:val="21"/>
              </w:rPr>
            </w:pPr>
            <w:r>
              <w:rPr>
                <w:szCs w:val="21"/>
              </w:rPr>
              <w:t>2</w:t>
            </w:r>
          </w:p>
        </w:tc>
      </w:tr>
      <w:tr w14:paraId="7DDD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741477C0">
            <w:pPr>
              <w:spacing w:line="240" w:lineRule="exact"/>
              <w:ind w:firstLine="420" w:firstLineChars="200"/>
              <w:rPr>
                <w:rFonts w:ascii="宋体"/>
                <w:szCs w:val="21"/>
              </w:rPr>
            </w:pPr>
          </w:p>
        </w:tc>
        <w:tc>
          <w:tcPr>
            <w:tcW w:w="743" w:type="dxa"/>
            <w:vMerge w:val="continue"/>
            <w:vAlign w:val="center"/>
          </w:tcPr>
          <w:p w14:paraId="29CD49C9">
            <w:pPr>
              <w:spacing w:line="240" w:lineRule="exact"/>
              <w:ind w:firstLine="420" w:firstLineChars="200"/>
              <w:rPr>
                <w:rFonts w:ascii="宋体"/>
                <w:szCs w:val="21"/>
              </w:rPr>
            </w:pPr>
          </w:p>
        </w:tc>
        <w:tc>
          <w:tcPr>
            <w:tcW w:w="1275" w:type="dxa"/>
            <w:tcBorders>
              <w:top w:val="single" w:color="auto" w:sz="4" w:space="0"/>
              <w:right w:val="single" w:color="auto" w:sz="4" w:space="0"/>
            </w:tcBorders>
            <w:vAlign w:val="center"/>
          </w:tcPr>
          <w:p w14:paraId="2E90CB61">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14:paraId="4C9B99AC">
            <w:pPr>
              <w:widowControl/>
              <w:spacing w:line="240" w:lineRule="exact"/>
              <w:ind w:firstLine="420" w:firstLineChars="200"/>
              <w:jc w:val="left"/>
              <w:rPr>
                <w:szCs w:val="21"/>
              </w:rPr>
            </w:pPr>
            <w:r>
              <w:rPr>
                <w:rFonts w:hint="eastAsia" w:ascii="仿宋_GB2312" w:hAnsi="新宋体" w:eastAsia="仿宋_GB2312" w:cs="仿宋_GB2312"/>
                <w:kern w:val="0"/>
                <w:szCs w:val="21"/>
              </w:rPr>
              <w:t>部门实际在用固定资产总额与所有固定资产总额的比率，用以反映和评价部门固定资产使用效率。</w:t>
            </w:r>
          </w:p>
          <w:p w14:paraId="6E3BA11B">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（实际在用固定资产总额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所有固定资产总额）×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top w:val="single" w:color="auto" w:sz="4" w:space="0"/>
              <w:left w:val="single" w:color="auto" w:sz="4" w:space="0"/>
              <w:right w:val="single" w:color="auto" w:sz="4" w:space="0"/>
            </w:tcBorders>
            <w:vAlign w:val="center"/>
          </w:tcPr>
          <w:p w14:paraId="65BBB33B">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固定资产利用率大于或等于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14:paraId="32F916C0">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固定资产利用率小于或等于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42D86276">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固定资产利用率在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057E1C99">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（固定资产利用率）］×该指标分值。</w:t>
            </w:r>
          </w:p>
        </w:tc>
        <w:tc>
          <w:tcPr>
            <w:tcW w:w="764" w:type="dxa"/>
            <w:tcBorders>
              <w:top w:val="single" w:color="auto" w:sz="4" w:space="0"/>
              <w:left w:val="single" w:color="auto" w:sz="4" w:space="0"/>
            </w:tcBorders>
            <w:vAlign w:val="center"/>
          </w:tcPr>
          <w:p w14:paraId="3EA21D74">
            <w:pPr>
              <w:widowControl/>
              <w:spacing w:line="240" w:lineRule="exact"/>
              <w:ind w:firstLine="420" w:firstLineChars="200"/>
              <w:jc w:val="left"/>
              <w:rPr>
                <w:szCs w:val="21"/>
              </w:rPr>
            </w:pPr>
            <w:r>
              <w:rPr>
                <w:szCs w:val="21"/>
              </w:rPr>
              <w:t>3</w:t>
            </w:r>
          </w:p>
        </w:tc>
      </w:tr>
      <w:tr w14:paraId="568B5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1D721165">
            <w:pPr>
              <w:widowControl/>
              <w:spacing w:line="240" w:lineRule="exact"/>
              <w:ind w:firstLine="420" w:firstLineChars="200"/>
              <w:jc w:val="left"/>
              <w:rPr>
                <w:szCs w:val="21"/>
              </w:rPr>
            </w:pPr>
            <w:r>
              <w:rPr>
                <w:rFonts w:hint="eastAsia" w:ascii="仿宋_GB2312" w:hAnsi="新宋体" w:eastAsia="仿宋_GB2312" w:cs="仿宋_GB2312"/>
                <w:kern w:val="0"/>
                <w:szCs w:val="21"/>
              </w:rPr>
              <w:t>产出</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14:paraId="61E295E5">
            <w:pPr>
              <w:widowControl/>
              <w:spacing w:line="240" w:lineRule="exact"/>
              <w:ind w:firstLine="420" w:firstLineChars="200"/>
              <w:jc w:val="left"/>
              <w:rPr>
                <w:szCs w:val="21"/>
              </w:rPr>
            </w:pPr>
            <w:r>
              <w:rPr>
                <w:rFonts w:hint="eastAsia" w:ascii="仿宋_GB2312" w:hAnsi="新宋体" w:eastAsia="仿宋_GB2312" w:cs="仿宋_GB2312"/>
                <w:kern w:val="0"/>
                <w:szCs w:val="21"/>
              </w:rPr>
              <w:t>职责履行情况（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w:t>
            </w:r>
          </w:p>
        </w:tc>
        <w:tc>
          <w:tcPr>
            <w:tcW w:w="1275" w:type="dxa"/>
            <w:tcBorders>
              <w:bottom w:val="single" w:color="auto" w:sz="4" w:space="0"/>
              <w:right w:val="single" w:color="auto" w:sz="4" w:space="0"/>
            </w:tcBorders>
            <w:vAlign w:val="center"/>
          </w:tcPr>
          <w:p w14:paraId="252A91E6">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10</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14:paraId="3AA7297E">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每项任务是否已制定了明确、具体、可量化、可衡量的绩效指标；</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每项任务绩效指标的完成情况，是全部完成、基本完成、未完成，还是未实施；</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每项任务实施效果情况，是优秀、良好、一般，还是无效果；</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每项任务是否建立了目标责任制，是否落实到具体部门和人员负责。</w:t>
            </w:r>
          </w:p>
        </w:tc>
        <w:tc>
          <w:tcPr>
            <w:tcW w:w="2373" w:type="dxa"/>
            <w:tcBorders>
              <w:left w:val="single" w:color="auto" w:sz="4" w:space="0"/>
              <w:bottom w:val="single" w:color="auto" w:sz="4" w:space="0"/>
              <w:right w:val="single" w:color="auto" w:sz="4" w:space="0"/>
            </w:tcBorders>
            <w:vAlign w:val="center"/>
          </w:tcPr>
          <w:p w14:paraId="47CBD09C">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left w:val="single" w:color="auto" w:sz="4" w:space="0"/>
              <w:bottom w:val="single" w:color="auto" w:sz="4" w:space="0"/>
            </w:tcBorders>
            <w:vAlign w:val="center"/>
          </w:tcPr>
          <w:p w14:paraId="6764201B">
            <w:pPr>
              <w:widowControl/>
              <w:spacing w:line="240" w:lineRule="exact"/>
              <w:jc w:val="left"/>
              <w:rPr>
                <w:szCs w:val="21"/>
              </w:rPr>
            </w:pPr>
            <w:r>
              <w:rPr>
                <w:szCs w:val="21"/>
              </w:rPr>
              <w:t>10</w:t>
            </w:r>
          </w:p>
        </w:tc>
      </w:tr>
      <w:tr w14:paraId="73C31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vAlign w:val="center"/>
          </w:tcPr>
          <w:p w14:paraId="62920F8A">
            <w:pPr>
              <w:spacing w:line="240" w:lineRule="exact"/>
              <w:ind w:firstLine="420" w:firstLineChars="200"/>
              <w:rPr>
                <w:rFonts w:ascii="宋体"/>
                <w:szCs w:val="21"/>
              </w:rPr>
            </w:pPr>
          </w:p>
        </w:tc>
        <w:tc>
          <w:tcPr>
            <w:tcW w:w="743" w:type="dxa"/>
            <w:vMerge w:val="continue"/>
            <w:vAlign w:val="center"/>
          </w:tcPr>
          <w:p w14:paraId="56052CF7">
            <w:pPr>
              <w:spacing w:line="240" w:lineRule="exact"/>
              <w:ind w:firstLine="420" w:firstLineChars="200"/>
              <w:rPr>
                <w:rFonts w:ascii="宋体"/>
                <w:szCs w:val="21"/>
              </w:rPr>
            </w:pPr>
          </w:p>
        </w:tc>
        <w:tc>
          <w:tcPr>
            <w:tcW w:w="1275" w:type="dxa"/>
            <w:tcBorders>
              <w:right w:val="single" w:color="auto" w:sz="4" w:space="0"/>
            </w:tcBorders>
            <w:vAlign w:val="center"/>
          </w:tcPr>
          <w:p w14:paraId="39B225D3">
            <w:pPr>
              <w:widowControl/>
              <w:spacing w:line="240" w:lineRule="exact"/>
              <w:ind w:firstLine="420" w:firstLineChars="200"/>
              <w:jc w:val="left"/>
              <w:rPr>
                <w:szCs w:val="21"/>
              </w:rPr>
            </w:pPr>
            <w:r>
              <w:rPr>
                <w:rFonts w:hint="eastAsia" w:ascii="仿宋_GB2312" w:hAnsi="新宋体" w:eastAsia="仿宋_GB2312" w:cs="仿宋_GB2312"/>
                <w:kern w:val="0"/>
                <w:szCs w:val="21"/>
              </w:rPr>
              <w:t>项目完成质量达标率（</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14:paraId="3282D050">
            <w:pPr>
              <w:widowControl/>
              <w:spacing w:line="240" w:lineRule="exact"/>
              <w:ind w:firstLine="420" w:firstLineChars="200"/>
              <w:jc w:val="left"/>
              <w:rPr>
                <w:szCs w:val="21"/>
              </w:rPr>
            </w:pPr>
            <w:r>
              <w:rPr>
                <w:rFonts w:hint="eastAsia" w:ascii="仿宋_GB2312" w:hAnsi="新宋体" w:eastAsia="仿宋_GB2312" w:cs="仿宋_GB2312"/>
                <w:kern w:val="0"/>
                <w:szCs w:val="21"/>
              </w:rPr>
              <w:t>部门已完成项目中质量达标项目个数占已完成项目个数的比率</w:t>
            </w:r>
            <w:r>
              <w:rPr>
                <w:rFonts w:ascii="仿宋_GB2312" w:hAnsi="新宋体" w:eastAsia="仿宋_GB2312" w:cs="仿宋_GB2312"/>
                <w:kern w:val="0"/>
                <w:szCs w:val="21"/>
              </w:rPr>
              <w:t>,</w:t>
            </w:r>
            <w:r>
              <w:rPr>
                <w:rFonts w:hint="eastAsia" w:ascii="仿宋_GB2312" w:hAnsi="新宋体" w:eastAsia="仿宋_GB2312" w:cs="仿宋_GB2312"/>
                <w:kern w:val="0"/>
                <w:szCs w:val="21"/>
              </w:rPr>
              <w:t>用以反映和评价部门履职质量目标的实现程度。</w:t>
            </w:r>
          </w:p>
          <w:p w14:paraId="6CF945C4">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（已完成项目中质量达标项目个数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14:paraId="121CE3FE">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项目质量达标是指项目决算验收合格。</w:t>
            </w:r>
          </w:p>
        </w:tc>
        <w:tc>
          <w:tcPr>
            <w:tcW w:w="2373" w:type="dxa"/>
            <w:tcBorders>
              <w:left w:val="single" w:color="auto" w:sz="4" w:space="0"/>
              <w:right w:val="single" w:color="auto" w:sz="4" w:space="0"/>
            </w:tcBorders>
            <w:vAlign w:val="center"/>
          </w:tcPr>
          <w:p w14:paraId="2EB2727F">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项目质量达标率等于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14:paraId="7185D68B">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项目质量达标率小于或等于</w:t>
            </w:r>
            <w:r>
              <w:rPr>
                <w:rFonts w:ascii="仿宋_GB2312" w:hAnsi="新宋体" w:eastAsia="仿宋_GB2312" w:cs="仿宋_GB2312"/>
                <w:kern w:val="0"/>
                <w:szCs w:val="21"/>
              </w:rPr>
              <w:t>99%</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14:paraId="198778D1">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项目质量达标率在</w:t>
            </w:r>
            <w:r>
              <w:rPr>
                <w:rFonts w:ascii="仿宋_GB2312" w:hAnsi="新宋体" w:eastAsia="仿宋_GB2312" w:cs="仿宋_GB2312"/>
                <w:kern w:val="0"/>
                <w:szCs w:val="21"/>
              </w:rPr>
              <w:t>99%-100%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14:paraId="7E69CBE4">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（项目质量达标率）］×该指标分值。</w:t>
            </w:r>
          </w:p>
        </w:tc>
        <w:tc>
          <w:tcPr>
            <w:tcW w:w="764" w:type="dxa"/>
            <w:tcBorders>
              <w:left w:val="single" w:color="auto" w:sz="4" w:space="0"/>
              <w:bottom w:val="single" w:color="auto" w:sz="4" w:space="0"/>
            </w:tcBorders>
            <w:vAlign w:val="center"/>
          </w:tcPr>
          <w:p w14:paraId="402958F0">
            <w:pPr>
              <w:widowControl/>
              <w:spacing w:line="240" w:lineRule="exact"/>
              <w:jc w:val="left"/>
              <w:rPr>
                <w:szCs w:val="21"/>
              </w:rPr>
            </w:pPr>
            <w:r>
              <w:rPr>
                <w:szCs w:val="21"/>
              </w:rPr>
              <w:t>15</w:t>
            </w:r>
          </w:p>
        </w:tc>
      </w:tr>
      <w:tr w14:paraId="2F37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14:paraId="30CC2966">
            <w:pPr>
              <w:widowControl/>
              <w:spacing w:line="240" w:lineRule="exact"/>
              <w:ind w:firstLine="420" w:firstLineChars="200"/>
              <w:jc w:val="left"/>
              <w:rPr>
                <w:szCs w:val="21"/>
              </w:rPr>
            </w:pPr>
            <w:r>
              <w:rPr>
                <w:rFonts w:hint="eastAsia" w:ascii="仿宋_GB2312" w:hAnsi="新宋体" w:eastAsia="仿宋_GB2312" w:cs="仿宋_GB2312"/>
                <w:kern w:val="0"/>
                <w:szCs w:val="21"/>
              </w:rPr>
              <w:t>效果（</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743" w:type="dxa"/>
            <w:vMerge w:val="restart"/>
            <w:tcBorders>
              <w:top w:val="single" w:color="auto" w:sz="4" w:space="0"/>
            </w:tcBorders>
            <w:vAlign w:val="center"/>
          </w:tcPr>
          <w:p w14:paraId="310BA3C8">
            <w:pPr>
              <w:widowControl/>
              <w:spacing w:line="240" w:lineRule="exact"/>
              <w:ind w:firstLine="420" w:firstLineChars="200"/>
              <w:jc w:val="left"/>
              <w:rPr>
                <w:rFonts w:ascii="仿宋_GB2312" w:hAnsi="新宋体" w:eastAsia="仿宋_GB2312" w:cs="仿宋_GB2312"/>
                <w:kern w:val="0"/>
                <w:szCs w:val="21"/>
              </w:rPr>
            </w:pPr>
          </w:p>
          <w:p w14:paraId="70D6D984">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748DBE1A">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1275" w:type="dxa"/>
            <w:tcBorders>
              <w:right w:val="single" w:color="auto" w:sz="4" w:space="0"/>
            </w:tcBorders>
            <w:vAlign w:val="center"/>
          </w:tcPr>
          <w:p w14:paraId="13F23A82">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14:paraId="75B2275A">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31FB3391">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通过部门所属企事业单位改革，促进了企事业单位效益增长情况；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通过预算支出项目的实施，促进了行业生产能力增长，从而带动行业经济效益增长；</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通过预算支出项目的实施，有效提高劳动效率，节约成本费用；</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通过预算支出项目的实施，降低了损耗，从而提高了生产效益；</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通过预算支出项目的实施，完善了突发情况的监测预警，保障了生产安全，降低了生产损失。</w:t>
            </w:r>
          </w:p>
        </w:tc>
        <w:tc>
          <w:tcPr>
            <w:tcW w:w="2373" w:type="dxa"/>
            <w:tcBorders>
              <w:left w:val="single" w:color="auto" w:sz="4" w:space="0"/>
              <w:right w:val="single" w:color="auto" w:sz="4" w:space="0"/>
            </w:tcBorders>
            <w:vAlign w:val="center"/>
          </w:tcPr>
          <w:p w14:paraId="0193B0E4">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left w:val="single" w:color="auto" w:sz="4" w:space="0"/>
            </w:tcBorders>
            <w:vAlign w:val="center"/>
          </w:tcPr>
          <w:p w14:paraId="026996EB">
            <w:pPr>
              <w:widowControl/>
              <w:spacing w:line="240" w:lineRule="exact"/>
              <w:ind w:firstLine="420" w:firstLineChars="200"/>
              <w:jc w:val="left"/>
              <w:rPr>
                <w:szCs w:val="21"/>
              </w:rPr>
            </w:pPr>
            <w:r>
              <w:rPr>
                <w:szCs w:val="21"/>
              </w:rPr>
              <w:t>5</w:t>
            </w:r>
          </w:p>
        </w:tc>
      </w:tr>
      <w:tr w14:paraId="5223E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649E81AC">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14:paraId="73C25AD6">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14:paraId="0EC1D67D">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14:paraId="2B77D254">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047DEAF9">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通过部门所属企事业单位的改革，促进了企事业单位可持续发展，带动就业增长情况；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通过预算支出项目的实施，是否明显促进了行业精神文明建设；</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通过部门履职是否明显提高城乡居民生活水平，满足了人们日益增长的物质与文化生活需求；</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通过预算项目的实施，是否提高了劳动生产率，降低了劳动强度，促进了劳动人民的身心健康；</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通过部门履职行业形象是否得到了大大提升了，增强了部门影响力。</w:t>
            </w:r>
          </w:p>
        </w:tc>
        <w:tc>
          <w:tcPr>
            <w:tcW w:w="2373" w:type="dxa"/>
            <w:tcBorders>
              <w:left w:val="single" w:color="auto" w:sz="4" w:space="0"/>
              <w:right w:val="single" w:color="auto" w:sz="4" w:space="0"/>
            </w:tcBorders>
            <w:vAlign w:val="center"/>
          </w:tcPr>
          <w:p w14:paraId="3FECA5F6">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left w:val="single" w:color="auto" w:sz="4" w:space="0"/>
            </w:tcBorders>
            <w:vAlign w:val="center"/>
          </w:tcPr>
          <w:p w14:paraId="2DCC1867">
            <w:pPr>
              <w:widowControl/>
              <w:spacing w:line="240" w:lineRule="exact"/>
              <w:ind w:firstLine="420" w:firstLineChars="200"/>
              <w:jc w:val="left"/>
              <w:rPr>
                <w:szCs w:val="21"/>
              </w:rPr>
            </w:pPr>
            <w:r>
              <w:rPr>
                <w:szCs w:val="21"/>
              </w:rPr>
              <w:t>5</w:t>
            </w:r>
          </w:p>
        </w:tc>
      </w:tr>
      <w:tr w14:paraId="4F25C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38552C24">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14:paraId="4DC6834D">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14:paraId="10146AB1">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14:paraId="29217C99">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157223BF">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通过预算支出项目的实施，绿色、节能环保新技术的应用和推广，明显带动各环节的节能减排，也具有一定的环境效益；</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通过履职有效地控制虚假、伪劣、霉变等劣质产品进入市场，影响了人民生活质量，净化地市场环境；</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通过预算支出项目的实施，是否达到减少污染物排放；</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通过预算支出项目的实施，周围环境得到了整治，面貌得到了改善。</w:t>
            </w:r>
          </w:p>
        </w:tc>
        <w:tc>
          <w:tcPr>
            <w:tcW w:w="2373" w:type="dxa"/>
            <w:tcBorders>
              <w:left w:val="single" w:color="auto" w:sz="4" w:space="0"/>
              <w:right w:val="single" w:color="auto" w:sz="4" w:space="0"/>
            </w:tcBorders>
            <w:vAlign w:val="center"/>
          </w:tcPr>
          <w:p w14:paraId="79508D5A">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left w:val="single" w:color="auto" w:sz="4" w:space="0"/>
            </w:tcBorders>
            <w:vAlign w:val="center"/>
          </w:tcPr>
          <w:p w14:paraId="790D32CF">
            <w:pPr>
              <w:widowControl/>
              <w:spacing w:line="240" w:lineRule="exact"/>
              <w:ind w:firstLine="420" w:firstLineChars="200"/>
              <w:jc w:val="left"/>
              <w:rPr>
                <w:szCs w:val="21"/>
              </w:rPr>
            </w:pPr>
            <w:r>
              <w:rPr>
                <w:szCs w:val="21"/>
              </w:rPr>
              <w:t>5</w:t>
            </w:r>
          </w:p>
        </w:tc>
      </w:tr>
      <w:tr w14:paraId="0D9C4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14:paraId="6752BB92">
            <w:pPr>
              <w:spacing w:line="240" w:lineRule="exact"/>
              <w:ind w:firstLine="420" w:firstLineChars="200"/>
              <w:rPr>
                <w:rFonts w:ascii="宋体"/>
                <w:szCs w:val="21"/>
              </w:rPr>
            </w:pPr>
          </w:p>
        </w:tc>
        <w:tc>
          <w:tcPr>
            <w:tcW w:w="743" w:type="dxa"/>
            <w:vMerge w:val="continue"/>
            <w:tcBorders>
              <w:bottom w:val="single" w:color="auto" w:sz="4" w:space="0"/>
            </w:tcBorders>
            <w:vAlign w:val="center"/>
          </w:tcPr>
          <w:p w14:paraId="27298CEF">
            <w:pPr>
              <w:widowControl/>
              <w:spacing w:line="240" w:lineRule="exact"/>
              <w:ind w:firstLine="420" w:firstLineChars="200"/>
              <w:jc w:val="left"/>
              <w:rPr>
                <w:szCs w:val="21"/>
              </w:rPr>
            </w:pPr>
          </w:p>
        </w:tc>
        <w:tc>
          <w:tcPr>
            <w:tcW w:w="1275" w:type="dxa"/>
            <w:tcBorders>
              <w:right w:val="single" w:color="auto" w:sz="4" w:space="0"/>
            </w:tcBorders>
            <w:vAlign w:val="center"/>
          </w:tcPr>
          <w:p w14:paraId="1B5D711B">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服务对象满意度（</w:t>
            </w:r>
            <w:r>
              <w:rPr>
                <w:rFonts w:ascii="仿宋_GB2312" w:hAnsi="新宋体" w:eastAsia="仿宋_GB2312" w:cs="仿宋_GB2312"/>
                <w:kern w:val="0"/>
                <w:szCs w:val="21"/>
              </w:rPr>
              <w:t>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14:paraId="4371ECE2">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left w:val="single" w:color="auto" w:sz="4" w:space="0"/>
              <w:right w:val="single" w:color="auto" w:sz="4" w:space="0"/>
            </w:tcBorders>
            <w:vAlign w:val="center"/>
          </w:tcPr>
          <w:p w14:paraId="5B3A9AE9">
            <w:pPr>
              <w:widowControl/>
              <w:spacing w:line="240" w:lineRule="exact"/>
              <w:ind w:firstLine="420" w:firstLineChars="200"/>
              <w:rPr>
                <w:rFonts w:ascii="仿宋" w:hAnsi="仿宋" w:eastAsia="仿宋" w:cs="宋体"/>
                <w:kern w:val="0"/>
                <w:szCs w:val="21"/>
              </w:rPr>
            </w:pPr>
            <w:r>
              <w:rPr>
                <w:rFonts w:hint="eastAsia" w:ascii="仿宋" w:hAnsi="仿宋" w:eastAsia="仿宋" w:cs="Arial"/>
                <w:kern w:val="0"/>
                <w:szCs w:val="21"/>
              </w:rPr>
              <w:t>按照满意度调查的优秀、良好、合格、不合格给予该项指标打分：</w:t>
            </w:r>
          </w:p>
          <w:p w14:paraId="0C1FD112">
            <w:pPr>
              <w:widowControl/>
              <w:spacing w:line="240" w:lineRule="exact"/>
              <w:ind w:firstLine="420" w:firstLineChars="200"/>
              <w:rPr>
                <w:szCs w:val="21"/>
              </w:rPr>
            </w:pPr>
            <w:r>
              <w:rPr>
                <w:rFonts w:hint="eastAsia" w:ascii="仿宋" w:hAnsi="仿宋" w:eastAsia="仿宋" w:cs="Arial"/>
                <w:kern w:val="0"/>
                <w:szCs w:val="21"/>
              </w:rPr>
              <w:t>优秀（</w:t>
            </w:r>
            <w:r>
              <w:rPr>
                <w:rFonts w:ascii="仿宋" w:hAnsi="仿宋" w:eastAsia="仿宋" w:cs="Arial"/>
                <w:kern w:val="0"/>
                <w:szCs w:val="21"/>
              </w:rPr>
              <w:t>5</w:t>
            </w:r>
            <w:r>
              <w:rPr>
                <w:rFonts w:hint="eastAsia" w:ascii="仿宋" w:hAnsi="仿宋" w:eastAsia="仿宋" w:cs="Arial"/>
                <w:kern w:val="0"/>
                <w:szCs w:val="21"/>
              </w:rPr>
              <w:t>）；良好（</w:t>
            </w:r>
            <w:r>
              <w:rPr>
                <w:rFonts w:ascii="仿宋" w:hAnsi="仿宋" w:eastAsia="仿宋" w:cs="Arial"/>
                <w:kern w:val="0"/>
                <w:szCs w:val="21"/>
              </w:rPr>
              <w:t>3</w:t>
            </w:r>
            <w:r>
              <w:rPr>
                <w:rFonts w:hint="eastAsia" w:ascii="仿宋" w:hAnsi="仿宋" w:eastAsia="仿宋" w:cs="Arial"/>
                <w:kern w:val="0"/>
                <w:szCs w:val="21"/>
              </w:rPr>
              <w:t>）；合格（</w:t>
            </w:r>
            <w:r>
              <w:rPr>
                <w:rFonts w:ascii="仿宋" w:hAnsi="仿宋" w:eastAsia="仿宋" w:cs="Arial"/>
                <w:kern w:val="0"/>
                <w:szCs w:val="21"/>
              </w:rPr>
              <w:t>1</w:t>
            </w:r>
            <w:r>
              <w:rPr>
                <w:rFonts w:hint="eastAsia" w:ascii="仿宋" w:hAnsi="仿宋" w:eastAsia="仿宋" w:cs="Arial"/>
                <w:kern w:val="0"/>
                <w:szCs w:val="21"/>
              </w:rPr>
              <w:t>）；不合格（</w:t>
            </w:r>
            <w:r>
              <w:rPr>
                <w:rFonts w:ascii="仿宋" w:hAnsi="仿宋" w:eastAsia="仿宋" w:cs="Arial"/>
                <w:kern w:val="0"/>
                <w:szCs w:val="21"/>
              </w:rPr>
              <w:t>0</w:t>
            </w:r>
            <w:r>
              <w:rPr>
                <w:rFonts w:hint="eastAsia" w:ascii="仿宋" w:hAnsi="仿宋" w:eastAsia="仿宋" w:cs="Arial"/>
                <w:kern w:val="0"/>
                <w:szCs w:val="21"/>
              </w:rPr>
              <w:t>）。</w:t>
            </w:r>
          </w:p>
        </w:tc>
        <w:tc>
          <w:tcPr>
            <w:tcW w:w="764" w:type="dxa"/>
            <w:tcBorders>
              <w:left w:val="single" w:color="auto" w:sz="4" w:space="0"/>
            </w:tcBorders>
            <w:vAlign w:val="center"/>
          </w:tcPr>
          <w:p w14:paraId="7AFB2978">
            <w:pPr>
              <w:widowControl/>
              <w:spacing w:line="240" w:lineRule="exact"/>
              <w:ind w:firstLine="420" w:firstLineChars="200"/>
              <w:jc w:val="left"/>
              <w:rPr>
                <w:szCs w:val="21"/>
              </w:rPr>
            </w:pPr>
            <w:r>
              <w:rPr>
                <w:szCs w:val="21"/>
              </w:rPr>
              <w:t>5</w:t>
            </w:r>
          </w:p>
        </w:tc>
      </w:tr>
    </w:tbl>
    <w:p w14:paraId="7D33BEA9">
      <w:pPr>
        <w:spacing w:line="240" w:lineRule="exact"/>
        <w:ind w:firstLine="640" w:firstLineChars="200"/>
        <w:rPr>
          <w:rFonts w:ascii="仿宋" w:hAnsi="仿宋" w:eastAsia="仿宋" w:cs="仿宋"/>
          <w:sz w:val="32"/>
          <w:szCs w:val="32"/>
        </w:rPr>
      </w:pPr>
    </w:p>
    <w:p w14:paraId="7DEEEAF9">
      <w:pPr>
        <w:spacing w:line="240" w:lineRule="exact"/>
        <w:ind w:firstLine="640" w:firstLineChars="200"/>
        <w:rPr>
          <w:rFonts w:ascii="仿宋" w:hAnsi="仿宋" w:eastAsia="仿宋" w:cs="仿宋"/>
          <w:sz w:val="32"/>
          <w:szCs w:val="32"/>
        </w:rPr>
      </w:pPr>
    </w:p>
    <w:p w14:paraId="4D569BF0">
      <w:pPr>
        <w:spacing w:line="240" w:lineRule="exact"/>
        <w:ind w:firstLine="640" w:firstLineChars="200"/>
        <w:rPr>
          <w:rFonts w:ascii="仿宋" w:hAnsi="仿宋" w:eastAsia="仿宋" w:cs="仿宋"/>
          <w:sz w:val="32"/>
          <w:szCs w:val="32"/>
        </w:rPr>
      </w:pPr>
    </w:p>
    <w:p w14:paraId="078C4178">
      <w:pPr>
        <w:ind w:firstLine="602" w:firstLineChars="200"/>
        <w:rPr>
          <w:rFonts w:ascii="仿宋" w:hAnsi="仿宋" w:eastAsia="仿宋" w:cs="仿宋"/>
          <w:b/>
          <w:bCs/>
          <w:sz w:val="30"/>
          <w:szCs w:val="30"/>
        </w:rPr>
      </w:pPr>
    </w:p>
    <w:p w14:paraId="56F731BB">
      <w:pPr>
        <w:ind w:firstLine="602" w:firstLineChars="200"/>
        <w:rPr>
          <w:rFonts w:ascii="仿宋" w:hAnsi="仿宋" w:eastAsia="仿宋" w:cs="仿宋"/>
          <w:b/>
          <w:bCs/>
          <w:sz w:val="30"/>
          <w:szCs w:val="30"/>
        </w:rPr>
      </w:pPr>
    </w:p>
    <w:p w14:paraId="0FB55AD5">
      <w:pPr>
        <w:ind w:firstLine="602" w:firstLineChars="200"/>
        <w:rPr>
          <w:rFonts w:ascii="仿宋" w:hAnsi="仿宋" w:eastAsia="仿宋" w:cs="仿宋"/>
          <w:b/>
          <w:bCs/>
          <w:sz w:val="30"/>
          <w:szCs w:val="30"/>
        </w:rPr>
      </w:pPr>
    </w:p>
    <w:p w14:paraId="0F0D8CAA">
      <w:pPr>
        <w:ind w:firstLine="602" w:firstLineChars="200"/>
        <w:rPr>
          <w:rFonts w:ascii="仿宋" w:hAnsi="仿宋" w:eastAsia="仿宋" w:cs="仿宋"/>
          <w:b/>
          <w:bCs/>
          <w:sz w:val="30"/>
          <w:szCs w:val="30"/>
        </w:rPr>
      </w:pPr>
    </w:p>
    <w:p w14:paraId="1EB6C795">
      <w:pPr>
        <w:ind w:firstLine="602" w:firstLineChars="200"/>
        <w:rPr>
          <w:rFonts w:ascii="仿宋" w:hAnsi="仿宋" w:eastAsia="仿宋" w:cs="仿宋"/>
          <w:b/>
          <w:bCs/>
          <w:sz w:val="30"/>
          <w:szCs w:val="30"/>
        </w:rPr>
      </w:pPr>
    </w:p>
    <w:p w14:paraId="31CA3AD9">
      <w:pPr>
        <w:ind w:firstLine="602" w:firstLineChars="200"/>
        <w:rPr>
          <w:rFonts w:ascii="仿宋" w:hAnsi="仿宋" w:eastAsia="仿宋" w:cs="仿宋"/>
          <w:b/>
          <w:bCs/>
          <w:sz w:val="30"/>
          <w:szCs w:val="30"/>
        </w:rPr>
      </w:pPr>
    </w:p>
    <w:p w14:paraId="4FA21055">
      <w:pPr>
        <w:ind w:firstLine="602" w:firstLineChars="200"/>
        <w:rPr>
          <w:rFonts w:ascii="仿宋" w:hAnsi="仿宋" w:eastAsia="仿宋" w:cs="仿宋"/>
          <w:b/>
          <w:bCs/>
          <w:sz w:val="30"/>
          <w:szCs w:val="30"/>
        </w:rPr>
      </w:pPr>
    </w:p>
    <w:p w14:paraId="798E8A0F">
      <w:pPr>
        <w:rPr>
          <w:rFonts w:ascii="仿宋" w:hAnsi="仿宋" w:eastAsia="仿宋" w:cs="仿宋"/>
          <w:b/>
          <w:bCs/>
          <w:sz w:val="30"/>
          <w:szCs w:val="30"/>
        </w:rPr>
      </w:pPr>
      <w:r>
        <w:rPr>
          <w:rFonts w:hint="eastAsia" w:ascii="仿宋" w:hAnsi="仿宋" w:eastAsia="仿宋" w:cs="仿宋"/>
          <w:b/>
          <w:bCs/>
          <w:sz w:val="30"/>
          <w:szCs w:val="30"/>
        </w:rPr>
        <w:t>油召学区部门整体支出绩效评价报告主要内容包括：</w:t>
      </w:r>
    </w:p>
    <w:p w14:paraId="21038798">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5C92AC75">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1476F9D8">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加强基础教育，以推进义务教育均衡发展为重点，深入推进基础教育教学改革，切实减轻小学生的课业负担，加强小学德育教育工作，全面实施素质教育。</w:t>
      </w:r>
    </w:p>
    <w:p w14:paraId="4D69C840">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w:t>
      </w:r>
    </w:p>
    <w:p w14:paraId="08CF4404">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（二）指导各级各类学校的教育教学改革，负责教育基本信息的统计、分析和发布。</w:t>
      </w:r>
    </w:p>
    <w:p w14:paraId="1530D58A">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（三）综合管理全县基础教育、工作；负责推进义务教育均衡发展和促进教育公平，负责义务教育的管理和协调；负责社会力量举办的各级各类学校的管理工作。</w:t>
      </w:r>
    </w:p>
    <w:p w14:paraId="526D74C7">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（四）负责推进并指导各级各类学校的教育教学改革和科研工作；负责全面实施素质教育，提高教学质量和水平。</w:t>
      </w:r>
    </w:p>
    <w:p w14:paraId="4069177C">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（五）负责指导辖区的教育督导工作，负责并指导基础教育发展水平、质量的监测工作。</w:t>
      </w:r>
    </w:p>
    <w:p w14:paraId="08FB2736">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（六）负责管理本部门教育经费和县拨教育经费并对各项经费使用情况进行审计监督；实施对家庭困难学生的资助工作。</w:t>
      </w:r>
    </w:p>
    <w:p w14:paraId="5F5D2F90">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（七）按照干部管理权限和程序，办理调动、奖惩、离退休审批手续；负责学校后备干部的管理及队伍建设工作。</w:t>
      </w:r>
    </w:p>
    <w:p w14:paraId="29345D7B">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（八）指导学校的党建、思想政治、维护稳定和德育、体育、卫生与艺术教育、国防教育工作；负责学校的法制建设和安全稳定工作的监督管理；负责管理并指导各学校心理健康教育工作。</w:t>
      </w:r>
    </w:p>
    <w:p w14:paraId="4209263F">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（九）负责各级各类学校学籍管理工作。</w:t>
      </w:r>
    </w:p>
    <w:p w14:paraId="3C4D1FE9">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（十）负责规划、指导教育、教学工作；根据教学大纲，落实学科教学计划，负责教学常规管理、课程改革和教育教学改革试点及推广工作。</w:t>
      </w:r>
    </w:p>
    <w:p w14:paraId="7621B290">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（十一）负责语言文字工作，组织协调并监督检查汉语文字规范及标准的实施，推广和普及普通话。</w:t>
      </w:r>
    </w:p>
    <w:p w14:paraId="05479E8E">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01B61ED6">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2020年，以习近平新时代中国特色社会主义思想为指导，贯彻党的教育方针，落实“立德树人”根本任务。</w:t>
      </w:r>
    </w:p>
    <w:p w14:paraId="26D2A8A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（一）、着力加强党的领导，统领教育各项工作</w:t>
      </w:r>
    </w:p>
    <w:p w14:paraId="6484F152">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14:paraId="74146673">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建阵地建设。学校党组织办公场所规范，有独立的办公室，有党组织标识牌，有办公设施；有发展党员工作流程，有本单位党员名册、入党积极分子名册、入党申请人名册；有年度党建工作计划、发展党员工作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周一参加党组织举办的集中性学习活动。建立健全学习培训档案，全面准确记录党员学习培训情况。二是规范“三会一课”、民主评议党员等基本制度。坚持每季度召开</w:t>
      </w:r>
      <w:r>
        <w:rPr>
          <w:rFonts w:ascii="仿宋" w:hAnsi="仿宋" w:eastAsia="仿宋" w:cs="仿宋"/>
          <w:sz w:val="32"/>
          <w:szCs w:val="32"/>
        </w:rPr>
        <w:t>1</w:t>
      </w:r>
      <w:r>
        <w:rPr>
          <w:rFonts w:hint="eastAsia" w:ascii="仿宋" w:hAnsi="仿宋" w:eastAsia="仿宋" w:cs="仿宋"/>
          <w:sz w:val="32"/>
          <w:szCs w:val="32"/>
        </w:rPr>
        <w:t>次支部党员大会，每月召开</w:t>
      </w:r>
      <w:r>
        <w:rPr>
          <w:rFonts w:ascii="仿宋" w:hAnsi="仿宋" w:eastAsia="仿宋" w:cs="仿宋"/>
          <w:sz w:val="32"/>
          <w:szCs w:val="32"/>
        </w:rPr>
        <w:t>1</w:t>
      </w:r>
      <w:r>
        <w:rPr>
          <w:rFonts w:hint="eastAsia" w:ascii="仿宋" w:hAnsi="仿宋" w:eastAsia="仿宋" w:cs="仿宋"/>
          <w:sz w:val="32"/>
          <w:szCs w:val="32"/>
        </w:rPr>
        <w:t>次支部委员会，三是规范发展党员制度。严格贯彻党员发展制度，严把“入口”关，规范入党发展对象、入党积极分子、预备党员保持比例，推进党员后备力量建设。四是党员示范岗制度。党员充分发挥基层党组织的战斗堡垒和党员的先锋模范作用，引领学校正风正气。</w:t>
      </w:r>
    </w:p>
    <w:p w14:paraId="3BCCB9D5">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14:paraId="49F508B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（三）、深入推进教育改革，全面提高教育质量</w:t>
      </w:r>
    </w:p>
    <w:p w14:paraId="6921750D">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持之以恒抓两支队伍建设。严格队伍管理，加强师德师风建设，强化师资培训，缩小城乡教师的教学水平差距，提高队伍整体素质。</w:t>
      </w:r>
    </w:p>
    <w:p w14:paraId="7BAB7326">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坚持实施素质教育。从基础教育抓起，全面推行魏书生教育思想和李希贵教学改革。继续抓好教学教研工作，监管教学工作全过程，大力提升教学质量。</w:t>
      </w:r>
    </w:p>
    <w:p w14:paraId="7674CD7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（四）、抓好德育管理和活动育人，贯彻立德树人根本任务</w:t>
      </w:r>
    </w:p>
    <w:p w14:paraId="7A0EA5CA">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大力推进文明校园创建。开展“最美少年”“书香校园”主题实践活动，开展德育工作经典案例征集。充分挖掘平乡红色文化、传统文化、自行车文化等时代价值。</w:t>
      </w:r>
    </w:p>
    <w:p w14:paraId="47BFB5ED">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14:paraId="673900FD">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着力减轻学生过重课业负担。落实中央提出的“着力解决中小学生课业负担重，择校热、大班额等突出问题”的要求，督促学校提高课堂质量，针对性地为有需求的学生提高个性化教学内容，坚决遏制极少数教师热衷课外家教，加重学生和家长负担、谋取不当利益的行为。</w:t>
      </w:r>
    </w:p>
    <w:p w14:paraId="264FD400">
      <w:pPr>
        <w:pStyle w:val="18"/>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2F9C1F0C">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本年支出合计1962.5899万元，主要有以下几部分：工资福利支出1099.142601万元，商品和服务支出248.2605万元，对个人和家庭的补助支出为42.237399万元。</w:t>
      </w:r>
    </w:p>
    <w:p w14:paraId="4FA104A5">
      <w:pPr>
        <w:pStyle w:val="7"/>
        <w:shd w:val="clear" w:color="auto" w:fill="FFFFFF"/>
        <w:spacing w:before="0" w:beforeAutospacing="0" w:after="0" w:afterAutospacing="0" w:line="450" w:lineRule="atLeast"/>
        <w:ind w:firstLine="640" w:firstLineChars="200"/>
        <w:rPr>
          <w:sz w:val="32"/>
          <w:szCs w:val="32"/>
        </w:rPr>
      </w:pPr>
      <w:r>
        <w:rPr>
          <w:rFonts w:hint="eastAsia"/>
          <w:kern w:val="2"/>
          <w:sz w:val="32"/>
          <w:szCs w:val="32"/>
        </w:rPr>
        <w:t>　</w:t>
      </w:r>
      <w:r>
        <w:rPr>
          <w:rFonts w:hint="eastAsia"/>
          <w:b/>
          <w:sz w:val="32"/>
          <w:szCs w:val="32"/>
        </w:rPr>
        <w:t>二、绩效评价的组织实施</w:t>
      </w:r>
      <w:r>
        <w:rPr>
          <w:rFonts w:hint="eastAsia"/>
          <w:sz w:val="32"/>
          <w:szCs w:val="32"/>
        </w:rPr>
        <w:t>情况。</w:t>
      </w:r>
    </w:p>
    <w:p w14:paraId="1B30C7AE">
      <w:pPr>
        <w:ind w:firstLine="640" w:firstLineChars="200"/>
        <w:rPr>
          <w:rFonts w:ascii="仿宋" w:hAnsi="仿宋" w:eastAsia="仿宋" w:cs="仿宋"/>
          <w:sz w:val="32"/>
          <w:szCs w:val="32"/>
        </w:rPr>
      </w:pPr>
      <w:r>
        <w:rPr>
          <w:rFonts w:hint="eastAsia" w:ascii="仿宋" w:hAnsi="仿宋" w:eastAsia="仿宋" w:cs="仿宋"/>
          <w:sz w:val="32"/>
          <w:szCs w:val="32"/>
        </w:rPr>
        <w:t>绩效自评的流程包括制定工作方案，填报项目自评表以及撰写绩效评价报告</w:t>
      </w:r>
    </w:p>
    <w:p w14:paraId="5C581D2E">
      <w:pPr>
        <w:ind w:left="640"/>
        <w:rPr>
          <w:rFonts w:ascii="仿宋" w:hAnsi="仿宋" w:eastAsia="仿宋" w:cs="仿宋"/>
          <w:b/>
          <w:sz w:val="32"/>
          <w:szCs w:val="32"/>
        </w:rPr>
      </w:pPr>
      <w:r>
        <w:rPr>
          <w:rFonts w:hint="eastAsia" w:ascii="仿宋" w:hAnsi="仿宋" w:eastAsia="仿宋" w:cs="仿宋"/>
          <w:b/>
          <w:sz w:val="32"/>
          <w:szCs w:val="32"/>
        </w:rPr>
        <w:t>三、各项绩效目标的实现程度及差异性原因分析。</w:t>
      </w:r>
    </w:p>
    <w:p w14:paraId="62E65345">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1C2BF06E">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57A4F83B">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1B17E9E2">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14:paraId="362246C2">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2B74">
    <w:pPr>
      <w:pStyle w:val="5"/>
      <w:framePr w:wrap="around" w:vAnchor="text" w:hAnchor="margin" w:xAlign="center" w:y="1"/>
      <w:rPr>
        <w:rStyle w:val="11"/>
        <w:rFonts w:ascii="宋体"/>
        <w:sz w:val="28"/>
        <w:szCs w:val="28"/>
      </w:rPr>
    </w:pPr>
    <w:r>
      <w:rPr>
        <w:rStyle w:val="11"/>
        <w:rFonts w:asci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9</w:t>
    </w:r>
    <w:r>
      <w:rPr>
        <w:rStyle w:val="11"/>
        <w:rFonts w:ascii="宋体" w:hAnsi="宋体"/>
        <w:sz w:val="28"/>
        <w:szCs w:val="28"/>
      </w:rPr>
      <w:fldChar w:fldCharType="end"/>
    </w:r>
    <w:r>
      <w:rPr>
        <w:rStyle w:val="11"/>
        <w:rFonts w:ascii="宋体"/>
        <w:sz w:val="28"/>
        <w:szCs w:val="28"/>
      </w:rPr>
      <w:t>-</w:t>
    </w:r>
  </w:p>
  <w:p w14:paraId="7AB54B1E">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604C7">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E3D00D4">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31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933"/>
    <w:rsid w:val="00002F2C"/>
    <w:rsid w:val="000070A8"/>
    <w:rsid w:val="00016CA4"/>
    <w:rsid w:val="000324AE"/>
    <w:rsid w:val="00042933"/>
    <w:rsid w:val="0008033E"/>
    <w:rsid w:val="0008759D"/>
    <w:rsid w:val="00094F2B"/>
    <w:rsid w:val="000B0A83"/>
    <w:rsid w:val="000B6322"/>
    <w:rsid w:val="000C2CC1"/>
    <w:rsid w:val="000E34B8"/>
    <w:rsid w:val="000E4A5A"/>
    <w:rsid w:val="000F0949"/>
    <w:rsid w:val="00103547"/>
    <w:rsid w:val="00145BF9"/>
    <w:rsid w:val="00150417"/>
    <w:rsid w:val="0017068B"/>
    <w:rsid w:val="00185A3C"/>
    <w:rsid w:val="00192D5A"/>
    <w:rsid w:val="00194AD1"/>
    <w:rsid w:val="001C59B3"/>
    <w:rsid w:val="001E0886"/>
    <w:rsid w:val="001F7E31"/>
    <w:rsid w:val="002071BC"/>
    <w:rsid w:val="00225AE6"/>
    <w:rsid w:val="00235F0F"/>
    <w:rsid w:val="00255783"/>
    <w:rsid w:val="00290BA1"/>
    <w:rsid w:val="002A6AEA"/>
    <w:rsid w:val="002F2268"/>
    <w:rsid w:val="00386EEA"/>
    <w:rsid w:val="003C50C2"/>
    <w:rsid w:val="0041099F"/>
    <w:rsid w:val="00436A1D"/>
    <w:rsid w:val="004379D7"/>
    <w:rsid w:val="0044319F"/>
    <w:rsid w:val="004A68B1"/>
    <w:rsid w:val="004B0686"/>
    <w:rsid w:val="004B403E"/>
    <w:rsid w:val="004B64F3"/>
    <w:rsid w:val="004E34D4"/>
    <w:rsid w:val="004E3B64"/>
    <w:rsid w:val="004F7327"/>
    <w:rsid w:val="005020C5"/>
    <w:rsid w:val="00525A32"/>
    <w:rsid w:val="00567FE6"/>
    <w:rsid w:val="005702CF"/>
    <w:rsid w:val="0058162A"/>
    <w:rsid w:val="005B3616"/>
    <w:rsid w:val="005C2747"/>
    <w:rsid w:val="005E12FA"/>
    <w:rsid w:val="00683167"/>
    <w:rsid w:val="006A5056"/>
    <w:rsid w:val="006E64C9"/>
    <w:rsid w:val="006F547E"/>
    <w:rsid w:val="007048FF"/>
    <w:rsid w:val="00712100"/>
    <w:rsid w:val="0071700D"/>
    <w:rsid w:val="00742652"/>
    <w:rsid w:val="00772600"/>
    <w:rsid w:val="00784951"/>
    <w:rsid w:val="007B35B1"/>
    <w:rsid w:val="007D5D41"/>
    <w:rsid w:val="007F01F9"/>
    <w:rsid w:val="00856BA1"/>
    <w:rsid w:val="00867620"/>
    <w:rsid w:val="008709E0"/>
    <w:rsid w:val="008A6A10"/>
    <w:rsid w:val="008A6A31"/>
    <w:rsid w:val="00904AF4"/>
    <w:rsid w:val="00905542"/>
    <w:rsid w:val="00917700"/>
    <w:rsid w:val="00934C1C"/>
    <w:rsid w:val="00956F74"/>
    <w:rsid w:val="009640D2"/>
    <w:rsid w:val="00964ECB"/>
    <w:rsid w:val="009B0B5F"/>
    <w:rsid w:val="009B7F2F"/>
    <w:rsid w:val="009C04DA"/>
    <w:rsid w:val="009C4C62"/>
    <w:rsid w:val="009C6740"/>
    <w:rsid w:val="009E3627"/>
    <w:rsid w:val="009F53E7"/>
    <w:rsid w:val="00A11BF8"/>
    <w:rsid w:val="00A14A33"/>
    <w:rsid w:val="00A51952"/>
    <w:rsid w:val="00A62FDB"/>
    <w:rsid w:val="00A6449D"/>
    <w:rsid w:val="00A768DB"/>
    <w:rsid w:val="00AA09C8"/>
    <w:rsid w:val="00AA7EF6"/>
    <w:rsid w:val="00AD07D5"/>
    <w:rsid w:val="00AD5F30"/>
    <w:rsid w:val="00AE7819"/>
    <w:rsid w:val="00B0681D"/>
    <w:rsid w:val="00B17F16"/>
    <w:rsid w:val="00B31479"/>
    <w:rsid w:val="00B37609"/>
    <w:rsid w:val="00B4371D"/>
    <w:rsid w:val="00B9023F"/>
    <w:rsid w:val="00BC1FDC"/>
    <w:rsid w:val="00BD0FD8"/>
    <w:rsid w:val="00C44804"/>
    <w:rsid w:val="00C6362A"/>
    <w:rsid w:val="00C81363"/>
    <w:rsid w:val="00CA4E03"/>
    <w:rsid w:val="00CB27A5"/>
    <w:rsid w:val="00CC2C2C"/>
    <w:rsid w:val="00CD55ED"/>
    <w:rsid w:val="00CD63C0"/>
    <w:rsid w:val="00CE62A0"/>
    <w:rsid w:val="00CF7E02"/>
    <w:rsid w:val="00D21786"/>
    <w:rsid w:val="00D21F0C"/>
    <w:rsid w:val="00D366C1"/>
    <w:rsid w:val="00D877F7"/>
    <w:rsid w:val="00DB2D43"/>
    <w:rsid w:val="00DD58FF"/>
    <w:rsid w:val="00DF71EF"/>
    <w:rsid w:val="00E25D40"/>
    <w:rsid w:val="00E266F1"/>
    <w:rsid w:val="00E33E94"/>
    <w:rsid w:val="00E56530"/>
    <w:rsid w:val="00E91A8E"/>
    <w:rsid w:val="00E974BC"/>
    <w:rsid w:val="00EB16A8"/>
    <w:rsid w:val="00EB25EC"/>
    <w:rsid w:val="00EC7904"/>
    <w:rsid w:val="00EE1D4D"/>
    <w:rsid w:val="00EF355E"/>
    <w:rsid w:val="00F47A94"/>
    <w:rsid w:val="00F57FC7"/>
    <w:rsid w:val="00F72E93"/>
    <w:rsid w:val="00F87A11"/>
    <w:rsid w:val="00FA0851"/>
    <w:rsid w:val="00FB7E01"/>
    <w:rsid w:val="00FE5F4C"/>
    <w:rsid w:val="00FF39F6"/>
    <w:rsid w:val="05374814"/>
    <w:rsid w:val="0F8F6BFC"/>
    <w:rsid w:val="2FB56D45"/>
    <w:rsid w:val="3791647A"/>
    <w:rsid w:val="3AB80633"/>
    <w:rsid w:val="455969D8"/>
    <w:rsid w:val="526A3656"/>
    <w:rsid w:val="5D643D56"/>
    <w:rsid w:val="69BD0A47"/>
    <w:rsid w:val="71A911C9"/>
    <w:rsid w:val="7CCC2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3"/>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uiPriority w:val="99"/>
    <w:rPr>
      <w:rFonts w:ascii="宋体" w:hAnsi="Courier New" w:cs="Courier New"/>
      <w:szCs w:val="21"/>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rFonts w:cs="Times New Roman"/>
      <w:b/>
      <w:bCs/>
    </w:rPr>
  </w:style>
  <w:style w:type="character" w:styleId="11">
    <w:name w:val="page number"/>
    <w:semiHidden/>
    <w:qFormat/>
    <w:uiPriority w:val="99"/>
    <w:rPr>
      <w:rFonts w:cs="Times New Roman"/>
    </w:rPr>
  </w:style>
  <w:style w:type="character" w:customStyle="1" w:styleId="12">
    <w:name w:val="标题 1 字符"/>
    <w:link w:val="2"/>
    <w:locked/>
    <w:uiPriority w:val="99"/>
    <w:rPr>
      <w:rFonts w:ascii="宋体" w:hAnsi="宋体" w:eastAsia="宋体" w:cs="宋体"/>
      <w:b/>
      <w:kern w:val="44"/>
      <w:sz w:val="48"/>
      <w:szCs w:val="48"/>
    </w:rPr>
  </w:style>
  <w:style w:type="character" w:customStyle="1" w:styleId="13">
    <w:name w:val="正文文本 字符"/>
    <w:link w:val="3"/>
    <w:semiHidden/>
    <w:uiPriority w:val="99"/>
    <w:rPr>
      <w:rFonts w:ascii="Calibri" w:hAnsi="Calibri"/>
    </w:rPr>
  </w:style>
  <w:style w:type="character" w:customStyle="1" w:styleId="14">
    <w:name w:val="纯文本 字符"/>
    <w:link w:val="4"/>
    <w:locked/>
    <w:uiPriority w:val="99"/>
    <w:rPr>
      <w:rFonts w:ascii="宋体" w:hAnsi="Courier New" w:eastAsia="宋体" w:cs="Courier New"/>
      <w:sz w:val="21"/>
      <w:szCs w:val="21"/>
    </w:rPr>
  </w:style>
  <w:style w:type="character" w:customStyle="1" w:styleId="15">
    <w:name w:val="页脚 字符"/>
    <w:link w:val="5"/>
    <w:locked/>
    <w:uiPriority w:val="99"/>
    <w:rPr>
      <w:rFonts w:cs="Times New Roman"/>
      <w:sz w:val="18"/>
      <w:szCs w:val="18"/>
    </w:rPr>
  </w:style>
  <w:style w:type="character" w:customStyle="1" w:styleId="16">
    <w:name w:val="页眉 字符"/>
    <w:link w:val="6"/>
    <w:locked/>
    <w:uiPriority w:val="99"/>
    <w:rPr>
      <w:rFonts w:cs="Times New Roman"/>
      <w:sz w:val="18"/>
      <w:szCs w:val="18"/>
    </w:rPr>
  </w:style>
  <w:style w:type="character" w:customStyle="1" w:styleId="17">
    <w:name w:val="font31"/>
    <w:uiPriority w:val="99"/>
    <w:rPr>
      <w:rFonts w:ascii="宋体" w:hAnsi="宋体" w:eastAsia="宋体" w:cs="宋体"/>
      <w:b/>
      <w:color w:val="000000"/>
      <w:sz w:val="36"/>
      <w:szCs w:val="36"/>
      <w:u w:val="none"/>
    </w:rPr>
  </w:style>
  <w:style w:type="paragraph" w:styleId="18">
    <w:name w:val="List Paragraph"/>
    <w:basedOn w:val="1"/>
    <w:qFormat/>
    <w:uiPriority w:val="99"/>
    <w:pPr>
      <w:ind w:firstLine="420" w:firstLineChars="200"/>
    </w:pPr>
  </w:style>
  <w:style w:type="paragraph" w:customStyle="1" w:styleId="19">
    <w:name w:val="p05"/>
    <w:basedOn w:val="1"/>
    <w:uiPriority w:val="99"/>
    <w:pPr>
      <w:widowControl/>
      <w:spacing w:line="408" w:lineRule="auto"/>
      <w:ind w:left="1"/>
    </w:pPr>
    <w:rPr>
      <w:rFonts w:ascii="Times New Roman" w:hAnsi="Times New Roman"/>
      <w:color w:val="000000"/>
      <w:kern w:val="0"/>
      <w:szCs w:val="20"/>
      <w:lang w:eastAsia="en-US"/>
    </w:rPr>
  </w:style>
  <w:style w:type="paragraph" w:customStyle="1" w:styleId="20">
    <w:name w:val="p01"/>
    <w:basedOn w:val="1"/>
    <w:uiPriority w:val="99"/>
    <w:pPr>
      <w:widowControl/>
      <w:spacing w:line="408" w:lineRule="auto"/>
      <w:ind w:left="1"/>
    </w:pPr>
    <w:rPr>
      <w:rFonts w:ascii="Times New Roman" w:hAnsi="Times New Roman"/>
      <w:color w:val="000000"/>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7101</Words>
  <Characters>7464</Characters>
  <Lines>55</Lines>
  <Paragraphs>15</Paragraphs>
  <TotalTime>2</TotalTime>
  <ScaleCrop>false</ScaleCrop>
  <LinksUpToDate>false</LinksUpToDate>
  <CharactersWithSpaces>7469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2020-04-15T02:52:00Z</cp:lastPrinted>
  <dcterms:modified xsi:type="dcterms:W3CDTF">2025-05-30T12:09:49Z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31ADDE44C18A43019DEEB5736A809564_12</vt:lpwstr>
  </property>
</Properties>
</file>